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E80" w:rsidRPr="00BD5763" w:rsidRDefault="00511E80" w:rsidP="00BD5763"/>
    <w:p w:rsidR="00D17733" w:rsidRPr="00E67BB4" w:rsidRDefault="00D17733" w:rsidP="00F1135D">
      <w:pPr>
        <w:pStyle w:val="Titre"/>
        <w:spacing w:line="400" w:lineRule="exact"/>
        <w:ind w:firstLine="720"/>
        <w:rPr>
          <w:rFonts w:ascii="Book Antiqua" w:hAnsi="Book Antiqua"/>
          <w:rtl/>
        </w:rPr>
      </w:pPr>
    </w:p>
    <w:p w:rsidR="00A61590" w:rsidRPr="00E67BB4" w:rsidRDefault="00A61590" w:rsidP="00A61590">
      <w:pPr>
        <w:pStyle w:val="Titre"/>
        <w:spacing w:line="400" w:lineRule="exact"/>
        <w:ind w:firstLine="720"/>
        <w:jc w:val="right"/>
        <w:rPr>
          <w:rFonts w:ascii="Book Antiqua" w:hAnsi="Book Antiqua"/>
        </w:rPr>
      </w:pPr>
    </w:p>
    <w:p w:rsidR="00A61590" w:rsidRPr="009D4773" w:rsidRDefault="00A61590" w:rsidP="009D4773">
      <w:pPr>
        <w:pStyle w:val="Titre"/>
        <w:spacing w:line="360" w:lineRule="auto"/>
        <w:jc w:val="left"/>
        <w:rPr>
          <w:rFonts w:ascii="Book Antiqua" w:hAnsi="Book Antiqua"/>
        </w:rPr>
      </w:pPr>
    </w:p>
    <w:p w:rsidR="003D5589" w:rsidRPr="009D4773" w:rsidRDefault="003D5589" w:rsidP="009D4773">
      <w:pPr>
        <w:pStyle w:val="Titre"/>
        <w:spacing w:line="360" w:lineRule="auto"/>
        <w:jc w:val="left"/>
        <w:rPr>
          <w:rFonts w:ascii="Book Antiqua" w:hAnsi="Book Antiqua"/>
        </w:rPr>
      </w:pPr>
    </w:p>
    <w:p w:rsidR="003D5589" w:rsidRPr="009D4773" w:rsidRDefault="003D5589" w:rsidP="009D4773">
      <w:pPr>
        <w:pStyle w:val="Titre"/>
        <w:spacing w:line="360" w:lineRule="auto"/>
        <w:jc w:val="left"/>
        <w:rPr>
          <w:rFonts w:ascii="Book Antiqua" w:hAnsi="Book Antiqua"/>
        </w:rPr>
      </w:pPr>
    </w:p>
    <w:p w:rsidR="007069D8" w:rsidRPr="009D4773" w:rsidRDefault="007069D8" w:rsidP="009D4773">
      <w:pPr>
        <w:pStyle w:val="Titre"/>
        <w:spacing w:line="360" w:lineRule="auto"/>
        <w:jc w:val="left"/>
        <w:rPr>
          <w:rFonts w:ascii="Book Antiqua" w:hAnsi="Book Antiqua"/>
        </w:rPr>
      </w:pPr>
    </w:p>
    <w:p w:rsidR="007069D8" w:rsidRPr="009D4773" w:rsidRDefault="007069D8" w:rsidP="009D4773">
      <w:pPr>
        <w:pStyle w:val="Titre"/>
        <w:spacing w:line="360" w:lineRule="auto"/>
        <w:jc w:val="left"/>
        <w:rPr>
          <w:rFonts w:ascii="Book Antiqua" w:hAnsi="Book Antiqua"/>
        </w:rPr>
      </w:pPr>
    </w:p>
    <w:p w:rsidR="00714357" w:rsidRPr="009D4773" w:rsidRDefault="00714357" w:rsidP="009D4773">
      <w:pPr>
        <w:pStyle w:val="Titre"/>
        <w:spacing w:line="360" w:lineRule="auto"/>
        <w:jc w:val="left"/>
        <w:rPr>
          <w:rFonts w:ascii="Book Antiqua" w:hAnsi="Book Antiqua" w:cstheme="majorBidi"/>
        </w:rPr>
      </w:pPr>
    </w:p>
    <w:p w:rsidR="007069D8" w:rsidRPr="009D4773" w:rsidRDefault="007069D8" w:rsidP="009D4773">
      <w:pPr>
        <w:pStyle w:val="Titre"/>
        <w:spacing w:line="480" w:lineRule="auto"/>
        <w:jc w:val="left"/>
        <w:rPr>
          <w:rFonts w:ascii="Book Antiqua" w:hAnsi="Book Antiqua" w:cstheme="majorBidi"/>
        </w:rPr>
      </w:pPr>
    </w:p>
    <w:p w:rsidR="007069D8" w:rsidRPr="009D4773" w:rsidRDefault="005C199F" w:rsidP="005A0DDD">
      <w:pPr>
        <w:pStyle w:val="Titre"/>
        <w:spacing w:line="480" w:lineRule="auto"/>
        <w:rPr>
          <w:rFonts w:ascii="Arial Rounded MT Bold" w:hAnsi="Arial Rounded MT Bold"/>
          <w:shd w:val="clear" w:color="auto" w:fill="FFFFFF"/>
        </w:rPr>
      </w:pPr>
      <w:r w:rsidRPr="009D4773">
        <w:rPr>
          <w:rFonts w:ascii="Arial Rounded MT Bold" w:hAnsi="Arial Rounded MT Bold"/>
          <w:shd w:val="clear" w:color="auto" w:fill="FFFFFF"/>
        </w:rPr>
        <w:t xml:space="preserve">Présentation des grandes lignes de </w:t>
      </w:r>
      <w:r w:rsidR="005A0DDD">
        <w:rPr>
          <w:rFonts w:ascii="Arial Rounded MT Bold" w:hAnsi="Arial Rounded MT Bold"/>
          <w:shd w:val="clear" w:color="auto" w:fill="FFFFFF"/>
        </w:rPr>
        <w:t>l’</w:t>
      </w:r>
      <w:r w:rsidRPr="009D4773">
        <w:rPr>
          <w:rFonts w:ascii="Arial Rounded MT Bold" w:hAnsi="Arial Rounded MT Bold"/>
          <w:shd w:val="clear" w:color="auto" w:fill="FFFFFF"/>
        </w:rPr>
        <w:t>étude sur les sources de la création de la richesse au Maroc et sa répartition</w:t>
      </w:r>
    </w:p>
    <w:p w:rsidR="005C199F" w:rsidRPr="009D4773" w:rsidRDefault="005C199F" w:rsidP="009D4773">
      <w:pPr>
        <w:pStyle w:val="m5064850193103259754gmail-msonormal"/>
        <w:shd w:val="clear" w:color="auto" w:fill="FFFFFF"/>
        <w:spacing w:before="0" w:beforeAutospacing="0" w:after="0" w:afterAutospacing="0" w:line="480" w:lineRule="auto"/>
        <w:jc w:val="center"/>
        <w:rPr>
          <w:rFonts w:ascii="Arial Rounded MT Bold" w:hAnsi="Arial Rounded MT Bold" w:cs="Arial"/>
          <w:b/>
          <w:bCs/>
          <w:sz w:val="19"/>
          <w:szCs w:val="19"/>
        </w:rPr>
      </w:pPr>
      <w:r w:rsidRPr="009D4773">
        <w:rPr>
          <w:rFonts w:ascii="Arial Rounded MT Bold" w:hAnsi="Arial Rounded MT Bold" w:cs="Arial"/>
          <w:b/>
          <w:bCs/>
          <w:sz w:val="28"/>
          <w:szCs w:val="28"/>
        </w:rPr>
        <w:t>par</w:t>
      </w:r>
    </w:p>
    <w:p w:rsidR="005C199F" w:rsidRPr="009D4773" w:rsidRDefault="005C199F" w:rsidP="009D4773">
      <w:pPr>
        <w:pStyle w:val="m5064850193103259754gmail-msonormal"/>
        <w:shd w:val="clear" w:color="auto" w:fill="FFFFFF"/>
        <w:spacing w:before="0" w:beforeAutospacing="0" w:after="0" w:afterAutospacing="0" w:line="480" w:lineRule="auto"/>
        <w:jc w:val="center"/>
        <w:rPr>
          <w:rFonts w:ascii="Arial Rounded MT Bold" w:hAnsi="Arial Rounded MT Bold" w:cs="Arial"/>
          <w:sz w:val="28"/>
          <w:szCs w:val="28"/>
        </w:rPr>
      </w:pPr>
      <w:r w:rsidRPr="009D4773">
        <w:rPr>
          <w:rFonts w:ascii="Arial Rounded MT Bold" w:hAnsi="Arial Rounded MT Bold" w:cs="Arial"/>
          <w:sz w:val="28"/>
          <w:szCs w:val="28"/>
        </w:rPr>
        <w:t>Monsieur Ahmed Lahlimi Alami,</w:t>
      </w:r>
    </w:p>
    <w:p w:rsidR="005C199F" w:rsidRPr="009D4773" w:rsidRDefault="009D4773" w:rsidP="009D4773">
      <w:pPr>
        <w:pStyle w:val="Titre"/>
        <w:spacing w:line="480" w:lineRule="auto"/>
        <w:rPr>
          <w:rFonts w:ascii="Arial Rounded MT Bold" w:hAnsi="Arial Rounded MT Bold"/>
        </w:rPr>
      </w:pPr>
      <w:r w:rsidRPr="009D4773">
        <w:rPr>
          <w:rFonts w:ascii="Arial Rounded MT Bold" w:hAnsi="Arial Rounded MT Bold"/>
          <w:b w:val="0"/>
          <w:bCs w:val="0"/>
        </w:rPr>
        <w:t>Haut Commissaire au Plan</w:t>
      </w:r>
    </w:p>
    <w:p w:rsidR="007069D8" w:rsidRPr="009D4773" w:rsidRDefault="007069D8" w:rsidP="009D4773">
      <w:pPr>
        <w:pStyle w:val="Titre"/>
        <w:spacing w:line="360" w:lineRule="auto"/>
        <w:rPr>
          <w:rFonts w:ascii="Book Antiqua" w:hAnsi="Book Antiqua"/>
        </w:rPr>
      </w:pPr>
    </w:p>
    <w:p w:rsidR="007069D8" w:rsidRPr="009D4773" w:rsidRDefault="007069D8" w:rsidP="009D4773">
      <w:pPr>
        <w:pStyle w:val="Titre"/>
        <w:spacing w:line="360" w:lineRule="auto"/>
        <w:rPr>
          <w:rFonts w:ascii="Book Antiqua" w:hAnsi="Book Antiqua"/>
        </w:rPr>
      </w:pPr>
    </w:p>
    <w:p w:rsidR="00351CEB" w:rsidRDefault="00351CEB" w:rsidP="009D4773">
      <w:pPr>
        <w:pStyle w:val="Titre"/>
        <w:spacing w:line="360" w:lineRule="auto"/>
        <w:ind w:firstLine="720"/>
        <w:rPr>
          <w:rFonts w:ascii="Book Antiqua" w:hAnsi="Book Antiqua"/>
        </w:rPr>
      </w:pPr>
    </w:p>
    <w:p w:rsidR="002D2A02" w:rsidRDefault="002D2A02" w:rsidP="009D4773">
      <w:pPr>
        <w:pStyle w:val="Titre"/>
        <w:spacing w:line="360" w:lineRule="auto"/>
        <w:ind w:firstLine="720"/>
        <w:rPr>
          <w:rFonts w:ascii="Book Antiqua" w:hAnsi="Book Antiqua"/>
        </w:rPr>
      </w:pPr>
    </w:p>
    <w:p w:rsidR="009D4773" w:rsidRDefault="009D4773" w:rsidP="009D4773">
      <w:pPr>
        <w:pStyle w:val="Titre"/>
        <w:spacing w:line="360" w:lineRule="auto"/>
        <w:ind w:firstLine="720"/>
        <w:rPr>
          <w:rFonts w:ascii="Book Antiqua" w:hAnsi="Book Antiqua"/>
        </w:rPr>
      </w:pPr>
    </w:p>
    <w:p w:rsidR="009D4773" w:rsidRDefault="009D4773" w:rsidP="009D4773">
      <w:pPr>
        <w:pStyle w:val="Titre"/>
        <w:spacing w:line="360" w:lineRule="auto"/>
        <w:ind w:firstLine="720"/>
        <w:rPr>
          <w:rFonts w:ascii="Book Antiqua" w:hAnsi="Book Antiqua"/>
        </w:rPr>
      </w:pPr>
    </w:p>
    <w:p w:rsidR="009D4773" w:rsidRDefault="009D4773" w:rsidP="009D4773">
      <w:pPr>
        <w:pStyle w:val="Titre"/>
        <w:spacing w:line="360" w:lineRule="auto"/>
        <w:ind w:firstLine="720"/>
        <w:rPr>
          <w:rFonts w:ascii="Book Antiqua" w:hAnsi="Book Antiqua"/>
        </w:rPr>
      </w:pPr>
    </w:p>
    <w:p w:rsidR="009D4773" w:rsidRDefault="009D4773" w:rsidP="009D4773">
      <w:pPr>
        <w:pStyle w:val="Titre"/>
        <w:spacing w:line="360" w:lineRule="auto"/>
        <w:ind w:firstLine="720"/>
        <w:rPr>
          <w:rFonts w:ascii="Book Antiqua" w:hAnsi="Book Antiqua"/>
        </w:rPr>
      </w:pPr>
    </w:p>
    <w:p w:rsidR="00D01A90" w:rsidRDefault="00914DF5" w:rsidP="009D4773">
      <w:pPr>
        <w:pStyle w:val="Titre"/>
        <w:spacing w:line="360" w:lineRule="auto"/>
        <w:ind w:firstLine="720"/>
        <w:jc w:val="right"/>
        <w:rPr>
          <w:rFonts w:ascii="Book Antiqua" w:hAnsi="Book Antiqua" w:cstheme="majorBidi"/>
          <w:sz w:val="24"/>
          <w:szCs w:val="24"/>
        </w:rPr>
      </w:pPr>
      <w:r w:rsidRPr="009D4773">
        <w:rPr>
          <w:rFonts w:ascii="Book Antiqua" w:hAnsi="Book Antiqua" w:cstheme="majorBidi"/>
          <w:sz w:val="24"/>
          <w:szCs w:val="24"/>
        </w:rPr>
        <w:t>Rabat</w:t>
      </w:r>
      <w:r w:rsidR="007069D8" w:rsidRPr="009D4773">
        <w:rPr>
          <w:rFonts w:ascii="Book Antiqua" w:hAnsi="Book Antiqua" w:cstheme="majorBidi"/>
          <w:sz w:val="24"/>
          <w:szCs w:val="24"/>
        </w:rPr>
        <w:t xml:space="preserve">, le </w:t>
      </w:r>
      <w:r w:rsidRPr="009D4773">
        <w:rPr>
          <w:rFonts w:ascii="Book Antiqua" w:hAnsi="Book Antiqua" w:cstheme="majorBidi"/>
          <w:sz w:val="24"/>
          <w:szCs w:val="24"/>
        </w:rPr>
        <w:t>20</w:t>
      </w:r>
      <w:r w:rsidR="00DA21EB" w:rsidRPr="009D4773">
        <w:rPr>
          <w:rFonts w:ascii="Book Antiqua" w:hAnsi="Book Antiqua" w:cstheme="majorBidi"/>
          <w:sz w:val="24"/>
          <w:szCs w:val="24"/>
        </w:rPr>
        <w:t xml:space="preserve"> </w:t>
      </w:r>
      <w:r w:rsidRPr="009D4773">
        <w:rPr>
          <w:rFonts w:ascii="Book Antiqua" w:hAnsi="Book Antiqua" w:cstheme="majorBidi"/>
          <w:sz w:val="24"/>
          <w:szCs w:val="24"/>
        </w:rPr>
        <w:t xml:space="preserve">Décembre </w:t>
      </w:r>
      <w:r w:rsidR="00FB0262" w:rsidRPr="009D4773">
        <w:rPr>
          <w:rFonts w:ascii="Book Antiqua" w:hAnsi="Book Antiqua" w:cstheme="majorBidi"/>
          <w:sz w:val="24"/>
          <w:szCs w:val="24"/>
        </w:rPr>
        <w:t>2017</w:t>
      </w:r>
    </w:p>
    <w:p w:rsidR="009D4773" w:rsidRPr="009D4773" w:rsidRDefault="009D4773" w:rsidP="009D4773">
      <w:pPr>
        <w:pStyle w:val="Titre"/>
        <w:spacing w:line="360" w:lineRule="auto"/>
        <w:ind w:firstLine="720"/>
        <w:jc w:val="right"/>
        <w:rPr>
          <w:rFonts w:ascii="Book Antiqua" w:hAnsi="Book Antiqua" w:cstheme="majorBidi"/>
          <w:sz w:val="24"/>
          <w:szCs w:val="24"/>
        </w:rPr>
      </w:pPr>
    </w:p>
    <w:p w:rsidR="009D4773" w:rsidRDefault="009D4773">
      <w:pPr>
        <w:rPr>
          <w:rFonts w:ascii="Book Antiqua" w:hAnsi="Book Antiqua"/>
          <w:color w:val="0000FF"/>
          <w:sz w:val="28"/>
          <w:szCs w:val="28"/>
        </w:rPr>
      </w:pPr>
      <w:r>
        <w:rPr>
          <w:rFonts w:ascii="Book Antiqua" w:hAnsi="Book Antiqua"/>
          <w:color w:val="0000FF"/>
        </w:rPr>
        <w:br w:type="page"/>
      </w:r>
    </w:p>
    <w:p w:rsidR="00714357" w:rsidRPr="00A56726" w:rsidRDefault="00714357" w:rsidP="009D4773">
      <w:pPr>
        <w:pStyle w:val="Titre"/>
        <w:spacing w:line="400" w:lineRule="exact"/>
        <w:ind w:firstLine="720"/>
        <w:jc w:val="left"/>
        <w:rPr>
          <w:rFonts w:ascii="Book Antiqua" w:hAnsi="Book Antiqua"/>
          <w:color w:val="0000FF"/>
        </w:rPr>
      </w:pPr>
    </w:p>
    <w:p w:rsidR="00914DF5" w:rsidRPr="00802BFB" w:rsidRDefault="00914DF5" w:rsidP="00802BFB">
      <w:pPr>
        <w:autoSpaceDE w:val="0"/>
        <w:autoSpaceDN w:val="0"/>
        <w:adjustRightInd w:val="0"/>
        <w:spacing w:before="120" w:after="120" w:line="312" w:lineRule="auto"/>
        <w:jc w:val="both"/>
        <w:rPr>
          <w:rFonts w:asciiTheme="majorBidi" w:hAnsiTheme="majorBidi" w:cstheme="majorBidi"/>
          <w:b w:val="0"/>
          <w:bCs w:val="0"/>
          <w:color w:val="000000"/>
        </w:rPr>
      </w:pPr>
      <w:r w:rsidRPr="00802BFB">
        <w:rPr>
          <w:rFonts w:asciiTheme="majorBidi" w:hAnsiTheme="majorBidi" w:cstheme="majorBidi"/>
          <w:b w:val="0"/>
          <w:bCs w:val="0"/>
          <w:color w:val="000000"/>
        </w:rPr>
        <w:t>Dans la continuité de ses travaux de réflexions sur le modèle de développement au Maroc, notamment sur les sources de la croissance économique nationale, l’accumulation du capital physique et du capital humain, l’allocation sectorielle des facteurs et sur la redistribution sociale et spatiale des fruits de la croissance, le HCP a réalisé deux études pour appréhender dans la première les déterminants structurels de l’évolution des niveaux de vie et dans la deuxième le partage du surplus de productivité de l’économie entre les différents agents économiques.</w:t>
      </w:r>
    </w:p>
    <w:p w:rsidR="00914DF5" w:rsidRPr="00914DF5" w:rsidRDefault="00914DF5" w:rsidP="00914DF5">
      <w:pPr>
        <w:jc w:val="both"/>
        <w:rPr>
          <w:rFonts w:asciiTheme="majorBidi" w:hAnsiTheme="majorBidi" w:cstheme="majorBidi"/>
          <w:b w:val="0"/>
          <w:bCs w:val="0"/>
        </w:rPr>
      </w:pPr>
    </w:p>
    <w:p w:rsidR="00914DF5" w:rsidRPr="00914DF5" w:rsidRDefault="00914DF5" w:rsidP="00914DF5">
      <w:pPr>
        <w:pStyle w:val="Paragraphedeliste"/>
        <w:numPr>
          <w:ilvl w:val="0"/>
          <w:numId w:val="41"/>
        </w:numPr>
        <w:jc w:val="both"/>
        <w:rPr>
          <w:rFonts w:asciiTheme="majorBidi" w:hAnsiTheme="majorBidi" w:cstheme="majorBidi"/>
          <w:b/>
          <w:bCs/>
          <w:sz w:val="24"/>
          <w:szCs w:val="24"/>
        </w:rPr>
      </w:pPr>
      <w:r w:rsidRPr="00914DF5">
        <w:rPr>
          <w:rFonts w:asciiTheme="majorBidi" w:hAnsiTheme="majorBidi" w:cstheme="majorBidi"/>
          <w:b/>
          <w:bCs/>
          <w:sz w:val="24"/>
          <w:szCs w:val="24"/>
        </w:rPr>
        <w:t xml:space="preserve">Les déterminants structurels de l’évolution du PIB par habitant </w:t>
      </w:r>
    </w:p>
    <w:p w:rsidR="00914DF5" w:rsidRPr="00802BFB" w:rsidRDefault="00914DF5" w:rsidP="00802BFB">
      <w:pPr>
        <w:autoSpaceDE w:val="0"/>
        <w:autoSpaceDN w:val="0"/>
        <w:adjustRightInd w:val="0"/>
        <w:spacing w:before="120" w:after="120" w:line="312" w:lineRule="auto"/>
        <w:jc w:val="both"/>
        <w:rPr>
          <w:rFonts w:asciiTheme="majorBidi" w:hAnsiTheme="majorBidi" w:cstheme="majorBidi"/>
          <w:b w:val="0"/>
          <w:bCs w:val="0"/>
          <w:color w:val="000000"/>
        </w:rPr>
      </w:pPr>
      <w:r w:rsidRPr="00802BFB">
        <w:rPr>
          <w:rFonts w:asciiTheme="majorBidi" w:hAnsiTheme="majorBidi" w:cstheme="majorBidi"/>
          <w:b w:val="0"/>
          <w:bCs w:val="0"/>
          <w:color w:val="000000"/>
        </w:rPr>
        <w:t>L’objectif est d’appréhender la contribution des facteurs structurels à la croissance de la valeur ajoutée (VA) par habitant au Maroc, notamment l’effet démographique, l’effet emploi et l’effet productivité du travail. L’accent est mis également sur la contribution de la réallocation sectorielle de l’emploi, de l’intensité capitalistique et de la productivité globale des facteurs à l’amélioration de la productivité du travail.</w:t>
      </w:r>
    </w:p>
    <w:p w:rsidR="00914DF5" w:rsidRPr="00914DF5" w:rsidRDefault="00914DF5" w:rsidP="00914DF5">
      <w:pPr>
        <w:autoSpaceDE w:val="0"/>
        <w:autoSpaceDN w:val="0"/>
        <w:adjustRightInd w:val="0"/>
        <w:spacing w:before="120" w:after="120" w:line="312" w:lineRule="auto"/>
        <w:jc w:val="both"/>
        <w:rPr>
          <w:rFonts w:asciiTheme="majorBidi" w:hAnsiTheme="majorBidi" w:cstheme="majorBidi"/>
          <w:b w:val="0"/>
          <w:bCs w:val="0"/>
          <w:color w:val="000000"/>
        </w:rPr>
      </w:pPr>
      <w:r w:rsidRPr="00802BFB">
        <w:rPr>
          <w:rFonts w:asciiTheme="majorBidi" w:hAnsiTheme="majorBidi" w:cstheme="majorBidi"/>
          <w:color w:val="000000"/>
        </w:rPr>
        <w:t>Le facteur démographique</w:t>
      </w:r>
      <w:r w:rsidRPr="00914DF5">
        <w:rPr>
          <w:rFonts w:asciiTheme="majorBidi" w:hAnsiTheme="majorBidi" w:cstheme="majorBidi"/>
          <w:b w:val="0"/>
          <w:bCs w:val="0"/>
          <w:color w:val="000000"/>
        </w:rPr>
        <w:t xml:space="preserve"> est approché par le rapport du nombre de personnes en âge de travailler à la population totale. Il appréhende la charge de financement de l'ensemble de la population supportée par la population active. Une amélioration de ce ratio démographique favorise l’augmentation du PIB par habitant.</w:t>
      </w:r>
    </w:p>
    <w:p w:rsidR="00914DF5" w:rsidRPr="00914DF5" w:rsidRDefault="00914DF5" w:rsidP="00914DF5">
      <w:pPr>
        <w:autoSpaceDE w:val="0"/>
        <w:autoSpaceDN w:val="0"/>
        <w:adjustRightInd w:val="0"/>
        <w:spacing w:before="120" w:after="120" w:line="312" w:lineRule="auto"/>
        <w:jc w:val="both"/>
        <w:rPr>
          <w:rFonts w:asciiTheme="majorBidi" w:hAnsiTheme="majorBidi" w:cstheme="majorBidi"/>
          <w:b w:val="0"/>
          <w:bCs w:val="0"/>
          <w:color w:val="000000"/>
        </w:rPr>
      </w:pPr>
      <w:r w:rsidRPr="00802BFB">
        <w:rPr>
          <w:rFonts w:asciiTheme="majorBidi" w:hAnsiTheme="majorBidi" w:cstheme="majorBidi"/>
          <w:color w:val="000000"/>
        </w:rPr>
        <w:t>L’effet emploi</w:t>
      </w:r>
      <w:r w:rsidRPr="00914DF5">
        <w:rPr>
          <w:rFonts w:asciiTheme="majorBidi" w:hAnsiTheme="majorBidi" w:cstheme="majorBidi"/>
          <w:b w:val="0"/>
          <w:bCs w:val="0"/>
          <w:color w:val="000000"/>
        </w:rPr>
        <w:t> est approché par le taux d’emploi qui est le rapport de la population ayant un emploi à la population en âge de travailler, lequel prend en compte à la fois les évolutions du taux d'activité et du chômage. L’augmentation du taux d’activité ou la baisse du taux de chômage favorise l’amélioration du taux d’emploi et par conséquent l’amélioration du niveau de vie de la population du pays.</w:t>
      </w:r>
    </w:p>
    <w:p w:rsidR="00914DF5" w:rsidRPr="00914DF5" w:rsidRDefault="00914DF5" w:rsidP="00914DF5">
      <w:pPr>
        <w:autoSpaceDE w:val="0"/>
        <w:autoSpaceDN w:val="0"/>
        <w:adjustRightInd w:val="0"/>
        <w:spacing w:before="120" w:after="120" w:line="312" w:lineRule="auto"/>
        <w:jc w:val="both"/>
        <w:rPr>
          <w:rFonts w:asciiTheme="majorBidi" w:hAnsiTheme="majorBidi" w:cstheme="majorBidi"/>
          <w:b w:val="0"/>
          <w:bCs w:val="0"/>
          <w:color w:val="000000"/>
        </w:rPr>
      </w:pPr>
      <w:r w:rsidRPr="00802BFB">
        <w:rPr>
          <w:rFonts w:asciiTheme="majorBidi" w:hAnsiTheme="majorBidi" w:cstheme="majorBidi"/>
          <w:color w:val="000000"/>
        </w:rPr>
        <w:t>La productivité du travail</w:t>
      </w:r>
      <w:r w:rsidRPr="00914DF5">
        <w:rPr>
          <w:rFonts w:asciiTheme="majorBidi" w:hAnsiTheme="majorBidi" w:cstheme="majorBidi"/>
          <w:b w:val="0"/>
          <w:bCs w:val="0"/>
          <w:color w:val="000000"/>
        </w:rPr>
        <w:t xml:space="preserve">, production par actif occupé, qui, selon l’approche de la comptabilité de croissance, est la résultante à la fois du volume de capital mis à la disposition d’un actif (intensité capitalistique) et de la productivité globale des facteurs (PGF). Cette dernière n’est autre que l'augmentation de l'efficacité globale du processus de production et d’une utilisation plus efficace de la combinaison capital-travail, permise par une réorganisation du travail ou bien par l'introduction de plus d'innovations. </w:t>
      </w:r>
    </w:p>
    <w:p w:rsidR="00914DF5" w:rsidRDefault="00914DF5" w:rsidP="00914DF5">
      <w:pPr>
        <w:autoSpaceDE w:val="0"/>
        <w:autoSpaceDN w:val="0"/>
        <w:adjustRightInd w:val="0"/>
        <w:spacing w:before="120" w:after="120" w:line="312" w:lineRule="auto"/>
        <w:jc w:val="both"/>
        <w:rPr>
          <w:rFonts w:asciiTheme="majorBidi" w:hAnsiTheme="majorBidi" w:cstheme="majorBidi"/>
          <w:b w:val="0"/>
          <w:bCs w:val="0"/>
          <w:color w:val="000000"/>
        </w:rPr>
      </w:pPr>
      <w:r w:rsidRPr="00914DF5">
        <w:rPr>
          <w:rFonts w:asciiTheme="majorBidi" w:hAnsiTheme="majorBidi" w:cstheme="majorBidi"/>
          <w:b w:val="0"/>
          <w:bCs w:val="0"/>
          <w:color w:val="000000"/>
        </w:rPr>
        <w:t>L’étude est conduite en se référant aux comptes de la nation et aux résultats de l’enquête nationale sur l’emploi. Elle détermine en fait la contribution, au niveau des secteurs d’activité et au niveau de l’économie dans son ensemble, de chacun des facteurs susmentionnés sur l’évolution de la valeur ajoutée par habitant sur la période 2001- 2015.</w:t>
      </w:r>
    </w:p>
    <w:p w:rsidR="00914DF5" w:rsidRDefault="00914DF5"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5937EA" w:rsidRDefault="005937EA"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5937EA" w:rsidRPr="00914DF5" w:rsidRDefault="005937EA"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914DF5" w:rsidRPr="00914DF5" w:rsidRDefault="00914DF5" w:rsidP="00914DF5">
      <w:pPr>
        <w:pStyle w:val="Paragraphedeliste"/>
        <w:numPr>
          <w:ilvl w:val="1"/>
          <w:numId w:val="42"/>
        </w:numPr>
        <w:tabs>
          <w:tab w:val="left" w:pos="709"/>
        </w:tabs>
        <w:ind w:hanging="76"/>
        <w:jc w:val="both"/>
        <w:rPr>
          <w:rFonts w:asciiTheme="majorBidi" w:hAnsiTheme="majorBidi" w:cstheme="majorBidi"/>
          <w:b/>
          <w:bCs/>
          <w:color w:val="000000"/>
          <w:sz w:val="24"/>
          <w:szCs w:val="24"/>
        </w:rPr>
      </w:pPr>
      <w:r w:rsidRPr="00914DF5">
        <w:rPr>
          <w:rFonts w:asciiTheme="majorBidi" w:hAnsiTheme="majorBidi" w:cstheme="majorBidi"/>
          <w:b/>
          <w:bCs/>
          <w:color w:val="000000"/>
          <w:sz w:val="24"/>
          <w:szCs w:val="24"/>
        </w:rPr>
        <w:t>Forte contribution de la productivité du travail à la création de la richesse</w:t>
      </w:r>
    </w:p>
    <w:p w:rsidR="005D1D5A" w:rsidRDefault="005D1D5A"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914DF5" w:rsidRPr="00914DF5" w:rsidRDefault="00914DF5" w:rsidP="00914DF5">
      <w:pPr>
        <w:autoSpaceDE w:val="0"/>
        <w:autoSpaceDN w:val="0"/>
        <w:adjustRightInd w:val="0"/>
        <w:spacing w:before="120" w:after="120" w:line="312" w:lineRule="auto"/>
        <w:jc w:val="both"/>
        <w:rPr>
          <w:rFonts w:asciiTheme="majorBidi" w:hAnsiTheme="majorBidi" w:cstheme="majorBidi"/>
          <w:b w:val="0"/>
          <w:bCs w:val="0"/>
          <w:color w:val="000000"/>
        </w:rPr>
      </w:pPr>
      <w:r w:rsidRPr="00914DF5">
        <w:rPr>
          <w:rFonts w:asciiTheme="majorBidi" w:hAnsiTheme="majorBidi" w:cstheme="majorBidi"/>
          <w:b w:val="0"/>
          <w:bCs w:val="0"/>
          <w:color w:val="000000"/>
        </w:rPr>
        <w:t xml:space="preserve">Le produit intérieur brut (PIB) par habitant s’est accru de 3,2% par an entre  les années 2001 et 2015. Cette amélioration s’explique principalement par l’augmentation de la productivité du travail, suivi de l’effet démographique (part de la population en âge de travailler sur la population totale) au moment où le taux d’emploi s’est inscrit dans une baisse continue durant cette période. La contribution de la productivité du travail a été de 92,5% et celle de l’effet démographique de 19,8%. La contribution de l’effet emploi (taux d’emploi) a été négative de 12,2%. </w:t>
      </w:r>
    </w:p>
    <w:p w:rsidR="005D1D5A" w:rsidRDefault="005D1D5A"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914DF5" w:rsidRDefault="00914DF5" w:rsidP="00914DF5">
      <w:pPr>
        <w:autoSpaceDE w:val="0"/>
        <w:autoSpaceDN w:val="0"/>
        <w:adjustRightInd w:val="0"/>
        <w:spacing w:before="120" w:after="120" w:line="312" w:lineRule="auto"/>
        <w:jc w:val="both"/>
        <w:rPr>
          <w:rFonts w:asciiTheme="majorBidi" w:hAnsiTheme="majorBidi" w:cstheme="majorBidi"/>
          <w:b w:val="0"/>
          <w:bCs w:val="0"/>
          <w:color w:val="000000"/>
        </w:rPr>
      </w:pPr>
      <w:r w:rsidRPr="00914DF5">
        <w:rPr>
          <w:rFonts w:asciiTheme="majorBidi" w:hAnsiTheme="majorBidi" w:cstheme="majorBidi"/>
          <w:b w:val="0"/>
          <w:bCs w:val="0"/>
          <w:color w:val="000000"/>
        </w:rPr>
        <w:t xml:space="preserve">La productivité du travail s’est accrue durant cette période de 2,9% par an en moyenne et le ratio de la population en âge d’activité à la population totale a augmenté de 0,4 point en moyenne annuelle entre 2001 à 2015. Le taux d’emploi, qui appréhende la dynamique du marché de l’emploi par rapport aux opportunités offertes par l’évolution démographique, a connu quant à lui une baisse de 0,2 point en moyenne annuelle, passant de 45,1% en 2001 à 42,7% en 2015. </w:t>
      </w:r>
    </w:p>
    <w:p w:rsidR="005D1D5A" w:rsidRPr="00914DF5" w:rsidRDefault="005D1D5A"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914DF5" w:rsidRPr="00914DF5" w:rsidRDefault="00914DF5" w:rsidP="00914DF5">
      <w:pPr>
        <w:jc w:val="both"/>
        <w:rPr>
          <w:rFonts w:asciiTheme="majorBidi" w:hAnsiTheme="majorBidi" w:cstheme="majorBidi"/>
          <w:b w:val="0"/>
          <w:bCs w:val="0"/>
          <w:color w:val="000000"/>
        </w:rPr>
      </w:pPr>
      <w:r w:rsidRPr="009D4773">
        <w:rPr>
          <w:rFonts w:asciiTheme="majorBidi" w:hAnsiTheme="majorBidi" w:cstheme="majorBidi"/>
          <w:color w:val="000000"/>
        </w:rPr>
        <w:t>Tableau 1</w:t>
      </w:r>
      <w:r w:rsidR="009D4773">
        <w:rPr>
          <w:rFonts w:asciiTheme="majorBidi" w:hAnsiTheme="majorBidi" w:cstheme="majorBidi"/>
          <w:color w:val="000000"/>
        </w:rPr>
        <w:t xml:space="preserve"> </w:t>
      </w:r>
      <w:r w:rsidRPr="00914DF5">
        <w:rPr>
          <w:rFonts w:asciiTheme="majorBidi" w:hAnsiTheme="majorBidi" w:cstheme="majorBidi"/>
          <w:b w:val="0"/>
          <w:bCs w:val="0"/>
          <w:color w:val="000000"/>
        </w:rPr>
        <w:t>: Evolution des déterminants du PIB par habitant (en %)</w:t>
      </w:r>
    </w:p>
    <w:tbl>
      <w:tblPr>
        <w:tblW w:w="8733"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559"/>
        <w:gridCol w:w="1701"/>
        <w:gridCol w:w="1917"/>
      </w:tblGrid>
      <w:tr w:rsidR="00914DF5" w:rsidRPr="00914DF5" w:rsidTr="00914DF5">
        <w:trPr>
          <w:trHeight w:val="300"/>
        </w:trPr>
        <w:tc>
          <w:tcPr>
            <w:tcW w:w="3556" w:type="dxa"/>
            <w:vMerge w:val="restart"/>
            <w:shd w:val="clear" w:color="auto" w:fill="auto"/>
            <w:noWrap/>
            <w:vAlign w:val="bottom"/>
            <w:hideMark/>
          </w:tcPr>
          <w:p w:rsidR="00914DF5" w:rsidRPr="009D4773" w:rsidRDefault="00914DF5" w:rsidP="00914DF5">
            <w:pPr>
              <w:jc w:val="center"/>
              <w:rPr>
                <w:rFonts w:asciiTheme="majorBidi" w:hAnsiTheme="majorBidi" w:cstheme="majorBidi"/>
                <w:color w:val="000000"/>
              </w:rPr>
            </w:pPr>
            <w:r w:rsidRPr="009D4773">
              <w:rPr>
                <w:rFonts w:asciiTheme="majorBidi" w:hAnsiTheme="majorBidi" w:cstheme="majorBidi"/>
                <w:color w:val="000000"/>
              </w:rPr>
              <w:t>Rubriques</w:t>
            </w:r>
          </w:p>
        </w:tc>
        <w:tc>
          <w:tcPr>
            <w:tcW w:w="1559" w:type="dxa"/>
            <w:shd w:val="clear" w:color="auto" w:fill="auto"/>
            <w:noWrap/>
            <w:vAlign w:val="bottom"/>
            <w:hideMark/>
          </w:tcPr>
          <w:p w:rsidR="00914DF5" w:rsidRPr="009D4773" w:rsidRDefault="00914DF5" w:rsidP="009D4773">
            <w:pPr>
              <w:jc w:val="center"/>
              <w:rPr>
                <w:rFonts w:asciiTheme="majorBidi" w:hAnsiTheme="majorBidi" w:cstheme="majorBidi"/>
                <w:color w:val="000000"/>
              </w:rPr>
            </w:pPr>
            <w:r w:rsidRPr="009D4773">
              <w:rPr>
                <w:rFonts w:asciiTheme="majorBidi" w:hAnsiTheme="majorBidi" w:cstheme="majorBidi"/>
                <w:color w:val="000000"/>
              </w:rPr>
              <w:t>2001-2008</w:t>
            </w:r>
          </w:p>
        </w:tc>
        <w:tc>
          <w:tcPr>
            <w:tcW w:w="1701" w:type="dxa"/>
            <w:shd w:val="clear" w:color="auto" w:fill="auto"/>
            <w:noWrap/>
            <w:vAlign w:val="bottom"/>
            <w:hideMark/>
          </w:tcPr>
          <w:p w:rsidR="00914DF5" w:rsidRPr="009D4773" w:rsidRDefault="00914DF5" w:rsidP="009D4773">
            <w:pPr>
              <w:jc w:val="center"/>
              <w:rPr>
                <w:rFonts w:asciiTheme="majorBidi" w:hAnsiTheme="majorBidi" w:cstheme="majorBidi"/>
                <w:color w:val="000000"/>
              </w:rPr>
            </w:pPr>
            <w:r w:rsidRPr="009D4773">
              <w:rPr>
                <w:rFonts w:asciiTheme="majorBidi" w:hAnsiTheme="majorBidi" w:cstheme="majorBidi"/>
                <w:color w:val="000000"/>
              </w:rPr>
              <w:t>2008-2015</w:t>
            </w:r>
          </w:p>
        </w:tc>
        <w:tc>
          <w:tcPr>
            <w:tcW w:w="1917" w:type="dxa"/>
            <w:shd w:val="clear" w:color="auto" w:fill="auto"/>
            <w:noWrap/>
            <w:vAlign w:val="bottom"/>
            <w:hideMark/>
          </w:tcPr>
          <w:p w:rsidR="00914DF5" w:rsidRPr="009D4773" w:rsidRDefault="00914DF5" w:rsidP="009D4773">
            <w:pPr>
              <w:jc w:val="center"/>
              <w:rPr>
                <w:rFonts w:asciiTheme="majorBidi" w:hAnsiTheme="majorBidi" w:cstheme="majorBidi"/>
                <w:color w:val="000000"/>
              </w:rPr>
            </w:pPr>
            <w:r w:rsidRPr="009D4773">
              <w:rPr>
                <w:rFonts w:asciiTheme="majorBidi" w:hAnsiTheme="majorBidi" w:cstheme="majorBidi"/>
                <w:color w:val="000000"/>
              </w:rPr>
              <w:t>2001-2015</w:t>
            </w:r>
          </w:p>
        </w:tc>
      </w:tr>
      <w:tr w:rsidR="00914DF5" w:rsidRPr="00914DF5" w:rsidTr="00914DF5">
        <w:trPr>
          <w:trHeight w:val="300"/>
        </w:trPr>
        <w:tc>
          <w:tcPr>
            <w:tcW w:w="3556" w:type="dxa"/>
            <w:vMerge/>
            <w:shd w:val="clear" w:color="auto" w:fill="auto"/>
            <w:noWrap/>
            <w:vAlign w:val="bottom"/>
            <w:hideMark/>
          </w:tcPr>
          <w:p w:rsidR="00914DF5" w:rsidRPr="00914DF5" w:rsidRDefault="00914DF5" w:rsidP="00914DF5">
            <w:pPr>
              <w:rPr>
                <w:rFonts w:asciiTheme="majorBidi" w:hAnsiTheme="majorBidi" w:cstheme="majorBidi"/>
                <w:b w:val="0"/>
                <w:bCs w:val="0"/>
                <w:color w:val="000000"/>
              </w:rPr>
            </w:pPr>
          </w:p>
        </w:tc>
        <w:tc>
          <w:tcPr>
            <w:tcW w:w="5177" w:type="dxa"/>
            <w:gridSpan w:val="3"/>
            <w:shd w:val="clear" w:color="auto" w:fill="auto"/>
            <w:noWrap/>
            <w:vAlign w:val="bottom"/>
            <w:hideMark/>
          </w:tcPr>
          <w:p w:rsidR="00914DF5" w:rsidRPr="009D4773" w:rsidRDefault="00914DF5" w:rsidP="00914DF5">
            <w:pPr>
              <w:jc w:val="center"/>
              <w:rPr>
                <w:rFonts w:asciiTheme="majorBidi" w:hAnsiTheme="majorBidi" w:cstheme="majorBidi"/>
                <w:color w:val="000000"/>
              </w:rPr>
            </w:pPr>
            <w:r w:rsidRPr="009D4773">
              <w:rPr>
                <w:rFonts w:asciiTheme="majorBidi" w:hAnsiTheme="majorBidi" w:cstheme="majorBidi"/>
                <w:color w:val="000000"/>
              </w:rPr>
              <w:t>Croissance annuelle moyenne en %</w:t>
            </w:r>
          </w:p>
        </w:tc>
      </w:tr>
      <w:tr w:rsidR="00914DF5" w:rsidRPr="00914DF5" w:rsidTr="00914DF5">
        <w:trPr>
          <w:trHeight w:val="300"/>
        </w:trPr>
        <w:tc>
          <w:tcPr>
            <w:tcW w:w="3556" w:type="dxa"/>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PIB par habitant</w:t>
            </w:r>
          </w:p>
        </w:tc>
        <w:tc>
          <w:tcPr>
            <w:tcW w:w="1559"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3,6</w:t>
            </w:r>
          </w:p>
        </w:tc>
        <w:tc>
          <w:tcPr>
            <w:tcW w:w="1701"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2,7</w:t>
            </w:r>
          </w:p>
        </w:tc>
        <w:tc>
          <w:tcPr>
            <w:tcW w:w="1917"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3,2</w:t>
            </w:r>
          </w:p>
        </w:tc>
      </w:tr>
      <w:tr w:rsidR="00914DF5" w:rsidRPr="00914DF5" w:rsidTr="00914DF5">
        <w:trPr>
          <w:trHeight w:val="300"/>
        </w:trPr>
        <w:tc>
          <w:tcPr>
            <w:tcW w:w="3556" w:type="dxa"/>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Productivité du travail</w:t>
            </w:r>
          </w:p>
        </w:tc>
        <w:tc>
          <w:tcPr>
            <w:tcW w:w="1559"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2,8</w:t>
            </w:r>
          </w:p>
        </w:tc>
        <w:tc>
          <w:tcPr>
            <w:tcW w:w="1701"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3,1</w:t>
            </w:r>
          </w:p>
        </w:tc>
        <w:tc>
          <w:tcPr>
            <w:tcW w:w="1917"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2,9</w:t>
            </w:r>
          </w:p>
        </w:tc>
      </w:tr>
      <w:tr w:rsidR="00914DF5" w:rsidRPr="00914DF5" w:rsidTr="00914DF5">
        <w:trPr>
          <w:trHeight w:val="300"/>
        </w:trPr>
        <w:tc>
          <w:tcPr>
            <w:tcW w:w="3556" w:type="dxa"/>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Taux d'emploi</w:t>
            </w:r>
          </w:p>
        </w:tc>
        <w:tc>
          <w:tcPr>
            <w:tcW w:w="1559"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0,2</w:t>
            </w:r>
          </w:p>
        </w:tc>
        <w:tc>
          <w:tcPr>
            <w:tcW w:w="1701"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-1,0</w:t>
            </w:r>
          </w:p>
        </w:tc>
        <w:tc>
          <w:tcPr>
            <w:tcW w:w="1917"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-0,4</w:t>
            </w:r>
          </w:p>
        </w:tc>
      </w:tr>
      <w:tr w:rsidR="00914DF5" w:rsidRPr="00914DF5" w:rsidTr="00914DF5">
        <w:trPr>
          <w:trHeight w:val="555"/>
        </w:trPr>
        <w:tc>
          <w:tcPr>
            <w:tcW w:w="3556" w:type="dxa"/>
            <w:shd w:val="clear" w:color="auto" w:fill="auto"/>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Ratio population en âge d'activité sur population totale</w:t>
            </w:r>
          </w:p>
        </w:tc>
        <w:tc>
          <w:tcPr>
            <w:tcW w:w="1559"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0,6</w:t>
            </w:r>
          </w:p>
        </w:tc>
        <w:tc>
          <w:tcPr>
            <w:tcW w:w="1701"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0,6</w:t>
            </w:r>
          </w:p>
        </w:tc>
        <w:tc>
          <w:tcPr>
            <w:tcW w:w="1917"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0,6</w:t>
            </w:r>
          </w:p>
        </w:tc>
      </w:tr>
      <w:tr w:rsidR="00914DF5" w:rsidRPr="00914DF5" w:rsidTr="00914DF5">
        <w:trPr>
          <w:trHeight w:val="300"/>
        </w:trPr>
        <w:tc>
          <w:tcPr>
            <w:tcW w:w="3556" w:type="dxa"/>
            <w:shd w:val="clear" w:color="auto" w:fill="auto"/>
            <w:noWrap/>
            <w:vAlign w:val="bottom"/>
            <w:hideMark/>
          </w:tcPr>
          <w:p w:rsidR="00914DF5" w:rsidRPr="00914DF5" w:rsidRDefault="00914DF5" w:rsidP="00914DF5">
            <w:pPr>
              <w:rPr>
                <w:rFonts w:asciiTheme="majorBidi" w:hAnsiTheme="majorBidi" w:cstheme="majorBidi"/>
                <w:b w:val="0"/>
                <w:bCs w:val="0"/>
                <w:color w:val="000000"/>
              </w:rPr>
            </w:pPr>
          </w:p>
        </w:tc>
        <w:tc>
          <w:tcPr>
            <w:tcW w:w="5177" w:type="dxa"/>
            <w:gridSpan w:val="3"/>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Contribution à la croissance du PIB par habitant en %</w:t>
            </w:r>
          </w:p>
        </w:tc>
      </w:tr>
      <w:tr w:rsidR="00914DF5" w:rsidRPr="00914DF5" w:rsidTr="00914DF5">
        <w:trPr>
          <w:trHeight w:val="300"/>
        </w:trPr>
        <w:tc>
          <w:tcPr>
            <w:tcW w:w="3556" w:type="dxa"/>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Productivité du travail</w:t>
            </w:r>
          </w:p>
        </w:tc>
        <w:tc>
          <w:tcPr>
            <w:tcW w:w="1559"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76,8</w:t>
            </w:r>
          </w:p>
        </w:tc>
        <w:tc>
          <w:tcPr>
            <w:tcW w:w="1701"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113,3</w:t>
            </w:r>
          </w:p>
        </w:tc>
        <w:tc>
          <w:tcPr>
            <w:tcW w:w="1917"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92,5</w:t>
            </w:r>
          </w:p>
        </w:tc>
      </w:tr>
      <w:tr w:rsidR="00914DF5" w:rsidRPr="00914DF5" w:rsidTr="00914DF5">
        <w:trPr>
          <w:trHeight w:val="300"/>
        </w:trPr>
        <w:tc>
          <w:tcPr>
            <w:tcW w:w="3556" w:type="dxa"/>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Taux d'emploi</w:t>
            </w:r>
          </w:p>
        </w:tc>
        <w:tc>
          <w:tcPr>
            <w:tcW w:w="1559"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5,4</w:t>
            </w:r>
          </w:p>
        </w:tc>
        <w:tc>
          <w:tcPr>
            <w:tcW w:w="1701"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-35,3</w:t>
            </w:r>
          </w:p>
        </w:tc>
        <w:tc>
          <w:tcPr>
            <w:tcW w:w="1917"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-12,2</w:t>
            </w:r>
          </w:p>
        </w:tc>
      </w:tr>
      <w:tr w:rsidR="00914DF5" w:rsidRPr="00914DF5" w:rsidTr="00914DF5">
        <w:trPr>
          <w:trHeight w:val="600"/>
        </w:trPr>
        <w:tc>
          <w:tcPr>
            <w:tcW w:w="3556" w:type="dxa"/>
            <w:shd w:val="clear" w:color="auto" w:fill="auto"/>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Ratio population en âge d'activité sur population totale</w:t>
            </w:r>
          </w:p>
        </w:tc>
        <w:tc>
          <w:tcPr>
            <w:tcW w:w="1559"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17,8</w:t>
            </w:r>
          </w:p>
        </w:tc>
        <w:tc>
          <w:tcPr>
            <w:tcW w:w="1701"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21,9</w:t>
            </w:r>
          </w:p>
        </w:tc>
        <w:tc>
          <w:tcPr>
            <w:tcW w:w="1917"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19,8</w:t>
            </w:r>
          </w:p>
        </w:tc>
      </w:tr>
      <w:tr w:rsidR="00914DF5" w:rsidRPr="00914DF5" w:rsidTr="00914DF5">
        <w:trPr>
          <w:trHeight w:val="600"/>
        </w:trPr>
        <w:tc>
          <w:tcPr>
            <w:tcW w:w="3556" w:type="dxa"/>
            <w:shd w:val="clear" w:color="auto" w:fill="auto"/>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PIB par habitant</w:t>
            </w:r>
          </w:p>
        </w:tc>
        <w:tc>
          <w:tcPr>
            <w:tcW w:w="1559"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100</w:t>
            </w:r>
          </w:p>
        </w:tc>
        <w:tc>
          <w:tcPr>
            <w:tcW w:w="1701"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100</w:t>
            </w:r>
          </w:p>
        </w:tc>
        <w:tc>
          <w:tcPr>
            <w:tcW w:w="1917"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100</w:t>
            </w:r>
          </w:p>
        </w:tc>
      </w:tr>
    </w:tbl>
    <w:p w:rsidR="00914DF5" w:rsidRPr="00914DF5" w:rsidRDefault="00914DF5" w:rsidP="00914DF5">
      <w:pPr>
        <w:jc w:val="both"/>
        <w:rPr>
          <w:rFonts w:asciiTheme="majorBidi" w:hAnsiTheme="majorBidi" w:cstheme="majorBidi"/>
          <w:b w:val="0"/>
          <w:bCs w:val="0"/>
          <w:sz w:val="20"/>
          <w:szCs w:val="20"/>
        </w:rPr>
      </w:pPr>
      <w:r w:rsidRPr="00914DF5">
        <w:rPr>
          <w:rFonts w:asciiTheme="majorBidi" w:hAnsiTheme="majorBidi" w:cstheme="majorBidi"/>
          <w:b w:val="0"/>
          <w:bCs w:val="0"/>
          <w:sz w:val="20"/>
          <w:szCs w:val="20"/>
        </w:rPr>
        <w:t>Source : HCP</w:t>
      </w:r>
    </w:p>
    <w:p w:rsidR="00802BFB" w:rsidRDefault="00802BFB"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5D1D5A" w:rsidRDefault="005D1D5A"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5D1D5A" w:rsidRDefault="005D1D5A"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5D1D5A" w:rsidRDefault="005D1D5A"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914DF5" w:rsidRDefault="00914DF5" w:rsidP="00914DF5">
      <w:pPr>
        <w:autoSpaceDE w:val="0"/>
        <w:autoSpaceDN w:val="0"/>
        <w:adjustRightInd w:val="0"/>
        <w:spacing w:before="120" w:after="120" w:line="312" w:lineRule="auto"/>
        <w:jc w:val="both"/>
        <w:rPr>
          <w:rFonts w:asciiTheme="majorBidi" w:hAnsiTheme="majorBidi" w:cstheme="majorBidi"/>
          <w:b w:val="0"/>
          <w:bCs w:val="0"/>
          <w:color w:val="000000"/>
        </w:rPr>
      </w:pPr>
      <w:r w:rsidRPr="00914DF5">
        <w:rPr>
          <w:rFonts w:asciiTheme="majorBidi" w:hAnsiTheme="majorBidi" w:cstheme="majorBidi"/>
          <w:b w:val="0"/>
          <w:bCs w:val="0"/>
          <w:color w:val="000000"/>
        </w:rPr>
        <w:lastRenderedPageBreak/>
        <w:t xml:space="preserve">Toutefois, le PIB par habitant a connu un ralentissement de sa croissance entre les périodes 2001-2008 et 2008-2015, passant respectivement de 3,6% par an à 2,7%. Ce ralentissement s’explique par la régression du taux d’emploi induisant une contribution négative de 35,3% à la croissance du PIB par habitant au lieu d’une contribution positive de 5,4% durant la première période. L’amélioration de la productivité du travail a permis néanmoins d’absorber cet effet de la baisse du taux d’emploi. </w:t>
      </w:r>
    </w:p>
    <w:p w:rsidR="005937EA" w:rsidRPr="00914DF5" w:rsidRDefault="005937EA"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914DF5" w:rsidRPr="00914DF5" w:rsidRDefault="00914DF5" w:rsidP="00914DF5">
      <w:pPr>
        <w:autoSpaceDE w:val="0"/>
        <w:autoSpaceDN w:val="0"/>
        <w:adjustRightInd w:val="0"/>
        <w:spacing w:before="120" w:after="120" w:line="312" w:lineRule="auto"/>
        <w:jc w:val="both"/>
        <w:rPr>
          <w:rFonts w:asciiTheme="majorBidi" w:hAnsiTheme="majorBidi" w:cstheme="majorBidi"/>
          <w:b w:val="0"/>
          <w:bCs w:val="0"/>
          <w:color w:val="000000"/>
        </w:rPr>
      </w:pPr>
      <w:r w:rsidRPr="00914DF5">
        <w:rPr>
          <w:rFonts w:asciiTheme="majorBidi" w:hAnsiTheme="majorBidi" w:cstheme="majorBidi"/>
          <w:b w:val="0"/>
          <w:bCs w:val="0"/>
          <w:color w:val="000000"/>
        </w:rPr>
        <w:t>La contribution négative de l’effet emploi montre que les structures économiques n’ont pas permis de valoriser le potentiel offert par l’effet démographique. En effet, les créations d’emploi au niveau de l’économie qui étaient en moyenne annuelle de 186 mille postes entre 2001-2008 ont baissé à seulement 70 mille postes entre 2008-2015.</w:t>
      </w:r>
    </w:p>
    <w:p w:rsidR="00914DF5" w:rsidRPr="00914DF5" w:rsidRDefault="00914DF5" w:rsidP="00F45D35">
      <w:pPr>
        <w:autoSpaceDE w:val="0"/>
        <w:autoSpaceDN w:val="0"/>
        <w:adjustRightInd w:val="0"/>
        <w:spacing w:before="120" w:after="120" w:line="312" w:lineRule="auto"/>
        <w:jc w:val="both"/>
        <w:rPr>
          <w:rFonts w:asciiTheme="majorBidi" w:hAnsiTheme="majorBidi" w:cstheme="majorBidi"/>
          <w:b w:val="0"/>
          <w:bCs w:val="0"/>
          <w:color w:val="000000"/>
        </w:rPr>
      </w:pPr>
      <w:r w:rsidRPr="00914DF5">
        <w:rPr>
          <w:rFonts w:asciiTheme="majorBidi" w:hAnsiTheme="majorBidi" w:cstheme="majorBidi"/>
          <w:b w:val="0"/>
          <w:bCs w:val="0"/>
          <w:color w:val="000000"/>
        </w:rPr>
        <w:t xml:space="preserve">L’effet démographique s’est accru, de son côté, de 0,4 point par an durant la période 2001-2015 et a pu contribuer de 17,8% et 19,1% à l’amélioration du niveau de vie de la population durant les deux sous périodes respectivement. Cela revient à dire que l’intensité de cet effet démographique a augmenté avec le temps et est devenue de plus en plus favorable à la croissance du PIB par habitant. La transition démographique accélérée que connait le Maroc, s’est traduite par une accélération de la population en âge de travailler (+de 15 ans) passant de 19,7 millions  en 2001 à prés de 24,2 millions en 2015, enregistrant une croissance annuelle moyenne de </w:t>
      </w:r>
      <w:r w:rsidR="00F45D35">
        <w:rPr>
          <w:rFonts w:asciiTheme="majorBidi" w:hAnsiTheme="majorBidi" w:cstheme="majorBidi"/>
          <w:b w:val="0"/>
          <w:bCs w:val="0"/>
          <w:color w:val="000000"/>
        </w:rPr>
        <w:t>1</w:t>
      </w:r>
      <w:r w:rsidRPr="00914DF5">
        <w:rPr>
          <w:rFonts w:asciiTheme="majorBidi" w:hAnsiTheme="majorBidi" w:cstheme="majorBidi"/>
          <w:b w:val="0"/>
          <w:bCs w:val="0"/>
          <w:color w:val="000000"/>
        </w:rPr>
        <w:t>,</w:t>
      </w:r>
      <w:r w:rsidR="00F45D35">
        <w:rPr>
          <w:rFonts w:asciiTheme="majorBidi" w:hAnsiTheme="majorBidi" w:cstheme="majorBidi"/>
          <w:b w:val="0"/>
          <w:bCs w:val="0"/>
          <w:color w:val="000000"/>
        </w:rPr>
        <w:t>7</w:t>
      </w:r>
      <w:r w:rsidRPr="00914DF5">
        <w:rPr>
          <w:rFonts w:asciiTheme="majorBidi" w:hAnsiTheme="majorBidi" w:cstheme="majorBidi"/>
          <w:b w:val="0"/>
          <w:bCs w:val="0"/>
          <w:color w:val="000000"/>
        </w:rPr>
        <w:t>%, supérieure au rythme de croissance démographique qui est de 1,1%.</w:t>
      </w:r>
    </w:p>
    <w:p w:rsidR="005D1D5A" w:rsidRDefault="005D1D5A"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914DF5" w:rsidRPr="00914DF5" w:rsidRDefault="00914DF5" w:rsidP="00914DF5">
      <w:pPr>
        <w:autoSpaceDE w:val="0"/>
        <w:autoSpaceDN w:val="0"/>
        <w:adjustRightInd w:val="0"/>
        <w:spacing w:before="120" w:after="120" w:line="312" w:lineRule="auto"/>
        <w:jc w:val="both"/>
        <w:rPr>
          <w:rFonts w:asciiTheme="majorBidi" w:hAnsiTheme="majorBidi" w:cstheme="majorBidi"/>
          <w:b w:val="0"/>
          <w:bCs w:val="0"/>
          <w:color w:val="000000"/>
        </w:rPr>
      </w:pPr>
      <w:r w:rsidRPr="00914DF5">
        <w:rPr>
          <w:rFonts w:asciiTheme="majorBidi" w:hAnsiTheme="majorBidi" w:cstheme="majorBidi"/>
          <w:b w:val="0"/>
          <w:bCs w:val="0"/>
          <w:color w:val="000000"/>
        </w:rPr>
        <w:t>Toutefois, la baisse du taux d’emploi n’était pas uniforme dans tous les secteurs d’activité économique. Le taux d’emploi dans le secteur de l’agriculture, forêt et pêche a baissé de 20,1% en 2001 à 16,7% en 2015 et celui des industries de 5,8% à 4,8%. Alors que les services et l’activité du BTP ont enregistré des améliorations des taux d’emploi de 16,2% et 3% en 2001 à 17,3% et 4% en 2015 respectivement.</w:t>
      </w:r>
    </w:p>
    <w:p w:rsidR="005D1D5A" w:rsidRDefault="005D1D5A" w:rsidP="005D1D5A">
      <w:pPr>
        <w:autoSpaceDE w:val="0"/>
        <w:autoSpaceDN w:val="0"/>
        <w:adjustRightInd w:val="0"/>
        <w:spacing w:before="120" w:after="120" w:line="312" w:lineRule="auto"/>
        <w:jc w:val="both"/>
        <w:rPr>
          <w:rFonts w:asciiTheme="majorBidi" w:hAnsiTheme="majorBidi" w:cstheme="majorBidi"/>
          <w:b w:val="0"/>
          <w:bCs w:val="0"/>
          <w:color w:val="000000"/>
        </w:rPr>
      </w:pPr>
    </w:p>
    <w:p w:rsidR="00914DF5" w:rsidRDefault="00914DF5" w:rsidP="005D1D5A">
      <w:pPr>
        <w:autoSpaceDE w:val="0"/>
        <w:autoSpaceDN w:val="0"/>
        <w:adjustRightInd w:val="0"/>
        <w:spacing w:before="120" w:after="120" w:line="312" w:lineRule="auto"/>
        <w:jc w:val="both"/>
        <w:rPr>
          <w:rFonts w:asciiTheme="majorBidi" w:hAnsiTheme="majorBidi" w:cstheme="majorBidi"/>
          <w:b w:val="0"/>
          <w:bCs w:val="0"/>
          <w:color w:val="000000"/>
        </w:rPr>
      </w:pPr>
      <w:r w:rsidRPr="00914DF5">
        <w:rPr>
          <w:rFonts w:asciiTheme="majorBidi" w:hAnsiTheme="majorBidi" w:cstheme="majorBidi"/>
          <w:b w:val="0"/>
          <w:bCs w:val="0"/>
          <w:color w:val="000000"/>
        </w:rPr>
        <w:t>Dans ces conditions, les baisses des taux d’emploi dans le secteur de l’agriculture, forêt et</w:t>
      </w:r>
      <w:r w:rsidR="005D1D5A">
        <w:rPr>
          <w:rFonts w:asciiTheme="majorBidi" w:hAnsiTheme="majorBidi" w:cstheme="majorBidi"/>
          <w:b w:val="0"/>
          <w:bCs w:val="0"/>
          <w:color w:val="000000"/>
        </w:rPr>
        <w:t xml:space="preserve"> </w:t>
      </w:r>
      <w:r w:rsidRPr="00914DF5">
        <w:rPr>
          <w:rFonts w:asciiTheme="majorBidi" w:hAnsiTheme="majorBidi" w:cstheme="majorBidi"/>
          <w:b w:val="0"/>
          <w:bCs w:val="0"/>
          <w:color w:val="000000"/>
        </w:rPr>
        <w:t>pêche et dans l’industrie ont contribué négativement à la croissance du niveau de vie de la population durant la période 2001-2015, avec -20% et -5,2% respectivement. Les taux d’emploi dans les services et le BTP ont dégagé une contribution positive de 5,5% et 5,4% respectivement durant la période 2001-2015, malgré un net ralentissement durant la deuxième période.</w:t>
      </w:r>
    </w:p>
    <w:p w:rsidR="005D1D5A" w:rsidRDefault="005D1D5A"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5D1D5A" w:rsidRDefault="005D1D5A"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5D1D5A" w:rsidRDefault="005D1D5A"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5D1D5A" w:rsidRPr="00914DF5" w:rsidRDefault="005D1D5A"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914DF5" w:rsidRPr="00914DF5" w:rsidRDefault="00914DF5" w:rsidP="00914DF5">
      <w:pPr>
        <w:jc w:val="both"/>
        <w:rPr>
          <w:rFonts w:asciiTheme="majorBidi" w:hAnsiTheme="majorBidi" w:cstheme="majorBidi"/>
          <w:b w:val="0"/>
          <w:bCs w:val="0"/>
        </w:rPr>
      </w:pPr>
      <w:r w:rsidRPr="009D4773">
        <w:rPr>
          <w:rFonts w:asciiTheme="majorBidi" w:hAnsiTheme="majorBidi" w:cstheme="majorBidi"/>
        </w:rPr>
        <w:lastRenderedPageBreak/>
        <w:t>Tableau 2</w:t>
      </w:r>
      <w:r w:rsidR="009D4773">
        <w:rPr>
          <w:rFonts w:asciiTheme="majorBidi" w:hAnsiTheme="majorBidi" w:cstheme="majorBidi"/>
          <w:b w:val="0"/>
          <w:bCs w:val="0"/>
        </w:rPr>
        <w:t xml:space="preserve"> </w:t>
      </w:r>
      <w:r w:rsidRPr="00914DF5">
        <w:rPr>
          <w:rFonts w:asciiTheme="majorBidi" w:hAnsiTheme="majorBidi" w:cstheme="majorBidi"/>
          <w:b w:val="0"/>
          <w:bCs w:val="0"/>
        </w:rPr>
        <w:t>: Contribution du taux d’emploi au niveau de vie de la population</w:t>
      </w:r>
    </w:p>
    <w:tbl>
      <w:tblPr>
        <w:tblW w:w="8055" w:type="dxa"/>
        <w:tblInd w:w="58" w:type="dxa"/>
        <w:tblCellMar>
          <w:left w:w="70" w:type="dxa"/>
          <w:right w:w="70" w:type="dxa"/>
        </w:tblCellMar>
        <w:tblLook w:val="04A0"/>
      </w:tblPr>
      <w:tblGrid>
        <w:gridCol w:w="4170"/>
        <w:gridCol w:w="1200"/>
        <w:gridCol w:w="1305"/>
        <w:gridCol w:w="1380"/>
      </w:tblGrid>
      <w:tr w:rsidR="00914DF5" w:rsidRPr="00914DF5" w:rsidTr="00914DF5">
        <w:trPr>
          <w:trHeight w:val="300"/>
        </w:trPr>
        <w:tc>
          <w:tcPr>
            <w:tcW w:w="417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14DF5" w:rsidRPr="009D4773" w:rsidRDefault="00914DF5" w:rsidP="00914DF5">
            <w:pPr>
              <w:jc w:val="center"/>
              <w:rPr>
                <w:rFonts w:asciiTheme="majorBidi" w:hAnsiTheme="majorBidi" w:cstheme="majorBidi"/>
                <w:color w:val="000000"/>
              </w:rPr>
            </w:pPr>
            <w:r w:rsidRPr="009D4773">
              <w:rPr>
                <w:rFonts w:asciiTheme="majorBidi" w:hAnsiTheme="majorBidi" w:cstheme="majorBidi"/>
                <w:color w:val="000000"/>
              </w:rPr>
              <w:t>Secteurs d'activité</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14DF5" w:rsidRPr="009D4773" w:rsidRDefault="00914DF5" w:rsidP="00914DF5">
            <w:pPr>
              <w:jc w:val="center"/>
              <w:rPr>
                <w:rFonts w:asciiTheme="majorBidi" w:hAnsiTheme="majorBidi" w:cstheme="majorBidi"/>
                <w:color w:val="000000"/>
              </w:rPr>
            </w:pPr>
            <w:r w:rsidRPr="009D4773">
              <w:rPr>
                <w:rFonts w:asciiTheme="majorBidi" w:hAnsiTheme="majorBidi" w:cstheme="majorBidi"/>
                <w:color w:val="000000"/>
              </w:rPr>
              <w:t>2001</w:t>
            </w:r>
          </w:p>
        </w:tc>
        <w:tc>
          <w:tcPr>
            <w:tcW w:w="1305" w:type="dxa"/>
            <w:tcBorders>
              <w:top w:val="single" w:sz="4" w:space="0" w:color="auto"/>
              <w:left w:val="nil"/>
              <w:bottom w:val="single" w:sz="4" w:space="0" w:color="auto"/>
              <w:right w:val="single" w:sz="4" w:space="0" w:color="auto"/>
            </w:tcBorders>
            <w:shd w:val="clear" w:color="auto" w:fill="auto"/>
            <w:noWrap/>
            <w:vAlign w:val="bottom"/>
            <w:hideMark/>
          </w:tcPr>
          <w:p w:rsidR="00914DF5" w:rsidRPr="009D4773" w:rsidRDefault="00914DF5" w:rsidP="00914DF5">
            <w:pPr>
              <w:jc w:val="center"/>
              <w:rPr>
                <w:rFonts w:asciiTheme="majorBidi" w:hAnsiTheme="majorBidi" w:cstheme="majorBidi"/>
                <w:color w:val="000000"/>
              </w:rPr>
            </w:pPr>
            <w:r w:rsidRPr="009D4773">
              <w:rPr>
                <w:rFonts w:asciiTheme="majorBidi" w:hAnsiTheme="majorBidi" w:cstheme="majorBidi"/>
                <w:color w:val="000000"/>
              </w:rPr>
              <w:t>2008</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914DF5" w:rsidRPr="009D4773" w:rsidRDefault="00914DF5" w:rsidP="00914DF5">
            <w:pPr>
              <w:jc w:val="center"/>
              <w:rPr>
                <w:rFonts w:asciiTheme="majorBidi" w:hAnsiTheme="majorBidi" w:cstheme="majorBidi"/>
                <w:color w:val="000000"/>
              </w:rPr>
            </w:pPr>
            <w:r w:rsidRPr="009D4773">
              <w:rPr>
                <w:rFonts w:asciiTheme="majorBidi" w:hAnsiTheme="majorBidi" w:cstheme="majorBidi"/>
                <w:color w:val="000000"/>
              </w:rPr>
              <w:t>2015</w:t>
            </w:r>
          </w:p>
        </w:tc>
      </w:tr>
      <w:tr w:rsidR="00914DF5" w:rsidRPr="00914DF5" w:rsidTr="00914DF5">
        <w:trPr>
          <w:trHeight w:val="300"/>
        </w:trPr>
        <w:tc>
          <w:tcPr>
            <w:tcW w:w="4170" w:type="dxa"/>
            <w:vMerge/>
            <w:tcBorders>
              <w:top w:val="single" w:sz="4" w:space="0" w:color="auto"/>
              <w:left w:val="single" w:sz="4" w:space="0" w:color="auto"/>
              <w:bottom w:val="single" w:sz="4" w:space="0" w:color="000000"/>
              <w:right w:val="single" w:sz="4" w:space="0" w:color="auto"/>
            </w:tcBorders>
            <w:vAlign w:val="center"/>
            <w:hideMark/>
          </w:tcPr>
          <w:p w:rsidR="00914DF5" w:rsidRPr="00914DF5" w:rsidRDefault="00914DF5" w:rsidP="00914DF5">
            <w:pPr>
              <w:rPr>
                <w:rFonts w:asciiTheme="majorBidi" w:hAnsiTheme="majorBidi" w:cstheme="majorBidi"/>
                <w:b w:val="0"/>
                <w:bCs w:val="0"/>
                <w:color w:val="000000"/>
              </w:rPr>
            </w:pPr>
          </w:p>
        </w:tc>
        <w:tc>
          <w:tcPr>
            <w:tcW w:w="3885" w:type="dxa"/>
            <w:gridSpan w:val="3"/>
            <w:tcBorders>
              <w:top w:val="single" w:sz="4" w:space="0" w:color="auto"/>
              <w:left w:val="nil"/>
              <w:bottom w:val="single" w:sz="4" w:space="0" w:color="auto"/>
              <w:right w:val="single" w:sz="4" w:space="0" w:color="000000"/>
            </w:tcBorders>
            <w:shd w:val="clear" w:color="auto" w:fill="auto"/>
            <w:noWrap/>
            <w:vAlign w:val="bottom"/>
            <w:hideMark/>
          </w:tcPr>
          <w:p w:rsidR="00914DF5" w:rsidRPr="009D4773" w:rsidRDefault="00914DF5" w:rsidP="00914DF5">
            <w:pPr>
              <w:jc w:val="center"/>
              <w:rPr>
                <w:rFonts w:asciiTheme="majorBidi" w:hAnsiTheme="majorBidi" w:cstheme="majorBidi"/>
                <w:color w:val="000000"/>
              </w:rPr>
            </w:pPr>
            <w:r w:rsidRPr="009D4773">
              <w:rPr>
                <w:rFonts w:asciiTheme="majorBidi" w:hAnsiTheme="majorBidi" w:cstheme="majorBidi"/>
                <w:color w:val="000000"/>
              </w:rPr>
              <w:t>Part d’emploi du secteur d’activité dans le total de la population employée (en %)</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Agriculture, forêt et services annexes et pêche</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20,1</w:t>
            </w:r>
          </w:p>
        </w:tc>
        <w:tc>
          <w:tcPr>
            <w:tcW w:w="1305"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18,7</w:t>
            </w:r>
          </w:p>
        </w:tc>
        <w:tc>
          <w:tcPr>
            <w:tcW w:w="138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16,7</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Industrie</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5,8</w:t>
            </w:r>
          </w:p>
        </w:tc>
        <w:tc>
          <w:tcPr>
            <w:tcW w:w="1305"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5,9</w:t>
            </w:r>
          </w:p>
        </w:tc>
        <w:tc>
          <w:tcPr>
            <w:tcW w:w="138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4,8</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Bâtiment et travaux publics</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3,0</w:t>
            </w:r>
          </w:p>
        </w:tc>
        <w:tc>
          <w:tcPr>
            <w:tcW w:w="1305"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4,1</w:t>
            </w:r>
          </w:p>
        </w:tc>
        <w:tc>
          <w:tcPr>
            <w:tcW w:w="138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4,0</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Services</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16,2</w:t>
            </w:r>
          </w:p>
        </w:tc>
        <w:tc>
          <w:tcPr>
            <w:tcW w:w="1305"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17,1</w:t>
            </w:r>
          </w:p>
        </w:tc>
        <w:tc>
          <w:tcPr>
            <w:tcW w:w="138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17,3</w:t>
            </w:r>
          </w:p>
        </w:tc>
      </w:tr>
      <w:tr w:rsidR="00914DF5" w:rsidRPr="00914DF5" w:rsidTr="00914DF5">
        <w:trPr>
          <w:trHeight w:val="300"/>
        </w:trPr>
        <w:tc>
          <w:tcPr>
            <w:tcW w:w="4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Total</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45,1</w:t>
            </w:r>
          </w:p>
        </w:tc>
        <w:tc>
          <w:tcPr>
            <w:tcW w:w="1305"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45,8</w:t>
            </w:r>
          </w:p>
        </w:tc>
        <w:tc>
          <w:tcPr>
            <w:tcW w:w="138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42,8</w:t>
            </w:r>
          </w:p>
        </w:tc>
      </w:tr>
      <w:tr w:rsidR="00914DF5" w:rsidRPr="00914DF5" w:rsidTr="00914DF5">
        <w:trPr>
          <w:trHeight w:val="675"/>
        </w:trPr>
        <w:tc>
          <w:tcPr>
            <w:tcW w:w="417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w:t>
            </w:r>
          </w:p>
        </w:tc>
        <w:tc>
          <w:tcPr>
            <w:tcW w:w="3885" w:type="dxa"/>
            <w:gridSpan w:val="3"/>
            <w:tcBorders>
              <w:top w:val="single" w:sz="4" w:space="0" w:color="auto"/>
              <w:left w:val="nil"/>
              <w:bottom w:val="single" w:sz="4" w:space="0" w:color="auto"/>
              <w:right w:val="single" w:sz="4" w:space="0" w:color="000000"/>
            </w:tcBorders>
            <w:shd w:val="clear" w:color="auto" w:fill="auto"/>
            <w:vAlign w:val="bottom"/>
            <w:hideMark/>
          </w:tcPr>
          <w:p w:rsidR="00914DF5" w:rsidRPr="009D4773" w:rsidRDefault="00914DF5" w:rsidP="00914DF5">
            <w:pPr>
              <w:jc w:val="center"/>
              <w:rPr>
                <w:rFonts w:asciiTheme="majorBidi" w:hAnsiTheme="majorBidi" w:cstheme="majorBidi"/>
                <w:color w:val="000000"/>
              </w:rPr>
            </w:pPr>
            <w:r w:rsidRPr="009D4773">
              <w:rPr>
                <w:rFonts w:asciiTheme="majorBidi" w:hAnsiTheme="majorBidi" w:cstheme="majorBidi"/>
                <w:color w:val="000000"/>
              </w:rPr>
              <w:t>Contribution de l’emploi à la croissance de la VA/habitant (en %)</w:t>
            </w:r>
          </w:p>
        </w:tc>
      </w:tr>
      <w:tr w:rsidR="00914DF5" w:rsidRPr="00914DF5" w:rsidTr="00914DF5">
        <w:trPr>
          <w:trHeight w:val="300"/>
        </w:trPr>
        <w:tc>
          <w:tcPr>
            <w:tcW w:w="4170"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D4773" w:rsidRDefault="00914DF5" w:rsidP="00914DF5">
            <w:pPr>
              <w:jc w:val="center"/>
              <w:rPr>
                <w:rFonts w:asciiTheme="majorBidi" w:hAnsiTheme="majorBidi" w:cstheme="majorBidi"/>
                <w:color w:val="000000"/>
              </w:rPr>
            </w:pPr>
            <w:r w:rsidRPr="009D4773">
              <w:rPr>
                <w:rFonts w:asciiTheme="majorBidi" w:hAnsiTheme="majorBidi" w:cstheme="majorBidi"/>
                <w:color w:val="000000"/>
              </w:rPr>
              <w:t>2001-2008</w:t>
            </w:r>
          </w:p>
        </w:tc>
        <w:tc>
          <w:tcPr>
            <w:tcW w:w="1305" w:type="dxa"/>
            <w:tcBorders>
              <w:top w:val="nil"/>
              <w:left w:val="nil"/>
              <w:bottom w:val="single" w:sz="4" w:space="0" w:color="auto"/>
              <w:right w:val="single" w:sz="4" w:space="0" w:color="auto"/>
            </w:tcBorders>
            <w:shd w:val="clear" w:color="auto" w:fill="auto"/>
            <w:noWrap/>
            <w:vAlign w:val="bottom"/>
            <w:hideMark/>
          </w:tcPr>
          <w:p w:rsidR="00914DF5" w:rsidRPr="009D4773" w:rsidRDefault="00914DF5" w:rsidP="00914DF5">
            <w:pPr>
              <w:jc w:val="center"/>
              <w:rPr>
                <w:rFonts w:asciiTheme="majorBidi" w:hAnsiTheme="majorBidi" w:cstheme="majorBidi"/>
                <w:color w:val="000000"/>
              </w:rPr>
            </w:pPr>
            <w:r w:rsidRPr="009D4773">
              <w:rPr>
                <w:rFonts w:asciiTheme="majorBidi" w:hAnsiTheme="majorBidi" w:cstheme="majorBidi"/>
                <w:color w:val="000000"/>
              </w:rPr>
              <w:t>2008-2015</w:t>
            </w:r>
          </w:p>
        </w:tc>
        <w:tc>
          <w:tcPr>
            <w:tcW w:w="1380" w:type="dxa"/>
            <w:tcBorders>
              <w:top w:val="nil"/>
              <w:left w:val="nil"/>
              <w:bottom w:val="single" w:sz="4" w:space="0" w:color="auto"/>
              <w:right w:val="single" w:sz="4" w:space="0" w:color="auto"/>
            </w:tcBorders>
            <w:shd w:val="clear" w:color="auto" w:fill="auto"/>
            <w:noWrap/>
            <w:vAlign w:val="bottom"/>
            <w:hideMark/>
          </w:tcPr>
          <w:p w:rsidR="00914DF5" w:rsidRPr="009D4773" w:rsidRDefault="00914DF5" w:rsidP="00914DF5">
            <w:pPr>
              <w:jc w:val="center"/>
              <w:rPr>
                <w:rFonts w:asciiTheme="majorBidi" w:hAnsiTheme="majorBidi" w:cstheme="majorBidi"/>
                <w:color w:val="000000"/>
              </w:rPr>
            </w:pPr>
            <w:r w:rsidRPr="009D4773">
              <w:rPr>
                <w:rFonts w:asciiTheme="majorBidi" w:hAnsiTheme="majorBidi" w:cstheme="majorBidi"/>
                <w:color w:val="000000"/>
              </w:rPr>
              <w:t>2001-2015</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Agriculture, forêt et services annexes et pêche</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-12,2</w:t>
            </w:r>
          </w:p>
        </w:tc>
        <w:tc>
          <w:tcPr>
            <w:tcW w:w="1305"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-24,2</w:t>
            </w:r>
          </w:p>
        </w:tc>
        <w:tc>
          <w:tcPr>
            <w:tcW w:w="138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-17,9</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Industrie</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0,8</w:t>
            </w:r>
          </w:p>
        </w:tc>
        <w:tc>
          <w:tcPr>
            <w:tcW w:w="1305"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-13,0</w:t>
            </w:r>
          </w:p>
        </w:tc>
        <w:tc>
          <w:tcPr>
            <w:tcW w:w="138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-5,2</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Bâtiment et travaux publics</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9,3</w:t>
            </w:r>
          </w:p>
        </w:tc>
        <w:tc>
          <w:tcPr>
            <w:tcW w:w="1305"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-0,3</w:t>
            </w:r>
          </w:p>
        </w:tc>
        <w:tc>
          <w:tcPr>
            <w:tcW w:w="138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5,4</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Services</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7,6</w:t>
            </w:r>
          </w:p>
        </w:tc>
        <w:tc>
          <w:tcPr>
            <w:tcW w:w="1305"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2,3</w:t>
            </w:r>
          </w:p>
        </w:tc>
        <w:tc>
          <w:tcPr>
            <w:tcW w:w="138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5,5</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Total</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5,4</w:t>
            </w:r>
          </w:p>
        </w:tc>
        <w:tc>
          <w:tcPr>
            <w:tcW w:w="1305"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-35,3</w:t>
            </w:r>
          </w:p>
        </w:tc>
        <w:tc>
          <w:tcPr>
            <w:tcW w:w="138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-12,2</w:t>
            </w:r>
          </w:p>
        </w:tc>
      </w:tr>
    </w:tbl>
    <w:p w:rsidR="00914DF5" w:rsidRPr="00914DF5" w:rsidRDefault="00914DF5" w:rsidP="00914DF5">
      <w:pPr>
        <w:jc w:val="both"/>
        <w:rPr>
          <w:rFonts w:asciiTheme="majorBidi" w:hAnsiTheme="majorBidi" w:cstheme="majorBidi"/>
          <w:b w:val="0"/>
          <w:bCs w:val="0"/>
          <w:sz w:val="20"/>
          <w:szCs w:val="20"/>
        </w:rPr>
      </w:pPr>
      <w:r w:rsidRPr="00914DF5">
        <w:rPr>
          <w:rFonts w:asciiTheme="majorBidi" w:hAnsiTheme="majorBidi" w:cstheme="majorBidi"/>
          <w:b w:val="0"/>
          <w:bCs w:val="0"/>
          <w:sz w:val="20"/>
          <w:szCs w:val="20"/>
        </w:rPr>
        <w:t>Source : HCP</w:t>
      </w:r>
    </w:p>
    <w:p w:rsidR="00802BFB" w:rsidRDefault="00802BFB"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914DF5" w:rsidRDefault="00914DF5" w:rsidP="00914DF5">
      <w:pPr>
        <w:autoSpaceDE w:val="0"/>
        <w:autoSpaceDN w:val="0"/>
        <w:adjustRightInd w:val="0"/>
        <w:spacing w:before="120" w:after="120" w:line="312" w:lineRule="auto"/>
        <w:jc w:val="both"/>
        <w:rPr>
          <w:rFonts w:asciiTheme="majorBidi" w:hAnsiTheme="majorBidi" w:cstheme="majorBidi"/>
          <w:b w:val="0"/>
          <w:bCs w:val="0"/>
          <w:color w:val="000000"/>
        </w:rPr>
      </w:pPr>
      <w:r w:rsidRPr="00914DF5">
        <w:rPr>
          <w:rFonts w:asciiTheme="majorBidi" w:hAnsiTheme="majorBidi" w:cstheme="majorBidi"/>
          <w:b w:val="0"/>
          <w:bCs w:val="0"/>
          <w:color w:val="000000"/>
        </w:rPr>
        <w:t>Comme il est souligné plus haut, l’effet négatif de la baisse du taux d’emploi sur le niveau de vie de la population a été largement compensé par l’amélioration de la productivité du travail. Celle-ci a été confortée par l’accroissement des productivités sectorielles de l’agriculture, forêt et pêche et de l’industrie. Ces deux secteurs, marqués par les baisses des taux d’emploi, ont enregistré des productivités de travail en hausse de 5,2% et 3% par an respectivement entre 2001 et 2015. Les services et le BTP, ayant des contributions positives de leurs taux d’emploi à la croissance du PIB par habitant, sont marqués par de faibles accroissements de leurs productivités du travail de 2,1% et de 0,9% par an durant cette période.</w:t>
      </w:r>
    </w:p>
    <w:p w:rsidR="005D1D5A" w:rsidRPr="00914DF5" w:rsidRDefault="005D1D5A"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914DF5" w:rsidRPr="00914DF5" w:rsidRDefault="00914DF5" w:rsidP="00914DF5">
      <w:pPr>
        <w:jc w:val="both"/>
        <w:rPr>
          <w:rFonts w:asciiTheme="majorBidi" w:hAnsiTheme="majorBidi" w:cstheme="majorBidi"/>
          <w:b w:val="0"/>
          <w:bCs w:val="0"/>
        </w:rPr>
      </w:pPr>
      <w:r w:rsidRPr="009D4773">
        <w:rPr>
          <w:rFonts w:asciiTheme="majorBidi" w:hAnsiTheme="majorBidi" w:cstheme="majorBidi"/>
        </w:rPr>
        <w:t>Tableau 3</w:t>
      </w:r>
      <w:r w:rsidR="009D4773">
        <w:rPr>
          <w:rFonts w:asciiTheme="majorBidi" w:hAnsiTheme="majorBidi" w:cstheme="majorBidi"/>
        </w:rPr>
        <w:t xml:space="preserve"> </w:t>
      </w:r>
      <w:r w:rsidRPr="00914DF5">
        <w:rPr>
          <w:rFonts w:asciiTheme="majorBidi" w:hAnsiTheme="majorBidi" w:cstheme="majorBidi"/>
          <w:b w:val="0"/>
          <w:bCs w:val="0"/>
        </w:rPr>
        <w:t>: Croissance de la productivité du travail par secteur d’activité (en %)</w:t>
      </w:r>
    </w:p>
    <w:tbl>
      <w:tblPr>
        <w:tblW w:w="7770" w:type="dxa"/>
        <w:tblInd w:w="58" w:type="dxa"/>
        <w:tblCellMar>
          <w:left w:w="70" w:type="dxa"/>
          <w:right w:w="70" w:type="dxa"/>
        </w:tblCellMar>
        <w:tblLook w:val="04A0"/>
      </w:tblPr>
      <w:tblGrid>
        <w:gridCol w:w="4170"/>
        <w:gridCol w:w="1200"/>
        <w:gridCol w:w="1200"/>
        <w:gridCol w:w="1200"/>
      </w:tblGrid>
      <w:tr w:rsidR="00914DF5" w:rsidRPr="00914DF5" w:rsidTr="00914DF5">
        <w:trPr>
          <w:trHeight w:val="300"/>
        </w:trPr>
        <w:tc>
          <w:tcPr>
            <w:tcW w:w="4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D4773" w:rsidRDefault="00914DF5" w:rsidP="00914DF5">
            <w:pPr>
              <w:rPr>
                <w:rFonts w:asciiTheme="majorBidi" w:hAnsiTheme="majorBidi" w:cstheme="majorBidi"/>
                <w:color w:val="000000"/>
              </w:rPr>
            </w:pPr>
            <w:r w:rsidRPr="009D4773">
              <w:rPr>
                <w:rFonts w:asciiTheme="majorBidi" w:hAnsiTheme="majorBidi" w:cstheme="majorBidi"/>
                <w:color w:val="000000"/>
              </w:rPr>
              <w:t> Secteurs d’activité</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14DF5" w:rsidRPr="009D4773" w:rsidRDefault="00914DF5" w:rsidP="00914DF5">
            <w:pPr>
              <w:rPr>
                <w:rFonts w:asciiTheme="majorBidi" w:hAnsiTheme="majorBidi" w:cstheme="majorBidi"/>
                <w:color w:val="000000"/>
              </w:rPr>
            </w:pPr>
            <w:r w:rsidRPr="009D4773">
              <w:rPr>
                <w:rFonts w:asciiTheme="majorBidi" w:hAnsiTheme="majorBidi" w:cstheme="majorBidi"/>
                <w:color w:val="000000"/>
              </w:rPr>
              <w:t>2001-2008</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14DF5" w:rsidRPr="009D4773" w:rsidRDefault="00914DF5" w:rsidP="00914DF5">
            <w:pPr>
              <w:rPr>
                <w:rFonts w:asciiTheme="majorBidi" w:hAnsiTheme="majorBidi" w:cstheme="majorBidi"/>
                <w:color w:val="000000"/>
              </w:rPr>
            </w:pPr>
            <w:r w:rsidRPr="009D4773">
              <w:rPr>
                <w:rFonts w:asciiTheme="majorBidi" w:hAnsiTheme="majorBidi" w:cstheme="majorBidi"/>
                <w:color w:val="000000"/>
              </w:rPr>
              <w:t>2008-2015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14DF5" w:rsidRPr="009D4773" w:rsidRDefault="00914DF5" w:rsidP="00914DF5">
            <w:pPr>
              <w:rPr>
                <w:rFonts w:asciiTheme="majorBidi" w:hAnsiTheme="majorBidi" w:cstheme="majorBidi"/>
                <w:color w:val="000000"/>
              </w:rPr>
            </w:pPr>
            <w:r w:rsidRPr="009D4773">
              <w:rPr>
                <w:rFonts w:asciiTheme="majorBidi" w:hAnsiTheme="majorBidi" w:cstheme="majorBidi"/>
                <w:color w:val="000000"/>
              </w:rPr>
              <w:t>2001-2015</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Agriculture, forêt et services annexes et pêche</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3,5</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7,0</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5,2</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Industrie</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1,9</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4,1</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3,0</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Bâtiment et travaux publics</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0,6</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1,1</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0,9</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Services</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2,5</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1,7</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2,1</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Total</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2,8</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3,1</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2,9</w:t>
            </w:r>
          </w:p>
        </w:tc>
      </w:tr>
    </w:tbl>
    <w:p w:rsidR="00914DF5" w:rsidRPr="00914DF5" w:rsidRDefault="00914DF5" w:rsidP="00914DF5">
      <w:pPr>
        <w:jc w:val="both"/>
        <w:rPr>
          <w:rFonts w:asciiTheme="majorBidi" w:hAnsiTheme="majorBidi" w:cstheme="majorBidi"/>
          <w:b w:val="0"/>
          <w:bCs w:val="0"/>
          <w:sz w:val="20"/>
          <w:szCs w:val="20"/>
        </w:rPr>
      </w:pPr>
      <w:r w:rsidRPr="00914DF5">
        <w:rPr>
          <w:rFonts w:asciiTheme="majorBidi" w:hAnsiTheme="majorBidi" w:cstheme="majorBidi"/>
          <w:b w:val="0"/>
          <w:bCs w:val="0"/>
          <w:sz w:val="20"/>
          <w:szCs w:val="20"/>
        </w:rPr>
        <w:t>Source : HCP</w:t>
      </w:r>
    </w:p>
    <w:p w:rsidR="00802BFB" w:rsidRDefault="00802BFB"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2D2A02" w:rsidRDefault="002D2A02" w:rsidP="00914DF5">
      <w:pPr>
        <w:autoSpaceDE w:val="0"/>
        <w:autoSpaceDN w:val="0"/>
        <w:adjustRightInd w:val="0"/>
        <w:spacing w:before="120" w:after="120" w:line="312" w:lineRule="auto"/>
        <w:jc w:val="both"/>
        <w:rPr>
          <w:rFonts w:asciiTheme="majorBidi" w:hAnsiTheme="majorBidi" w:cstheme="majorBidi"/>
          <w:b w:val="0"/>
          <w:bCs w:val="0"/>
          <w:color w:val="000000"/>
        </w:rPr>
      </w:pPr>
    </w:p>
    <w:p w:rsidR="00914DF5" w:rsidRPr="00914DF5" w:rsidRDefault="00914DF5" w:rsidP="00914DF5">
      <w:pPr>
        <w:autoSpaceDE w:val="0"/>
        <w:autoSpaceDN w:val="0"/>
        <w:adjustRightInd w:val="0"/>
        <w:spacing w:before="120" w:after="120" w:line="312" w:lineRule="auto"/>
        <w:jc w:val="both"/>
        <w:rPr>
          <w:rFonts w:asciiTheme="majorBidi" w:hAnsiTheme="majorBidi" w:cstheme="majorBidi"/>
          <w:b w:val="0"/>
          <w:bCs w:val="0"/>
          <w:color w:val="000000"/>
        </w:rPr>
      </w:pPr>
      <w:r w:rsidRPr="00914DF5">
        <w:rPr>
          <w:rFonts w:asciiTheme="majorBidi" w:hAnsiTheme="majorBidi" w:cstheme="majorBidi"/>
          <w:b w:val="0"/>
          <w:bCs w:val="0"/>
          <w:color w:val="000000"/>
        </w:rPr>
        <w:lastRenderedPageBreak/>
        <w:t>A cet effet, le secteur agricole a contribué pour 25% à l’amélioration du PIB par habitant et l’industrie pour 20,4%, sachant que le reste des secteurs d’activité (BTP et services) ont contribué pour 15,8%. Au total, 61,2% de la contribution de la productivité du travail à la croissance du PIB par tête sont l’apport des effets intra-sectoriels (mobilité à l’intérieur des secteurs eux même). En revanche, les 31,3% qui restent constituent la contribution induite par la mobilité inter-sectorielle de la main d’œuvre (entre les secteurs), qui reste globalement faible.</w:t>
      </w:r>
    </w:p>
    <w:p w:rsidR="00914DF5" w:rsidRPr="00914DF5" w:rsidRDefault="00914DF5" w:rsidP="00914DF5">
      <w:pPr>
        <w:autoSpaceDE w:val="0"/>
        <w:autoSpaceDN w:val="0"/>
        <w:adjustRightInd w:val="0"/>
        <w:spacing w:before="120" w:after="120" w:line="312" w:lineRule="auto"/>
        <w:jc w:val="both"/>
        <w:rPr>
          <w:rFonts w:asciiTheme="majorBidi" w:hAnsiTheme="majorBidi" w:cstheme="majorBidi"/>
          <w:b w:val="0"/>
          <w:bCs w:val="0"/>
          <w:color w:val="000000"/>
        </w:rPr>
      </w:pPr>
      <w:r w:rsidRPr="00914DF5">
        <w:rPr>
          <w:rFonts w:asciiTheme="majorBidi" w:hAnsiTheme="majorBidi" w:cstheme="majorBidi"/>
          <w:b w:val="0"/>
          <w:bCs w:val="0"/>
          <w:color w:val="000000"/>
        </w:rPr>
        <w:t xml:space="preserve">L’accroissement de la productivité au niveau des secteurs de l’Agriculture et de l’industrie, particulièrement durant la période 2008-2015, a été favorisé par les pertes d’emploi qu’ont connues ces activités. La mobilité de cette main d’œuvre a été opérée vers des secteurs où la productivité du travail est faible, en l’occurrence le BTP et les services de commerce. Ces secteurs, caractérisés par de faibles productivités ne dépassant pas 60% de la productivité moyenne du travail de l’économie dans son ensemble, ont créé 45% des emplois additionnels sur le marché du travail durant la période 2001-2015. Néanmoins, il convient de souligner que le secteur des banques et assurances a créé 11% de l’emploi additionnel au niveau national avec une forte productivité représentant plus de 6 fois celle de l’économie totale. </w:t>
      </w:r>
    </w:p>
    <w:p w:rsidR="00914DF5" w:rsidRPr="00914DF5" w:rsidRDefault="00914DF5" w:rsidP="00914DF5">
      <w:pPr>
        <w:autoSpaceDE w:val="0"/>
        <w:autoSpaceDN w:val="0"/>
        <w:adjustRightInd w:val="0"/>
        <w:spacing w:before="120" w:after="120" w:line="312" w:lineRule="auto"/>
        <w:jc w:val="both"/>
        <w:rPr>
          <w:rFonts w:asciiTheme="majorBidi" w:hAnsiTheme="majorBidi" w:cstheme="majorBidi"/>
          <w:b w:val="0"/>
          <w:bCs w:val="0"/>
          <w:color w:val="000000"/>
        </w:rPr>
      </w:pPr>
      <w:r w:rsidRPr="00914DF5">
        <w:rPr>
          <w:rFonts w:asciiTheme="majorBidi" w:hAnsiTheme="majorBidi" w:cstheme="majorBidi"/>
          <w:b w:val="0"/>
          <w:bCs w:val="0"/>
          <w:color w:val="000000"/>
        </w:rPr>
        <w:t>Dans ces conditions, la croissance de la productivité du travail de l’économie nationale est restée modérée avec une moyenne de 3% par an durant toute la période 2001-2015, revoyant au fait que la mobilité de l’emploi intersectorielle s’est faite globalement entre des activités de faibles productivités et reflétant ainsi la lente transformation du tissu productif national.</w:t>
      </w:r>
    </w:p>
    <w:p w:rsidR="00914DF5" w:rsidRPr="00914DF5" w:rsidRDefault="00914DF5" w:rsidP="00914DF5">
      <w:pPr>
        <w:suppressAutoHyphens/>
        <w:jc w:val="both"/>
        <w:rPr>
          <w:rFonts w:asciiTheme="majorBidi" w:hAnsiTheme="majorBidi" w:cstheme="majorBidi"/>
          <w:b w:val="0"/>
          <w:bCs w:val="0"/>
        </w:rPr>
      </w:pPr>
    </w:p>
    <w:p w:rsidR="00914DF5" w:rsidRPr="00914DF5" w:rsidRDefault="00914DF5" w:rsidP="00914DF5">
      <w:pPr>
        <w:suppressAutoHyphens/>
        <w:jc w:val="both"/>
        <w:rPr>
          <w:rFonts w:asciiTheme="majorBidi" w:hAnsiTheme="majorBidi" w:cstheme="majorBidi"/>
          <w:b w:val="0"/>
          <w:bCs w:val="0"/>
        </w:rPr>
      </w:pPr>
      <w:r w:rsidRPr="009D4773">
        <w:rPr>
          <w:rFonts w:asciiTheme="majorBidi" w:hAnsiTheme="majorBidi" w:cstheme="majorBidi"/>
        </w:rPr>
        <w:t>Tableau 4</w:t>
      </w:r>
      <w:r w:rsidR="009D4773">
        <w:rPr>
          <w:rFonts w:asciiTheme="majorBidi" w:hAnsiTheme="majorBidi" w:cstheme="majorBidi"/>
          <w:b w:val="0"/>
          <w:bCs w:val="0"/>
        </w:rPr>
        <w:t xml:space="preserve"> </w:t>
      </w:r>
      <w:r w:rsidRPr="00914DF5">
        <w:rPr>
          <w:rFonts w:asciiTheme="majorBidi" w:hAnsiTheme="majorBidi" w:cstheme="majorBidi"/>
          <w:b w:val="0"/>
          <w:bCs w:val="0"/>
        </w:rPr>
        <w:t xml:space="preserve">: Contribution de la productivité sectorielle à la croissance du PIB par habitant (en %) </w:t>
      </w:r>
    </w:p>
    <w:tbl>
      <w:tblPr>
        <w:tblW w:w="7770" w:type="dxa"/>
        <w:tblInd w:w="58" w:type="dxa"/>
        <w:tblCellMar>
          <w:left w:w="70" w:type="dxa"/>
          <w:right w:w="70" w:type="dxa"/>
        </w:tblCellMar>
        <w:tblLook w:val="04A0"/>
      </w:tblPr>
      <w:tblGrid>
        <w:gridCol w:w="4170"/>
        <w:gridCol w:w="1200"/>
        <w:gridCol w:w="1200"/>
        <w:gridCol w:w="1200"/>
      </w:tblGrid>
      <w:tr w:rsidR="00914DF5" w:rsidRPr="00914DF5" w:rsidTr="00914DF5">
        <w:trPr>
          <w:trHeight w:val="300"/>
        </w:trPr>
        <w:tc>
          <w:tcPr>
            <w:tcW w:w="4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D4773" w:rsidRDefault="00914DF5" w:rsidP="00914DF5">
            <w:pPr>
              <w:rPr>
                <w:rFonts w:asciiTheme="majorBidi" w:hAnsiTheme="majorBidi" w:cstheme="majorBidi"/>
                <w:color w:val="000000"/>
              </w:rPr>
            </w:pPr>
            <w:r w:rsidRPr="009D4773">
              <w:rPr>
                <w:rFonts w:asciiTheme="majorBidi" w:hAnsiTheme="majorBidi" w:cstheme="majorBidi"/>
                <w:color w:val="000000"/>
              </w:rPr>
              <w:t> Rubriques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14DF5" w:rsidRPr="009D4773" w:rsidRDefault="00914DF5" w:rsidP="00914DF5">
            <w:pPr>
              <w:rPr>
                <w:rFonts w:asciiTheme="majorBidi" w:hAnsiTheme="majorBidi" w:cstheme="majorBidi"/>
                <w:color w:val="000000"/>
              </w:rPr>
            </w:pPr>
            <w:r w:rsidRPr="009D4773">
              <w:rPr>
                <w:rFonts w:asciiTheme="majorBidi" w:hAnsiTheme="majorBidi" w:cstheme="majorBidi"/>
                <w:color w:val="000000"/>
              </w:rPr>
              <w:t>2001-2008</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14DF5" w:rsidRPr="009D4773" w:rsidRDefault="00914DF5" w:rsidP="00914DF5">
            <w:pPr>
              <w:rPr>
                <w:rFonts w:asciiTheme="majorBidi" w:hAnsiTheme="majorBidi" w:cstheme="majorBidi"/>
                <w:color w:val="000000"/>
              </w:rPr>
            </w:pPr>
            <w:r w:rsidRPr="009D4773">
              <w:rPr>
                <w:rFonts w:asciiTheme="majorBidi" w:hAnsiTheme="majorBidi" w:cstheme="majorBidi"/>
                <w:color w:val="000000"/>
              </w:rPr>
              <w:t>2008-2015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14DF5" w:rsidRPr="009D4773" w:rsidRDefault="00914DF5" w:rsidP="00914DF5">
            <w:pPr>
              <w:rPr>
                <w:rFonts w:asciiTheme="majorBidi" w:hAnsiTheme="majorBidi" w:cstheme="majorBidi"/>
                <w:color w:val="000000"/>
              </w:rPr>
            </w:pPr>
            <w:r w:rsidRPr="009D4773">
              <w:rPr>
                <w:rFonts w:asciiTheme="majorBidi" w:hAnsiTheme="majorBidi" w:cstheme="majorBidi"/>
                <w:color w:val="000000"/>
              </w:rPr>
              <w:t>2001-2015</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Agriculture, forêt et services annexes et pêche</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13,1</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37,4</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25,0</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Industrie</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11,6</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31,6</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20,4</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Bâtiment et travaux publics</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0,9</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2,5</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1,5</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Services</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15,2</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14,3</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14,3</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Changement intersectoriel</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35,9</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27,5</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31,3</w:t>
            </w:r>
          </w:p>
        </w:tc>
      </w:tr>
      <w:tr w:rsidR="00914DF5" w:rsidRPr="00914DF5" w:rsidTr="00914DF5">
        <w:trPr>
          <w:trHeight w:val="30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Contribution de la productivité du travail à la croissance du PIB</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76,8</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113,3</w:t>
            </w:r>
          </w:p>
        </w:tc>
        <w:tc>
          <w:tcPr>
            <w:tcW w:w="120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92,5</w:t>
            </w:r>
          </w:p>
        </w:tc>
      </w:tr>
    </w:tbl>
    <w:p w:rsidR="00914DF5" w:rsidRDefault="00914DF5" w:rsidP="00914DF5">
      <w:pPr>
        <w:jc w:val="both"/>
        <w:rPr>
          <w:rFonts w:asciiTheme="majorBidi" w:hAnsiTheme="majorBidi" w:cstheme="majorBidi"/>
          <w:b w:val="0"/>
          <w:bCs w:val="0"/>
          <w:sz w:val="20"/>
          <w:szCs w:val="20"/>
        </w:rPr>
      </w:pPr>
      <w:r w:rsidRPr="00914DF5">
        <w:rPr>
          <w:rFonts w:asciiTheme="majorBidi" w:hAnsiTheme="majorBidi" w:cstheme="majorBidi"/>
          <w:b w:val="0"/>
          <w:bCs w:val="0"/>
          <w:sz w:val="20"/>
          <w:szCs w:val="20"/>
        </w:rPr>
        <w:t>Source : HCP</w:t>
      </w:r>
    </w:p>
    <w:p w:rsidR="008F1D25" w:rsidRPr="00914DF5" w:rsidRDefault="008F1D25" w:rsidP="00914DF5">
      <w:pPr>
        <w:jc w:val="both"/>
        <w:rPr>
          <w:rFonts w:asciiTheme="majorBidi" w:hAnsiTheme="majorBidi" w:cstheme="majorBidi"/>
          <w:b w:val="0"/>
          <w:bCs w:val="0"/>
          <w:sz w:val="20"/>
          <w:szCs w:val="20"/>
        </w:rPr>
      </w:pPr>
    </w:p>
    <w:p w:rsidR="00914DF5" w:rsidRPr="008F1D25" w:rsidRDefault="00914DF5" w:rsidP="00914DF5">
      <w:pPr>
        <w:pStyle w:val="Paragraphedeliste"/>
        <w:numPr>
          <w:ilvl w:val="1"/>
          <w:numId w:val="42"/>
        </w:numPr>
        <w:tabs>
          <w:tab w:val="left" w:pos="709"/>
        </w:tabs>
        <w:ind w:hanging="76"/>
        <w:jc w:val="both"/>
        <w:rPr>
          <w:rFonts w:asciiTheme="majorBidi" w:hAnsiTheme="majorBidi" w:cstheme="majorBidi"/>
          <w:b/>
          <w:bCs/>
          <w:color w:val="000000"/>
          <w:sz w:val="24"/>
          <w:szCs w:val="24"/>
        </w:rPr>
      </w:pPr>
      <w:r w:rsidRPr="008F1D25">
        <w:rPr>
          <w:rFonts w:asciiTheme="majorBidi" w:hAnsiTheme="majorBidi" w:cstheme="majorBidi"/>
          <w:b/>
          <w:bCs/>
          <w:color w:val="000000"/>
          <w:sz w:val="24"/>
          <w:szCs w:val="24"/>
        </w:rPr>
        <w:t>Décomposition de la productivité du travail</w:t>
      </w:r>
    </w:p>
    <w:p w:rsidR="00914DF5" w:rsidRPr="00914DF5" w:rsidRDefault="00914DF5" w:rsidP="00914DF5">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 xml:space="preserve">La productivité du travail s’explique aussi par l’accumulation du capital et le cadre qui régit l’utilisation des facteurs de production. Il s’agit dans ce cadre de l’intensité capitalistique (ratio capital/travail ou le niveau du stock capital mis à la disposition d’un actif) et de la productivité globale des facteurs. </w:t>
      </w:r>
    </w:p>
    <w:p w:rsidR="00914DF5" w:rsidRPr="00914DF5" w:rsidRDefault="00914DF5" w:rsidP="00914DF5">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 xml:space="preserve">L’intensité capitalistique s’est améliorée de manière significative durant la période 2001-2015 en raison d’une forte croissance du stock de capital de 6% par an et d’un net ralentissement de </w:t>
      </w:r>
      <w:r w:rsidRPr="00914DF5">
        <w:rPr>
          <w:rFonts w:asciiTheme="majorBidi" w:hAnsiTheme="majorBidi" w:cstheme="majorBidi"/>
          <w:b w:val="0"/>
          <w:bCs w:val="0"/>
        </w:rPr>
        <w:lastRenderedPageBreak/>
        <w:t>l’emploi avec un rythme d’accroissement passant de 2% par an entre 2001-2008 à 0,7% entre 2008-2015. L’intensité capitalistique a enregistré ainsi une hausse de 4,7% en moyenne annuelle durant l’ensemble de la période.</w:t>
      </w:r>
    </w:p>
    <w:p w:rsidR="00914DF5" w:rsidRPr="00914DF5" w:rsidRDefault="00914DF5" w:rsidP="00914DF5">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 xml:space="preserve">La productivité globale des facteurs, de son côté, malgré son faible rythme de croissance, de 0,4% en moyenne annuelle entre 2001 et 2015, il convient de préciser qu’elle s’est inscrite dans un sentier ascendant entre les deux périodes en passant de 0,1% par an à 0,6% respectivement. </w:t>
      </w:r>
    </w:p>
    <w:p w:rsidR="00914DF5" w:rsidRPr="00914DF5" w:rsidRDefault="00914DF5" w:rsidP="00914DF5">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 xml:space="preserve">Ainsi, l’amélioration de l’intensité capitalistique a contribué pour 55% à l’amélioration de la productivité du travail durant la période 2001-2015 et celle de la productivité globale des facteurs pour 15%. Les 30% restants proviennent des effets de la mobilité intersectorielle de l’emploi. </w:t>
      </w:r>
    </w:p>
    <w:p w:rsidR="00914DF5" w:rsidRPr="00914DF5" w:rsidRDefault="00914DF5" w:rsidP="00914DF5">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 xml:space="preserve">En guise de </w:t>
      </w:r>
      <w:r w:rsidRPr="005D1D5A">
        <w:rPr>
          <w:rFonts w:asciiTheme="majorBidi" w:hAnsiTheme="majorBidi" w:cstheme="majorBidi"/>
        </w:rPr>
        <w:t>conclusion</w:t>
      </w:r>
      <w:r w:rsidRPr="00914DF5">
        <w:rPr>
          <w:rFonts w:asciiTheme="majorBidi" w:hAnsiTheme="majorBidi" w:cstheme="majorBidi"/>
          <w:b w:val="0"/>
          <w:bCs w:val="0"/>
        </w:rPr>
        <w:t xml:space="preserve">, la croissance modérée des niveaux de vie de la population de 3,2% dans notre pays au cours de la période 2001-2015 trouve son explication dans la baisse des taux d’emploi, renvoyant à une sous utilisation du potentiel de main d’œuvre offert par la transition démographique et aux effets positifs relativement faibles de la productivité globale des facteurs et de la mobilité intersectorielle. En fait, malgré l’amélioration significative de l’intensité capitalistique, les structures économiques n’ont pas encore connu de mutations profondes et par conséquent le niveau de leurs productivités demeure faible, limitant ainsi les avantages qu’aurait procurés la mobilité de l’emploi d’un secteur à un autre. </w:t>
      </w:r>
    </w:p>
    <w:p w:rsidR="00914DF5" w:rsidRPr="00914DF5" w:rsidRDefault="00914DF5" w:rsidP="00914DF5">
      <w:pPr>
        <w:jc w:val="both"/>
        <w:rPr>
          <w:rFonts w:asciiTheme="majorBidi" w:hAnsiTheme="majorBidi" w:cstheme="majorBidi"/>
          <w:b w:val="0"/>
          <w:bCs w:val="0"/>
        </w:rPr>
      </w:pPr>
    </w:p>
    <w:p w:rsidR="00914DF5" w:rsidRPr="008F1D25" w:rsidRDefault="00914DF5" w:rsidP="00914DF5">
      <w:pPr>
        <w:pStyle w:val="Paragraphedeliste"/>
        <w:numPr>
          <w:ilvl w:val="0"/>
          <w:numId w:val="41"/>
        </w:numPr>
        <w:jc w:val="both"/>
        <w:rPr>
          <w:rFonts w:asciiTheme="majorBidi" w:hAnsiTheme="majorBidi" w:cstheme="majorBidi"/>
          <w:b/>
          <w:bCs/>
          <w:sz w:val="24"/>
          <w:szCs w:val="24"/>
        </w:rPr>
      </w:pPr>
      <w:r w:rsidRPr="008F1D25">
        <w:rPr>
          <w:rFonts w:asciiTheme="majorBidi" w:hAnsiTheme="majorBidi" w:cstheme="majorBidi"/>
          <w:b/>
          <w:bCs/>
          <w:sz w:val="24"/>
          <w:szCs w:val="24"/>
        </w:rPr>
        <w:t>Partage de la valeur ajoutée et du surplus de productivité entre les facteurs de production</w:t>
      </w:r>
    </w:p>
    <w:p w:rsidR="00914DF5" w:rsidRPr="00914DF5" w:rsidRDefault="00914DF5" w:rsidP="008F1D25">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 xml:space="preserve">L’accent est mis sur l’affectation de la valeur ajoutée de l’économie aux facteurs de production, notamment le travail (travail salarié, travail non salarié) et le capital pour appréhender la contribution directe de l’accumulation de ces facteurs à la création de la VA et à la productivité globale des facteurs (PGF) qui en résulte. </w:t>
      </w:r>
    </w:p>
    <w:p w:rsidR="00914DF5" w:rsidRPr="00914DF5" w:rsidRDefault="00914DF5" w:rsidP="008F1D25">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La PGF ou surplus de productivité renseigne en fait sur le niveau de l’efficacité de la combinaison productive de facteurs de production. Elle est la manifestation de la qualité du cadre institutionnel, organisationnel, de recherche et développement, de maitrise des technologies, etc. qui caractérisent l’environnement économique national.</w:t>
      </w:r>
    </w:p>
    <w:p w:rsidR="00914DF5" w:rsidRDefault="00914DF5" w:rsidP="008F1D25">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Au Maroc, la nature de la croissance économique impose la distinction entre le secteur agricole et non agricole. La valeur ajoutée du secteur agricole reste très volatile et fort tributaire, quoiqu’en diminution au fil des années, des conditions climatiques comparativement à celle du secteur non agricole. De plus, le secteur agricole s’accapare une part importante de la population active occupée avoisinant actuellement prés de 40%.</w:t>
      </w:r>
    </w:p>
    <w:p w:rsidR="005D1D5A" w:rsidRDefault="005D1D5A" w:rsidP="008F1D25">
      <w:pPr>
        <w:spacing w:before="120" w:after="120" w:line="312" w:lineRule="auto"/>
        <w:jc w:val="both"/>
        <w:rPr>
          <w:rFonts w:asciiTheme="majorBidi" w:hAnsiTheme="majorBidi" w:cstheme="majorBidi"/>
          <w:b w:val="0"/>
          <w:bCs w:val="0"/>
        </w:rPr>
      </w:pPr>
    </w:p>
    <w:p w:rsidR="005D1D5A" w:rsidRPr="00914DF5" w:rsidRDefault="005D1D5A" w:rsidP="008F1D25">
      <w:pPr>
        <w:spacing w:before="120" w:after="120" w:line="312" w:lineRule="auto"/>
        <w:jc w:val="both"/>
        <w:rPr>
          <w:rFonts w:asciiTheme="majorBidi" w:hAnsiTheme="majorBidi" w:cstheme="majorBidi"/>
          <w:b w:val="0"/>
          <w:bCs w:val="0"/>
        </w:rPr>
      </w:pPr>
    </w:p>
    <w:p w:rsidR="00914DF5" w:rsidRPr="008F1D25" w:rsidRDefault="00914DF5" w:rsidP="00914DF5">
      <w:pPr>
        <w:pStyle w:val="Paragraphedeliste"/>
        <w:numPr>
          <w:ilvl w:val="1"/>
          <w:numId w:val="43"/>
        </w:numPr>
        <w:tabs>
          <w:tab w:val="left" w:pos="709"/>
        </w:tabs>
        <w:jc w:val="both"/>
        <w:rPr>
          <w:rFonts w:asciiTheme="majorBidi" w:hAnsiTheme="majorBidi" w:cstheme="majorBidi"/>
          <w:b/>
          <w:bCs/>
          <w:color w:val="000000"/>
          <w:sz w:val="24"/>
          <w:szCs w:val="24"/>
        </w:rPr>
      </w:pPr>
      <w:r w:rsidRPr="008F1D25">
        <w:rPr>
          <w:rFonts w:asciiTheme="majorBidi" w:hAnsiTheme="majorBidi" w:cstheme="majorBidi"/>
          <w:b/>
          <w:bCs/>
          <w:color w:val="000000"/>
          <w:sz w:val="24"/>
          <w:szCs w:val="24"/>
        </w:rPr>
        <w:lastRenderedPageBreak/>
        <w:t>Surplus de productivité dans le secteur agricole</w:t>
      </w:r>
    </w:p>
    <w:p w:rsidR="00914DF5" w:rsidRPr="00914DF5" w:rsidRDefault="00914DF5" w:rsidP="008F1D25">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Le surplus de productivité dans le secteur agricole (taux de croissance de la productivité globale des facteurs ou gains de productivité) a été de 5,9% en moyenne annuelle en 2000-2008 et de 5,6% en 2009-2014 et a représenté ainsi prés de 98% de la croissance de la valeur ajoutée agricole en moyenne annuelle en 2000-2008 et de 84% en 2009-2014. Le reste de la croissance de la valeur ajoutée représente la contribution du facteur capital et du facteur travail, salarié et non salarié.</w:t>
      </w:r>
    </w:p>
    <w:p w:rsidR="00914DF5" w:rsidRPr="00914DF5" w:rsidRDefault="00914DF5" w:rsidP="00914DF5">
      <w:pPr>
        <w:jc w:val="both"/>
        <w:rPr>
          <w:rFonts w:asciiTheme="majorBidi" w:hAnsiTheme="majorBidi" w:cstheme="majorBidi"/>
          <w:b w:val="0"/>
          <w:bCs w:val="0"/>
        </w:rPr>
      </w:pPr>
      <w:r w:rsidRPr="00BC0DC1">
        <w:rPr>
          <w:rFonts w:asciiTheme="majorBidi" w:hAnsiTheme="majorBidi" w:cstheme="majorBidi"/>
        </w:rPr>
        <w:t>Tableau 5</w:t>
      </w:r>
      <w:r w:rsidR="00BC0DC1">
        <w:rPr>
          <w:rFonts w:asciiTheme="majorBidi" w:hAnsiTheme="majorBidi" w:cstheme="majorBidi"/>
        </w:rPr>
        <w:t xml:space="preserve"> </w:t>
      </w:r>
      <w:r w:rsidRPr="00914DF5">
        <w:rPr>
          <w:rFonts w:asciiTheme="majorBidi" w:hAnsiTheme="majorBidi" w:cstheme="majorBidi"/>
          <w:b w:val="0"/>
          <w:bCs w:val="0"/>
        </w:rPr>
        <w:t>: Evolution du surplus de productivité dans le secteur agricole</w:t>
      </w:r>
    </w:p>
    <w:tbl>
      <w:tblPr>
        <w:tblW w:w="9077" w:type="dxa"/>
        <w:tblInd w:w="65" w:type="dxa"/>
        <w:tblCellMar>
          <w:left w:w="70" w:type="dxa"/>
          <w:right w:w="70" w:type="dxa"/>
        </w:tblCellMar>
        <w:tblLook w:val="04A0"/>
      </w:tblPr>
      <w:tblGrid>
        <w:gridCol w:w="4825"/>
        <w:gridCol w:w="1276"/>
        <w:gridCol w:w="1701"/>
        <w:gridCol w:w="1275"/>
      </w:tblGrid>
      <w:tr w:rsidR="00914DF5" w:rsidRPr="00914DF5" w:rsidTr="00BC0DC1">
        <w:trPr>
          <w:trHeight w:val="301"/>
        </w:trPr>
        <w:tc>
          <w:tcPr>
            <w:tcW w:w="4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BC0DC1" w:rsidRDefault="00914DF5" w:rsidP="00914DF5">
            <w:pPr>
              <w:rPr>
                <w:rFonts w:asciiTheme="majorBidi" w:hAnsiTheme="majorBidi" w:cstheme="majorBidi"/>
                <w:color w:val="FFFFFF" w:themeColor="background1"/>
              </w:rPr>
            </w:pPr>
            <w:r w:rsidRPr="00BC0DC1">
              <w:rPr>
                <w:rFonts w:asciiTheme="majorBidi" w:hAnsiTheme="majorBidi" w:cstheme="majorBidi"/>
                <w:color w:val="000000"/>
              </w:rPr>
              <w:t>Croissance en pourcentage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14DF5" w:rsidRPr="00BC0DC1" w:rsidRDefault="00914DF5" w:rsidP="00914DF5">
            <w:pPr>
              <w:jc w:val="right"/>
              <w:rPr>
                <w:rFonts w:asciiTheme="majorBidi" w:hAnsiTheme="majorBidi" w:cstheme="majorBidi"/>
                <w:color w:val="000000"/>
              </w:rPr>
            </w:pPr>
            <w:r w:rsidRPr="00BC0DC1">
              <w:rPr>
                <w:rFonts w:asciiTheme="majorBidi" w:hAnsiTheme="majorBidi" w:cstheme="majorBidi"/>
                <w:color w:val="000000"/>
              </w:rPr>
              <w:t>2000-2008</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14DF5" w:rsidRPr="00BC0DC1" w:rsidRDefault="00914DF5" w:rsidP="00914DF5">
            <w:pPr>
              <w:jc w:val="right"/>
              <w:rPr>
                <w:rFonts w:asciiTheme="majorBidi" w:hAnsiTheme="majorBidi" w:cstheme="majorBidi"/>
                <w:color w:val="000000"/>
              </w:rPr>
            </w:pPr>
            <w:r w:rsidRPr="00BC0DC1">
              <w:rPr>
                <w:rFonts w:asciiTheme="majorBidi" w:hAnsiTheme="majorBidi" w:cstheme="majorBidi"/>
                <w:color w:val="000000"/>
              </w:rPr>
              <w:t>2009-2014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914DF5" w:rsidRPr="00BC0DC1" w:rsidRDefault="00914DF5" w:rsidP="00914DF5">
            <w:pPr>
              <w:jc w:val="right"/>
              <w:rPr>
                <w:rFonts w:asciiTheme="majorBidi" w:hAnsiTheme="majorBidi" w:cstheme="majorBidi"/>
                <w:color w:val="000000"/>
              </w:rPr>
            </w:pPr>
            <w:r w:rsidRPr="00BC0DC1">
              <w:rPr>
                <w:rFonts w:asciiTheme="majorBidi" w:hAnsiTheme="majorBidi" w:cstheme="majorBidi"/>
                <w:color w:val="000000"/>
              </w:rPr>
              <w:t>2000-2014</w:t>
            </w:r>
          </w:p>
        </w:tc>
      </w:tr>
      <w:tr w:rsidR="00914DF5" w:rsidRPr="00914DF5" w:rsidTr="00BC0DC1">
        <w:trPr>
          <w:trHeight w:val="331"/>
        </w:trPr>
        <w:tc>
          <w:tcPr>
            <w:tcW w:w="4825" w:type="dxa"/>
            <w:tcBorders>
              <w:top w:val="nil"/>
              <w:left w:val="single" w:sz="4" w:space="0" w:color="auto"/>
              <w:bottom w:val="single" w:sz="4" w:space="0" w:color="auto"/>
              <w:right w:val="single" w:sz="4" w:space="0" w:color="auto"/>
            </w:tcBorders>
            <w:shd w:val="clear" w:color="auto" w:fill="auto"/>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Taux de croissance réelle de la VA agricole </w:t>
            </w:r>
          </w:p>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aux couts des facteurs (1)+(2)</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6,6%</w:t>
            </w:r>
          </w:p>
        </w:tc>
        <w:tc>
          <w:tcPr>
            <w:tcW w:w="1275"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6,3%</w:t>
            </w:r>
          </w:p>
        </w:tc>
      </w:tr>
      <w:tr w:rsidR="00914DF5" w:rsidRPr="00914DF5" w:rsidTr="00BC0DC1">
        <w:trPr>
          <w:trHeight w:val="301"/>
        </w:trPr>
        <w:tc>
          <w:tcPr>
            <w:tcW w:w="4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Facteurs de production  (1)</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0,1%</w:t>
            </w:r>
          </w:p>
        </w:tc>
        <w:tc>
          <w:tcPr>
            <w:tcW w:w="1701"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1,1%</w:t>
            </w:r>
          </w:p>
        </w:tc>
        <w:tc>
          <w:tcPr>
            <w:tcW w:w="1275"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0,5%</w:t>
            </w:r>
          </w:p>
        </w:tc>
      </w:tr>
      <w:tr w:rsidR="00914DF5" w:rsidRPr="00914DF5" w:rsidTr="00BC0DC1">
        <w:trPr>
          <w:trHeight w:val="301"/>
        </w:trPr>
        <w:tc>
          <w:tcPr>
            <w:tcW w:w="4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     Facteur travail salarial</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0,1%</w:t>
            </w:r>
          </w:p>
        </w:tc>
        <w:tc>
          <w:tcPr>
            <w:tcW w:w="1701"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0,1%</w:t>
            </w:r>
          </w:p>
        </w:tc>
        <w:tc>
          <w:tcPr>
            <w:tcW w:w="1275"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0,1%</w:t>
            </w:r>
          </w:p>
        </w:tc>
      </w:tr>
      <w:tr w:rsidR="00914DF5" w:rsidRPr="00914DF5" w:rsidTr="00BC0DC1">
        <w:trPr>
          <w:trHeight w:val="301"/>
        </w:trPr>
        <w:tc>
          <w:tcPr>
            <w:tcW w:w="4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     Facteur travail non salarial</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-0,3%</w:t>
            </w:r>
          </w:p>
        </w:tc>
        <w:tc>
          <w:tcPr>
            <w:tcW w:w="1701"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-0,2%</w:t>
            </w:r>
          </w:p>
        </w:tc>
        <w:tc>
          <w:tcPr>
            <w:tcW w:w="1275"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-0,3%</w:t>
            </w:r>
          </w:p>
        </w:tc>
      </w:tr>
      <w:tr w:rsidR="00914DF5" w:rsidRPr="00914DF5" w:rsidTr="00BC0DC1">
        <w:trPr>
          <w:trHeight w:val="301"/>
        </w:trPr>
        <w:tc>
          <w:tcPr>
            <w:tcW w:w="4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     Facteur capital</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0,3%</w:t>
            </w:r>
          </w:p>
        </w:tc>
        <w:tc>
          <w:tcPr>
            <w:tcW w:w="1701"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1,2%</w:t>
            </w:r>
          </w:p>
        </w:tc>
        <w:tc>
          <w:tcPr>
            <w:tcW w:w="1275"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0,7%</w:t>
            </w:r>
          </w:p>
        </w:tc>
      </w:tr>
      <w:tr w:rsidR="00914DF5" w:rsidRPr="00914DF5" w:rsidTr="00BC0DC1">
        <w:trPr>
          <w:trHeight w:val="434"/>
        </w:trPr>
        <w:tc>
          <w:tcPr>
            <w:tcW w:w="4825"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Surplus de productivité  (2)</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5,9%</w:t>
            </w:r>
          </w:p>
        </w:tc>
        <w:tc>
          <w:tcPr>
            <w:tcW w:w="1701"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5,6%</w:t>
            </w:r>
          </w:p>
        </w:tc>
        <w:tc>
          <w:tcPr>
            <w:tcW w:w="1275"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5,8%</w:t>
            </w:r>
          </w:p>
        </w:tc>
      </w:tr>
      <w:tr w:rsidR="00914DF5" w:rsidRPr="00914DF5" w:rsidTr="00BC0DC1">
        <w:trPr>
          <w:trHeight w:val="969"/>
        </w:trPr>
        <w:tc>
          <w:tcPr>
            <w:tcW w:w="4825"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Contribution  en % des facteurs de production </w:t>
            </w:r>
          </w:p>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dans la croissance réelle  de la VA agricole </w:t>
            </w:r>
          </w:p>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aux couts des facteurs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2,0%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16,0%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7,9%</w:t>
            </w:r>
          </w:p>
        </w:tc>
      </w:tr>
      <w:tr w:rsidR="00914DF5" w:rsidRPr="00914DF5" w:rsidTr="00BC0DC1">
        <w:trPr>
          <w:trHeight w:val="301"/>
        </w:trPr>
        <w:tc>
          <w:tcPr>
            <w:tcW w:w="4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      Facteur travail salarial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2,2%</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1,7%</w:t>
            </w:r>
          </w:p>
        </w:tc>
      </w:tr>
      <w:tr w:rsidR="00914DF5" w:rsidRPr="00914DF5" w:rsidTr="00BC0DC1">
        <w:trPr>
          <w:trHeight w:val="301"/>
        </w:trPr>
        <w:tc>
          <w:tcPr>
            <w:tcW w:w="4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      Facteur travail non salarial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-5,0%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-3,2%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-4,2%</w:t>
            </w:r>
          </w:p>
        </w:tc>
      </w:tr>
      <w:tr w:rsidR="00914DF5" w:rsidRPr="00914DF5" w:rsidTr="00BC0DC1">
        <w:trPr>
          <w:trHeight w:val="316"/>
        </w:trPr>
        <w:tc>
          <w:tcPr>
            <w:tcW w:w="48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      Facteur capital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4,7%</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18,3%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10,5%</w:t>
            </w:r>
          </w:p>
        </w:tc>
      </w:tr>
      <w:tr w:rsidR="00914DF5" w:rsidRPr="00914DF5" w:rsidTr="00BC0DC1">
        <w:trPr>
          <w:trHeight w:val="919"/>
        </w:trPr>
        <w:tc>
          <w:tcPr>
            <w:tcW w:w="4825" w:type="dxa"/>
            <w:tcBorders>
              <w:top w:val="single" w:sz="4" w:space="0" w:color="auto"/>
              <w:left w:val="single" w:sz="8" w:space="0" w:color="auto"/>
              <w:bottom w:val="single" w:sz="8" w:space="0" w:color="auto"/>
              <w:right w:val="single" w:sz="4" w:space="0" w:color="auto"/>
            </w:tcBorders>
            <w:shd w:val="clear" w:color="auto" w:fill="auto"/>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Contribution en % du surplus de productivité </w:t>
            </w:r>
          </w:p>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dans la croissance réelle  de la VA agricole </w:t>
            </w:r>
          </w:p>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aux couts des facteurs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98,0%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84,0%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right"/>
              <w:rPr>
                <w:rFonts w:asciiTheme="majorBidi" w:hAnsiTheme="majorBidi" w:cstheme="majorBidi"/>
                <w:b w:val="0"/>
                <w:bCs w:val="0"/>
                <w:color w:val="000000"/>
              </w:rPr>
            </w:pPr>
            <w:r w:rsidRPr="00914DF5">
              <w:rPr>
                <w:rFonts w:asciiTheme="majorBidi" w:hAnsiTheme="majorBidi" w:cstheme="majorBidi"/>
                <w:b w:val="0"/>
                <w:bCs w:val="0"/>
                <w:color w:val="000000"/>
              </w:rPr>
              <w:t>92,1%</w:t>
            </w:r>
          </w:p>
        </w:tc>
      </w:tr>
    </w:tbl>
    <w:p w:rsidR="00914DF5" w:rsidRPr="00914DF5" w:rsidRDefault="00914DF5" w:rsidP="00914DF5">
      <w:pPr>
        <w:jc w:val="both"/>
        <w:rPr>
          <w:rFonts w:asciiTheme="majorBidi" w:hAnsiTheme="majorBidi" w:cstheme="majorBidi"/>
          <w:b w:val="0"/>
          <w:bCs w:val="0"/>
          <w:sz w:val="20"/>
          <w:szCs w:val="20"/>
        </w:rPr>
      </w:pPr>
      <w:r w:rsidRPr="00914DF5">
        <w:rPr>
          <w:rFonts w:asciiTheme="majorBidi" w:hAnsiTheme="majorBidi" w:cstheme="majorBidi"/>
          <w:b w:val="0"/>
          <w:bCs w:val="0"/>
          <w:sz w:val="20"/>
          <w:szCs w:val="20"/>
        </w:rPr>
        <w:t>Source : HCP</w:t>
      </w:r>
    </w:p>
    <w:p w:rsidR="005937EA" w:rsidRDefault="005937EA" w:rsidP="008F1D25">
      <w:pPr>
        <w:spacing w:before="120" w:after="120" w:line="312" w:lineRule="auto"/>
        <w:jc w:val="both"/>
        <w:rPr>
          <w:rFonts w:asciiTheme="majorBidi" w:hAnsiTheme="majorBidi" w:cstheme="majorBidi"/>
          <w:b w:val="0"/>
          <w:bCs w:val="0"/>
        </w:rPr>
      </w:pPr>
    </w:p>
    <w:p w:rsidR="00914DF5" w:rsidRPr="00914DF5" w:rsidRDefault="00914DF5" w:rsidP="008F1D25">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 xml:space="preserve">La contribution du facteur capital à la croissance de la valeur ajoutée agricole a gagné en intensité au fil des années, passant d’une moyenne annuelle de 4,7% en 2000-2008 à 18,3% en 2009-2014. La contribution du travail salarié dans la croissance a été faible, de 1,7% en moyenne annuelle sur la période 2000-2014, alors que celle du travail non salarié a été plutôt négative de -4,2% en moyenne annuelle en 2000-2014. </w:t>
      </w:r>
    </w:p>
    <w:p w:rsidR="00914DF5" w:rsidRPr="00914DF5" w:rsidRDefault="00914DF5" w:rsidP="008F1D25">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Le surplus de productivité dans le secteur agricole a été principalement le fait du facteur capital. Le surplus de celui-ci a été de 3,7% entre 2000 et 2014 (2,9% en 2000-2008 et 5% en 2009-2014), supérieur à celui du facteur travail non salarié en augmentation de 1,4%, et à celui du travail salarié en augmentation de 0,3%.</w:t>
      </w:r>
    </w:p>
    <w:p w:rsidR="00914DF5" w:rsidRDefault="00914DF5" w:rsidP="008F1D25">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 xml:space="preserve">En réalité le surplus de productivité distribué effectivement aux facteurs de production est parfois différent du surplus de productivité généré par les facteurs de production en raison de certains prélèvements qui reviennent à l’administration publique et au reste du monde. Si le surplus de productivité réalisé par les facteurs de production dans le secteur agricole s’est </w:t>
      </w:r>
      <w:r w:rsidRPr="00914DF5">
        <w:rPr>
          <w:rFonts w:asciiTheme="majorBidi" w:hAnsiTheme="majorBidi" w:cstheme="majorBidi"/>
          <w:b w:val="0"/>
          <w:bCs w:val="0"/>
        </w:rPr>
        <w:lastRenderedPageBreak/>
        <w:t xml:space="preserve">accru de 5,4% par an durant la période 2000-2014, le surplus distribué effectivement aux facteurs n’a été que de 3,3%. Le reste de surplus, soit 2,1%, constitue l’équivalent des prélèvements dans le secteur agricole. </w:t>
      </w:r>
    </w:p>
    <w:p w:rsidR="005937EA" w:rsidRPr="00914DF5" w:rsidRDefault="005937EA" w:rsidP="008F1D25">
      <w:pPr>
        <w:spacing w:before="120" w:after="120" w:line="312" w:lineRule="auto"/>
        <w:jc w:val="both"/>
        <w:rPr>
          <w:rFonts w:asciiTheme="majorBidi" w:hAnsiTheme="majorBidi" w:cstheme="majorBidi"/>
          <w:b w:val="0"/>
          <w:bCs w:val="0"/>
        </w:rPr>
      </w:pPr>
    </w:p>
    <w:p w:rsidR="00914DF5" w:rsidRPr="00914DF5" w:rsidRDefault="00914DF5" w:rsidP="00914DF5">
      <w:pPr>
        <w:jc w:val="both"/>
        <w:rPr>
          <w:rFonts w:asciiTheme="majorBidi" w:hAnsiTheme="majorBidi" w:cstheme="majorBidi"/>
          <w:b w:val="0"/>
          <w:bCs w:val="0"/>
        </w:rPr>
      </w:pPr>
      <w:r w:rsidRPr="00BC0DC1">
        <w:rPr>
          <w:rFonts w:asciiTheme="majorBidi" w:hAnsiTheme="majorBidi" w:cstheme="majorBidi"/>
        </w:rPr>
        <w:t>Tableau 6</w:t>
      </w:r>
      <w:r w:rsidR="00BC0DC1">
        <w:rPr>
          <w:rFonts w:asciiTheme="majorBidi" w:hAnsiTheme="majorBidi" w:cstheme="majorBidi"/>
          <w:b w:val="0"/>
          <w:bCs w:val="0"/>
        </w:rPr>
        <w:t xml:space="preserve"> </w:t>
      </w:r>
      <w:r w:rsidRPr="00914DF5">
        <w:rPr>
          <w:rFonts w:asciiTheme="majorBidi" w:hAnsiTheme="majorBidi" w:cstheme="majorBidi"/>
          <w:b w:val="0"/>
          <w:bCs w:val="0"/>
        </w:rPr>
        <w:t>: Surplus de productivité selon les facteurs de production dans le secteur agricole</w:t>
      </w:r>
    </w:p>
    <w:tbl>
      <w:tblPr>
        <w:tblW w:w="0" w:type="auto"/>
        <w:tblInd w:w="65" w:type="dxa"/>
        <w:tblLayout w:type="fixed"/>
        <w:tblCellMar>
          <w:left w:w="70" w:type="dxa"/>
          <w:right w:w="70" w:type="dxa"/>
        </w:tblCellMar>
        <w:tblLook w:val="04A0"/>
      </w:tblPr>
      <w:tblGrid>
        <w:gridCol w:w="4541"/>
        <w:gridCol w:w="1560"/>
        <w:gridCol w:w="1417"/>
        <w:gridCol w:w="1559"/>
      </w:tblGrid>
      <w:tr w:rsidR="00914DF5" w:rsidRPr="00914DF5" w:rsidTr="00BC0DC1">
        <w:trPr>
          <w:trHeight w:val="300"/>
        </w:trPr>
        <w:tc>
          <w:tcPr>
            <w:tcW w:w="4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BC0DC1" w:rsidRDefault="00914DF5" w:rsidP="00914DF5">
            <w:pPr>
              <w:keepNext/>
              <w:jc w:val="center"/>
              <w:rPr>
                <w:rFonts w:asciiTheme="majorBidi" w:hAnsiTheme="majorBidi" w:cstheme="majorBidi"/>
                <w:color w:val="000000"/>
              </w:rPr>
            </w:pPr>
            <w:r w:rsidRPr="00BC0DC1">
              <w:rPr>
                <w:rFonts w:asciiTheme="majorBidi" w:hAnsiTheme="majorBidi" w:cstheme="majorBidi"/>
                <w:color w:val="000000"/>
              </w:rPr>
              <w:t>Rubriques</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914DF5" w:rsidRPr="00BC0DC1" w:rsidRDefault="00914DF5" w:rsidP="00914DF5">
            <w:pPr>
              <w:keepNext/>
              <w:jc w:val="center"/>
              <w:rPr>
                <w:rFonts w:asciiTheme="majorBidi" w:hAnsiTheme="majorBidi" w:cstheme="majorBidi"/>
                <w:color w:val="000000"/>
              </w:rPr>
            </w:pPr>
            <w:r w:rsidRPr="00BC0DC1">
              <w:rPr>
                <w:rFonts w:asciiTheme="majorBidi" w:hAnsiTheme="majorBidi" w:cstheme="majorBidi"/>
                <w:color w:val="000000"/>
              </w:rPr>
              <w:t>2000-2008</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914DF5" w:rsidRPr="00BC0DC1" w:rsidRDefault="00914DF5" w:rsidP="00914DF5">
            <w:pPr>
              <w:keepNext/>
              <w:jc w:val="center"/>
              <w:rPr>
                <w:rFonts w:asciiTheme="majorBidi" w:hAnsiTheme="majorBidi" w:cstheme="majorBidi"/>
                <w:color w:val="000000"/>
              </w:rPr>
            </w:pPr>
            <w:r w:rsidRPr="00BC0DC1">
              <w:rPr>
                <w:rFonts w:asciiTheme="majorBidi" w:hAnsiTheme="majorBidi" w:cstheme="majorBidi"/>
                <w:color w:val="000000"/>
              </w:rPr>
              <w:t>2009-2014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14DF5" w:rsidRPr="00BC0DC1" w:rsidRDefault="00914DF5" w:rsidP="00914DF5">
            <w:pPr>
              <w:keepNext/>
              <w:jc w:val="center"/>
              <w:rPr>
                <w:rFonts w:asciiTheme="majorBidi" w:hAnsiTheme="majorBidi" w:cstheme="majorBidi"/>
                <w:color w:val="000000"/>
              </w:rPr>
            </w:pPr>
            <w:r w:rsidRPr="00BC0DC1">
              <w:rPr>
                <w:rFonts w:asciiTheme="majorBidi" w:hAnsiTheme="majorBidi" w:cstheme="majorBidi"/>
                <w:color w:val="000000"/>
              </w:rPr>
              <w:t>2000-2014</w:t>
            </w:r>
          </w:p>
        </w:tc>
      </w:tr>
      <w:tr w:rsidR="00914DF5" w:rsidRPr="00914DF5" w:rsidTr="00BC0DC1">
        <w:trPr>
          <w:trHeight w:val="300"/>
        </w:trPr>
        <w:tc>
          <w:tcPr>
            <w:tcW w:w="4541"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keepNext/>
              <w:rPr>
                <w:rFonts w:asciiTheme="majorBidi" w:hAnsiTheme="majorBidi" w:cstheme="majorBidi"/>
                <w:b w:val="0"/>
                <w:bCs w:val="0"/>
                <w:color w:val="000000"/>
              </w:rPr>
            </w:pPr>
            <w:r w:rsidRPr="00914DF5">
              <w:rPr>
                <w:rFonts w:asciiTheme="majorBidi" w:hAnsiTheme="majorBidi" w:cstheme="majorBidi"/>
                <w:b w:val="0"/>
                <w:bCs w:val="0"/>
                <w:color w:val="000000"/>
              </w:rPr>
              <w:t>surplus de productivité du travail salarié</w:t>
            </w:r>
          </w:p>
        </w:tc>
        <w:tc>
          <w:tcPr>
            <w:tcW w:w="156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keepNext/>
              <w:jc w:val="center"/>
              <w:rPr>
                <w:rFonts w:asciiTheme="majorBidi" w:hAnsiTheme="majorBidi" w:cstheme="majorBidi"/>
                <w:b w:val="0"/>
                <w:bCs w:val="0"/>
                <w:color w:val="000000"/>
              </w:rPr>
            </w:pPr>
            <w:r w:rsidRPr="00914DF5">
              <w:rPr>
                <w:rFonts w:asciiTheme="majorBidi" w:hAnsiTheme="majorBidi" w:cstheme="majorBidi"/>
                <w:b w:val="0"/>
                <w:bCs w:val="0"/>
                <w:color w:val="000000"/>
              </w:rPr>
              <w:t>0,4%</w:t>
            </w:r>
          </w:p>
        </w:tc>
        <w:tc>
          <w:tcPr>
            <w:tcW w:w="1417"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keepNext/>
              <w:jc w:val="center"/>
              <w:rPr>
                <w:rFonts w:asciiTheme="majorBidi" w:hAnsiTheme="majorBidi" w:cstheme="majorBidi"/>
                <w:b w:val="0"/>
                <w:bCs w:val="0"/>
                <w:color w:val="000000"/>
              </w:rPr>
            </w:pPr>
            <w:r w:rsidRPr="00914DF5">
              <w:rPr>
                <w:rFonts w:asciiTheme="majorBidi" w:hAnsiTheme="majorBidi" w:cstheme="majorBidi"/>
                <w:b w:val="0"/>
                <w:bCs w:val="0"/>
                <w:color w:val="000000"/>
              </w:rPr>
              <w:t>0,02%</w:t>
            </w:r>
          </w:p>
        </w:tc>
        <w:tc>
          <w:tcPr>
            <w:tcW w:w="1559"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keepNext/>
              <w:jc w:val="center"/>
              <w:rPr>
                <w:rFonts w:asciiTheme="majorBidi" w:hAnsiTheme="majorBidi" w:cstheme="majorBidi"/>
                <w:b w:val="0"/>
                <w:bCs w:val="0"/>
                <w:color w:val="000000"/>
              </w:rPr>
            </w:pPr>
            <w:r w:rsidRPr="00914DF5">
              <w:rPr>
                <w:rFonts w:asciiTheme="majorBidi" w:hAnsiTheme="majorBidi" w:cstheme="majorBidi"/>
                <w:b w:val="0"/>
                <w:bCs w:val="0"/>
                <w:color w:val="000000"/>
              </w:rPr>
              <w:t>0,3%</w:t>
            </w:r>
          </w:p>
        </w:tc>
      </w:tr>
      <w:tr w:rsidR="00914DF5" w:rsidRPr="00914DF5" w:rsidTr="00BC0DC1">
        <w:trPr>
          <w:trHeight w:val="300"/>
        </w:trPr>
        <w:tc>
          <w:tcPr>
            <w:tcW w:w="4541"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keepNext/>
              <w:rPr>
                <w:rFonts w:asciiTheme="majorBidi" w:hAnsiTheme="majorBidi" w:cstheme="majorBidi"/>
                <w:b w:val="0"/>
                <w:bCs w:val="0"/>
                <w:color w:val="000000"/>
              </w:rPr>
            </w:pPr>
            <w:r w:rsidRPr="00914DF5">
              <w:rPr>
                <w:rFonts w:asciiTheme="majorBidi" w:hAnsiTheme="majorBidi" w:cstheme="majorBidi"/>
                <w:b w:val="0"/>
                <w:bCs w:val="0"/>
                <w:color w:val="000000"/>
              </w:rPr>
              <w:t>surplus de productivité du travail non salarié</w:t>
            </w:r>
          </w:p>
        </w:tc>
        <w:tc>
          <w:tcPr>
            <w:tcW w:w="156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keepNext/>
              <w:jc w:val="center"/>
              <w:rPr>
                <w:rFonts w:asciiTheme="majorBidi" w:hAnsiTheme="majorBidi" w:cstheme="majorBidi"/>
                <w:b w:val="0"/>
                <w:bCs w:val="0"/>
                <w:color w:val="000000"/>
              </w:rPr>
            </w:pPr>
            <w:r w:rsidRPr="00914DF5">
              <w:rPr>
                <w:rFonts w:asciiTheme="majorBidi" w:hAnsiTheme="majorBidi" w:cstheme="majorBidi"/>
                <w:b w:val="0"/>
                <w:bCs w:val="0"/>
                <w:color w:val="000000"/>
              </w:rPr>
              <w:t>2,4%</w:t>
            </w:r>
          </w:p>
        </w:tc>
        <w:tc>
          <w:tcPr>
            <w:tcW w:w="1417"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keepNext/>
              <w:jc w:val="center"/>
              <w:rPr>
                <w:rFonts w:asciiTheme="majorBidi" w:hAnsiTheme="majorBidi" w:cstheme="majorBidi"/>
                <w:b w:val="0"/>
                <w:bCs w:val="0"/>
                <w:color w:val="000000"/>
              </w:rPr>
            </w:pPr>
            <w:r w:rsidRPr="00914DF5">
              <w:rPr>
                <w:rFonts w:asciiTheme="majorBidi" w:hAnsiTheme="majorBidi" w:cstheme="majorBidi"/>
                <w:b w:val="0"/>
                <w:bCs w:val="0"/>
                <w:color w:val="000000"/>
              </w:rPr>
              <w:t>0,03%</w:t>
            </w:r>
          </w:p>
        </w:tc>
        <w:tc>
          <w:tcPr>
            <w:tcW w:w="1559"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keepNext/>
              <w:jc w:val="center"/>
              <w:rPr>
                <w:rFonts w:asciiTheme="majorBidi" w:hAnsiTheme="majorBidi" w:cstheme="majorBidi"/>
                <w:b w:val="0"/>
                <w:bCs w:val="0"/>
                <w:color w:val="000000"/>
              </w:rPr>
            </w:pPr>
            <w:r w:rsidRPr="00914DF5">
              <w:rPr>
                <w:rFonts w:asciiTheme="majorBidi" w:hAnsiTheme="majorBidi" w:cstheme="majorBidi"/>
                <w:b w:val="0"/>
                <w:bCs w:val="0"/>
                <w:color w:val="000000"/>
              </w:rPr>
              <w:t>1,4%</w:t>
            </w:r>
          </w:p>
        </w:tc>
      </w:tr>
      <w:tr w:rsidR="00914DF5" w:rsidRPr="00914DF5" w:rsidTr="00BC0DC1">
        <w:trPr>
          <w:trHeight w:val="300"/>
        </w:trPr>
        <w:tc>
          <w:tcPr>
            <w:tcW w:w="4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keepNext/>
              <w:rPr>
                <w:rFonts w:asciiTheme="majorBidi" w:hAnsiTheme="majorBidi" w:cstheme="majorBidi"/>
                <w:b w:val="0"/>
                <w:bCs w:val="0"/>
                <w:color w:val="000000"/>
              </w:rPr>
            </w:pPr>
            <w:r w:rsidRPr="00914DF5">
              <w:rPr>
                <w:rFonts w:asciiTheme="majorBidi" w:hAnsiTheme="majorBidi" w:cstheme="majorBidi"/>
                <w:b w:val="0"/>
                <w:bCs w:val="0"/>
                <w:color w:val="000000"/>
              </w:rPr>
              <w:t xml:space="preserve">surplus de productivité du capital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keepNext/>
              <w:jc w:val="center"/>
              <w:rPr>
                <w:rFonts w:asciiTheme="majorBidi" w:hAnsiTheme="majorBidi" w:cstheme="majorBidi"/>
                <w:b w:val="0"/>
                <w:bCs w:val="0"/>
                <w:color w:val="000000"/>
              </w:rPr>
            </w:pPr>
            <w:r w:rsidRPr="00914DF5">
              <w:rPr>
                <w:rFonts w:asciiTheme="majorBidi" w:hAnsiTheme="majorBidi" w:cstheme="majorBidi"/>
                <w:b w:val="0"/>
                <w:bCs w:val="0"/>
                <w:color w:val="000000"/>
              </w:rPr>
              <w:t>2,9%</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keepNext/>
              <w:jc w:val="center"/>
              <w:rPr>
                <w:rFonts w:asciiTheme="majorBidi" w:hAnsiTheme="majorBidi" w:cstheme="majorBidi"/>
                <w:b w:val="0"/>
                <w:bCs w:val="0"/>
                <w:color w:val="000000"/>
              </w:rPr>
            </w:pPr>
            <w:r w:rsidRPr="00914DF5">
              <w:rPr>
                <w:rFonts w:asciiTheme="majorBidi" w:hAnsiTheme="majorBidi" w:cstheme="majorBidi"/>
                <w:b w:val="0"/>
                <w:bCs w:val="0"/>
                <w:color w:val="000000"/>
              </w:rPr>
              <w:t>5,0%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keepNext/>
              <w:jc w:val="center"/>
              <w:rPr>
                <w:rFonts w:asciiTheme="majorBidi" w:hAnsiTheme="majorBidi" w:cstheme="majorBidi"/>
                <w:b w:val="0"/>
                <w:bCs w:val="0"/>
                <w:color w:val="000000"/>
              </w:rPr>
            </w:pPr>
            <w:r w:rsidRPr="00914DF5">
              <w:rPr>
                <w:rFonts w:asciiTheme="majorBidi" w:hAnsiTheme="majorBidi" w:cstheme="majorBidi"/>
                <w:b w:val="0"/>
                <w:bCs w:val="0"/>
                <w:color w:val="000000"/>
              </w:rPr>
              <w:t>3,7%</w:t>
            </w:r>
          </w:p>
        </w:tc>
      </w:tr>
    </w:tbl>
    <w:p w:rsidR="00914DF5" w:rsidRPr="00914DF5" w:rsidRDefault="00914DF5" w:rsidP="00914DF5">
      <w:pPr>
        <w:jc w:val="both"/>
        <w:rPr>
          <w:rFonts w:asciiTheme="majorBidi" w:hAnsiTheme="majorBidi" w:cstheme="majorBidi"/>
          <w:b w:val="0"/>
          <w:bCs w:val="0"/>
          <w:sz w:val="20"/>
          <w:szCs w:val="20"/>
        </w:rPr>
      </w:pPr>
      <w:r w:rsidRPr="00914DF5">
        <w:rPr>
          <w:rFonts w:asciiTheme="majorBidi" w:hAnsiTheme="majorBidi" w:cstheme="majorBidi"/>
          <w:b w:val="0"/>
          <w:bCs w:val="0"/>
          <w:sz w:val="20"/>
          <w:szCs w:val="20"/>
        </w:rPr>
        <w:t>Source : HCP</w:t>
      </w:r>
    </w:p>
    <w:p w:rsidR="00802BFB" w:rsidRDefault="00802BFB" w:rsidP="00802BFB">
      <w:pPr>
        <w:spacing w:before="120" w:after="120" w:line="312" w:lineRule="auto"/>
        <w:jc w:val="both"/>
        <w:rPr>
          <w:rFonts w:asciiTheme="majorBidi" w:hAnsiTheme="majorBidi" w:cstheme="majorBidi"/>
          <w:b w:val="0"/>
          <w:bCs w:val="0"/>
        </w:rPr>
      </w:pPr>
    </w:p>
    <w:p w:rsidR="00914DF5" w:rsidRPr="00914DF5" w:rsidRDefault="00914DF5" w:rsidP="00802BFB">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 xml:space="preserve">Globalement, le surplus de productivité dans le secteur agricole est majoritairement redistribué aux détenteurs des facteurs de production et en particulier aux détenteurs du capital. Le peu de surplus qui reste dans le secteur revient au reste du monde au moment où l’administration publique n’en profite pas. </w:t>
      </w:r>
    </w:p>
    <w:p w:rsidR="00914DF5" w:rsidRDefault="00914DF5" w:rsidP="00802BFB">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En effet, le surplus de productivité effectivement distribué au facteur capital a enregistré, en moyenne annuelle, le taux de croissance le plus important avec 3,1% entre 2000 et 2014, au lieu de 0,05% et 0,2% du surplus distribué respectivement aux facteurs travail salarié et non salarié. L’extérieur ou le reste du monde a tendance à profiter davantage du surplus de productivité dégagé par le secteur agricole en réalisant un taux de croissance annuel moyen de son prélèvement de 2,2%. Le prélèvement des administrations publiques a enregistré en moyenne annuelle un taux de croissance négatif de 0,1% durant la période 2000-2014.</w:t>
      </w:r>
    </w:p>
    <w:p w:rsidR="005937EA" w:rsidRPr="00914DF5" w:rsidRDefault="005937EA" w:rsidP="00802BFB">
      <w:pPr>
        <w:spacing w:before="120" w:after="120" w:line="312" w:lineRule="auto"/>
        <w:jc w:val="both"/>
        <w:rPr>
          <w:rFonts w:asciiTheme="majorBidi" w:hAnsiTheme="majorBidi" w:cstheme="majorBidi"/>
          <w:b w:val="0"/>
          <w:bCs w:val="0"/>
        </w:rPr>
      </w:pPr>
    </w:p>
    <w:p w:rsidR="00914DF5" w:rsidRPr="00914DF5" w:rsidRDefault="00914DF5" w:rsidP="00914DF5">
      <w:pPr>
        <w:jc w:val="both"/>
        <w:rPr>
          <w:rFonts w:asciiTheme="majorBidi" w:hAnsiTheme="majorBidi" w:cstheme="majorBidi"/>
          <w:b w:val="0"/>
          <w:bCs w:val="0"/>
          <w:color w:val="000000"/>
        </w:rPr>
      </w:pPr>
      <w:r w:rsidRPr="00BC0DC1">
        <w:rPr>
          <w:rFonts w:asciiTheme="majorBidi" w:hAnsiTheme="majorBidi" w:cstheme="majorBidi"/>
        </w:rPr>
        <w:t>Tableau 7</w:t>
      </w:r>
      <w:r w:rsidR="00BC0DC1">
        <w:rPr>
          <w:rFonts w:asciiTheme="majorBidi" w:hAnsiTheme="majorBidi" w:cstheme="majorBidi"/>
          <w:b w:val="0"/>
          <w:bCs w:val="0"/>
        </w:rPr>
        <w:t xml:space="preserve"> </w:t>
      </w:r>
      <w:r w:rsidRPr="00914DF5">
        <w:rPr>
          <w:rFonts w:asciiTheme="majorBidi" w:hAnsiTheme="majorBidi" w:cstheme="majorBidi"/>
          <w:b w:val="0"/>
          <w:bCs w:val="0"/>
        </w:rPr>
        <w:t xml:space="preserve">: Surplus de productivité distribué effectivement aux facteurs de production dans le </w:t>
      </w:r>
      <w:r w:rsidRPr="00914DF5">
        <w:rPr>
          <w:rFonts w:asciiTheme="majorBidi" w:hAnsiTheme="majorBidi" w:cstheme="majorBidi"/>
          <w:b w:val="0"/>
          <w:bCs w:val="0"/>
          <w:color w:val="000000"/>
        </w:rPr>
        <w:t>secteur agricole</w:t>
      </w:r>
    </w:p>
    <w:tbl>
      <w:tblPr>
        <w:tblW w:w="90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536"/>
        <w:gridCol w:w="1559"/>
        <w:gridCol w:w="1417"/>
        <w:gridCol w:w="1502"/>
      </w:tblGrid>
      <w:tr w:rsidR="00914DF5" w:rsidRPr="00914DF5" w:rsidTr="00914DF5">
        <w:trPr>
          <w:trHeight w:val="299"/>
        </w:trPr>
        <w:tc>
          <w:tcPr>
            <w:tcW w:w="4536" w:type="dxa"/>
            <w:shd w:val="clear" w:color="auto" w:fill="auto"/>
            <w:noWrap/>
            <w:vAlign w:val="bottom"/>
            <w:hideMark/>
          </w:tcPr>
          <w:p w:rsidR="00914DF5" w:rsidRPr="00BC0DC1" w:rsidRDefault="00914DF5" w:rsidP="00914DF5">
            <w:pPr>
              <w:jc w:val="center"/>
              <w:rPr>
                <w:rFonts w:asciiTheme="majorBidi" w:hAnsiTheme="majorBidi" w:cstheme="majorBidi"/>
                <w:color w:val="000000"/>
              </w:rPr>
            </w:pPr>
            <w:r w:rsidRPr="00BC0DC1">
              <w:rPr>
                <w:rFonts w:asciiTheme="majorBidi" w:hAnsiTheme="majorBidi" w:cstheme="majorBidi"/>
              </w:rPr>
              <w:t>Surplus de productivité distribuable du secteur agricole</w:t>
            </w:r>
          </w:p>
        </w:tc>
        <w:tc>
          <w:tcPr>
            <w:tcW w:w="1559" w:type="dxa"/>
            <w:shd w:val="clear" w:color="auto" w:fill="auto"/>
            <w:noWrap/>
            <w:vAlign w:val="bottom"/>
            <w:hideMark/>
          </w:tcPr>
          <w:p w:rsidR="00914DF5" w:rsidRPr="00BC0DC1" w:rsidRDefault="00914DF5" w:rsidP="00914DF5">
            <w:pPr>
              <w:jc w:val="center"/>
              <w:rPr>
                <w:rFonts w:asciiTheme="majorBidi" w:hAnsiTheme="majorBidi" w:cstheme="majorBidi"/>
                <w:color w:val="000000"/>
              </w:rPr>
            </w:pPr>
            <w:r w:rsidRPr="00BC0DC1">
              <w:rPr>
                <w:rFonts w:asciiTheme="majorBidi" w:hAnsiTheme="majorBidi" w:cstheme="majorBidi"/>
                <w:color w:val="000000"/>
              </w:rPr>
              <w:t>2000-2008</w:t>
            </w:r>
          </w:p>
        </w:tc>
        <w:tc>
          <w:tcPr>
            <w:tcW w:w="1417" w:type="dxa"/>
            <w:shd w:val="clear" w:color="auto" w:fill="auto"/>
            <w:noWrap/>
            <w:vAlign w:val="bottom"/>
            <w:hideMark/>
          </w:tcPr>
          <w:p w:rsidR="00914DF5" w:rsidRPr="00BC0DC1" w:rsidRDefault="00914DF5" w:rsidP="00914DF5">
            <w:pPr>
              <w:jc w:val="center"/>
              <w:rPr>
                <w:rFonts w:asciiTheme="majorBidi" w:hAnsiTheme="majorBidi" w:cstheme="majorBidi"/>
                <w:color w:val="000000"/>
              </w:rPr>
            </w:pPr>
            <w:r w:rsidRPr="00BC0DC1">
              <w:rPr>
                <w:rFonts w:asciiTheme="majorBidi" w:hAnsiTheme="majorBidi" w:cstheme="majorBidi"/>
                <w:color w:val="000000"/>
              </w:rPr>
              <w:t>2009-2014</w:t>
            </w:r>
          </w:p>
        </w:tc>
        <w:tc>
          <w:tcPr>
            <w:tcW w:w="1502" w:type="dxa"/>
            <w:shd w:val="clear" w:color="auto" w:fill="auto"/>
            <w:noWrap/>
            <w:vAlign w:val="bottom"/>
            <w:hideMark/>
          </w:tcPr>
          <w:p w:rsidR="00914DF5" w:rsidRPr="00BC0DC1" w:rsidRDefault="00914DF5" w:rsidP="00914DF5">
            <w:pPr>
              <w:jc w:val="center"/>
              <w:rPr>
                <w:rFonts w:asciiTheme="majorBidi" w:hAnsiTheme="majorBidi" w:cstheme="majorBidi"/>
                <w:color w:val="000000"/>
              </w:rPr>
            </w:pPr>
            <w:r w:rsidRPr="00BC0DC1">
              <w:rPr>
                <w:rFonts w:asciiTheme="majorBidi" w:hAnsiTheme="majorBidi" w:cstheme="majorBidi"/>
                <w:color w:val="000000"/>
              </w:rPr>
              <w:t>2000-2014</w:t>
            </w:r>
          </w:p>
        </w:tc>
      </w:tr>
      <w:tr w:rsidR="00914DF5" w:rsidRPr="00914DF5" w:rsidTr="00914DF5">
        <w:trPr>
          <w:trHeight w:val="299"/>
        </w:trPr>
        <w:tc>
          <w:tcPr>
            <w:tcW w:w="4536" w:type="dxa"/>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Surplus de productivité distribué au travail salarié  (1)</w:t>
            </w:r>
          </w:p>
        </w:tc>
        <w:tc>
          <w:tcPr>
            <w:tcW w:w="1559"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0,2%</w:t>
            </w:r>
          </w:p>
        </w:tc>
        <w:tc>
          <w:tcPr>
            <w:tcW w:w="1417"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-0,2%</w:t>
            </w:r>
          </w:p>
        </w:tc>
        <w:tc>
          <w:tcPr>
            <w:tcW w:w="1502"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0,05%</w:t>
            </w:r>
          </w:p>
        </w:tc>
      </w:tr>
      <w:tr w:rsidR="00914DF5" w:rsidRPr="00914DF5" w:rsidTr="00914DF5">
        <w:trPr>
          <w:trHeight w:val="299"/>
        </w:trPr>
        <w:tc>
          <w:tcPr>
            <w:tcW w:w="4536" w:type="dxa"/>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Surplus de productivité distribué au travail non salarié (2)</w:t>
            </w:r>
          </w:p>
        </w:tc>
        <w:tc>
          <w:tcPr>
            <w:tcW w:w="1559"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1,1%</w:t>
            </w:r>
          </w:p>
        </w:tc>
        <w:tc>
          <w:tcPr>
            <w:tcW w:w="1417"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-1,1%</w:t>
            </w:r>
          </w:p>
        </w:tc>
        <w:tc>
          <w:tcPr>
            <w:tcW w:w="1502"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0,2%</w:t>
            </w:r>
          </w:p>
        </w:tc>
      </w:tr>
      <w:tr w:rsidR="00914DF5" w:rsidRPr="00914DF5" w:rsidTr="00914DF5">
        <w:trPr>
          <w:trHeight w:val="299"/>
        </w:trPr>
        <w:tc>
          <w:tcPr>
            <w:tcW w:w="4536" w:type="dxa"/>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Surplus de productivité distribué au capital (3)</w:t>
            </w:r>
          </w:p>
        </w:tc>
        <w:tc>
          <w:tcPr>
            <w:tcW w:w="1559"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2,6%</w:t>
            </w:r>
          </w:p>
        </w:tc>
        <w:tc>
          <w:tcPr>
            <w:tcW w:w="1417"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3,7%</w:t>
            </w:r>
          </w:p>
        </w:tc>
        <w:tc>
          <w:tcPr>
            <w:tcW w:w="1502"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3,1%</w:t>
            </w:r>
          </w:p>
        </w:tc>
      </w:tr>
      <w:tr w:rsidR="00914DF5" w:rsidRPr="00914DF5" w:rsidTr="00914DF5">
        <w:trPr>
          <w:trHeight w:val="299"/>
        </w:trPr>
        <w:tc>
          <w:tcPr>
            <w:tcW w:w="4536" w:type="dxa"/>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Surplus de productivité distribuable du </w:t>
            </w:r>
          </w:p>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secteur agricole (1)+(2)+(3)</w:t>
            </w:r>
          </w:p>
        </w:tc>
        <w:tc>
          <w:tcPr>
            <w:tcW w:w="1559"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3,9%</w:t>
            </w:r>
          </w:p>
        </w:tc>
        <w:tc>
          <w:tcPr>
            <w:tcW w:w="1417"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2,4%</w:t>
            </w:r>
          </w:p>
        </w:tc>
        <w:tc>
          <w:tcPr>
            <w:tcW w:w="1502"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3,3%</w:t>
            </w:r>
          </w:p>
        </w:tc>
      </w:tr>
      <w:tr w:rsidR="00914DF5" w:rsidRPr="00914DF5" w:rsidTr="00914DF5">
        <w:trPr>
          <w:trHeight w:val="299"/>
        </w:trPr>
        <w:tc>
          <w:tcPr>
            <w:tcW w:w="4536" w:type="dxa"/>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Prélèvement du secteur agricole </w:t>
            </w:r>
          </w:p>
        </w:tc>
        <w:tc>
          <w:tcPr>
            <w:tcW w:w="1559"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1,8%</w:t>
            </w:r>
          </w:p>
        </w:tc>
        <w:tc>
          <w:tcPr>
            <w:tcW w:w="1417"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2,6%</w:t>
            </w:r>
          </w:p>
        </w:tc>
        <w:tc>
          <w:tcPr>
            <w:tcW w:w="1502"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2,1%</w:t>
            </w:r>
          </w:p>
        </w:tc>
      </w:tr>
      <w:tr w:rsidR="00914DF5" w:rsidRPr="00914DF5" w:rsidTr="00914DF5">
        <w:trPr>
          <w:trHeight w:val="299"/>
        </w:trPr>
        <w:tc>
          <w:tcPr>
            <w:tcW w:w="4536" w:type="dxa"/>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        Par l'Administration publique </w:t>
            </w:r>
          </w:p>
        </w:tc>
        <w:tc>
          <w:tcPr>
            <w:tcW w:w="1559"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-0,1%</w:t>
            </w:r>
          </w:p>
        </w:tc>
        <w:tc>
          <w:tcPr>
            <w:tcW w:w="1417"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-0,1%</w:t>
            </w:r>
          </w:p>
        </w:tc>
        <w:tc>
          <w:tcPr>
            <w:tcW w:w="1502"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-0,1%</w:t>
            </w:r>
          </w:p>
        </w:tc>
      </w:tr>
      <w:tr w:rsidR="00914DF5" w:rsidRPr="00914DF5" w:rsidTr="00914DF5">
        <w:trPr>
          <w:trHeight w:val="299"/>
        </w:trPr>
        <w:tc>
          <w:tcPr>
            <w:tcW w:w="4536" w:type="dxa"/>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        Par l'extérieur </w:t>
            </w:r>
          </w:p>
        </w:tc>
        <w:tc>
          <w:tcPr>
            <w:tcW w:w="1559"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1,9%</w:t>
            </w:r>
          </w:p>
        </w:tc>
        <w:tc>
          <w:tcPr>
            <w:tcW w:w="1417"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2,8%</w:t>
            </w:r>
          </w:p>
        </w:tc>
        <w:tc>
          <w:tcPr>
            <w:tcW w:w="1502"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2,2%</w:t>
            </w:r>
          </w:p>
        </w:tc>
      </w:tr>
      <w:tr w:rsidR="00914DF5" w:rsidRPr="00914DF5" w:rsidTr="00914DF5">
        <w:trPr>
          <w:trHeight w:val="299"/>
        </w:trPr>
        <w:tc>
          <w:tcPr>
            <w:tcW w:w="4536" w:type="dxa"/>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Surplus de productivité total du secteur agricole</w:t>
            </w:r>
          </w:p>
        </w:tc>
        <w:tc>
          <w:tcPr>
            <w:tcW w:w="1559"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5,7%</w:t>
            </w:r>
          </w:p>
        </w:tc>
        <w:tc>
          <w:tcPr>
            <w:tcW w:w="1417"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5,0%</w:t>
            </w:r>
          </w:p>
        </w:tc>
        <w:tc>
          <w:tcPr>
            <w:tcW w:w="1502" w:type="dxa"/>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5,4%</w:t>
            </w:r>
          </w:p>
        </w:tc>
      </w:tr>
    </w:tbl>
    <w:p w:rsidR="00914DF5" w:rsidRDefault="00914DF5" w:rsidP="00914DF5">
      <w:pPr>
        <w:jc w:val="both"/>
        <w:rPr>
          <w:rFonts w:asciiTheme="majorBidi" w:hAnsiTheme="majorBidi" w:cstheme="majorBidi"/>
          <w:b w:val="0"/>
          <w:bCs w:val="0"/>
          <w:sz w:val="20"/>
          <w:szCs w:val="20"/>
        </w:rPr>
      </w:pPr>
      <w:r w:rsidRPr="00914DF5">
        <w:rPr>
          <w:rFonts w:asciiTheme="majorBidi" w:hAnsiTheme="majorBidi" w:cstheme="majorBidi"/>
          <w:b w:val="0"/>
          <w:bCs w:val="0"/>
        </w:rPr>
        <w:t xml:space="preserve"> </w:t>
      </w:r>
      <w:r w:rsidRPr="00914DF5">
        <w:rPr>
          <w:rFonts w:asciiTheme="majorBidi" w:hAnsiTheme="majorBidi" w:cstheme="majorBidi"/>
          <w:b w:val="0"/>
          <w:bCs w:val="0"/>
          <w:sz w:val="20"/>
          <w:szCs w:val="20"/>
        </w:rPr>
        <w:t>Source : HCP</w:t>
      </w:r>
    </w:p>
    <w:p w:rsidR="002D2A02" w:rsidRDefault="002D2A02" w:rsidP="00914DF5">
      <w:pPr>
        <w:jc w:val="both"/>
        <w:rPr>
          <w:rFonts w:asciiTheme="majorBidi" w:hAnsiTheme="majorBidi" w:cstheme="majorBidi"/>
          <w:b w:val="0"/>
          <w:bCs w:val="0"/>
          <w:sz w:val="20"/>
          <w:szCs w:val="20"/>
        </w:rPr>
      </w:pPr>
    </w:p>
    <w:p w:rsidR="00914DF5" w:rsidRPr="00802BFB" w:rsidRDefault="00914DF5" w:rsidP="00914DF5">
      <w:pPr>
        <w:pStyle w:val="Paragraphedeliste"/>
        <w:numPr>
          <w:ilvl w:val="1"/>
          <w:numId w:val="43"/>
        </w:numPr>
        <w:tabs>
          <w:tab w:val="left" w:pos="709"/>
        </w:tabs>
        <w:jc w:val="both"/>
        <w:rPr>
          <w:rFonts w:asciiTheme="majorBidi" w:hAnsiTheme="majorBidi" w:cstheme="majorBidi"/>
          <w:b/>
          <w:bCs/>
          <w:color w:val="000000"/>
          <w:sz w:val="24"/>
          <w:szCs w:val="24"/>
        </w:rPr>
      </w:pPr>
      <w:r w:rsidRPr="00802BFB">
        <w:rPr>
          <w:rFonts w:asciiTheme="majorBidi" w:hAnsiTheme="majorBidi" w:cstheme="majorBidi"/>
          <w:b/>
          <w:bCs/>
          <w:color w:val="000000"/>
          <w:sz w:val="24"/>
          <w:szCs w:val="24"/>
        </w:rPr>
        <w:lastRenderedPageBreak/>
        <w:t>Surplus de productivité dans le secteur non agricole</w:t>
      </w:r>
    </w:p>
    <w:p w:rsidR="00914DF5" w:rsidRDefault="00914DF5" w:rsidP="00802BFB">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Le surplus de productivité ne joue qu’un rôle marginal dans la croissance de la valeur ajoutée non agricole. Son taux de croissance n’a été que 0,5% en moyenne annuelle en 2000-2014 au lieu de 5,8% dans le secteur agricole. Plus encore, il est en baisse de 0,8% en 2000-2008 à -0,04% en 2009-2014.</w:t>
      </w:r>
    </w:p>
    <w:p w:rsidR="005937EA" w:rsidRPr="00914DF5" w:rsidRDefault="005937EA" w:rsidP="00802BFB">
      <w:pPr>
        <w:spacing w:before="120" w:after="120" w:line="312" w:lineRule="auto"/>
        <w:jc w:val="both"/>
        <w:rPr>
          <w:rFonts w:asciiTheme="majorBidi" w:hAnsiTheme="majorBidi" w:cstheme="majorBidi"/>
          <w:b w:val="0"/>
          <w:bCs w:val="0"/>
        </w:rPr>
      </w:pPr>
    </w:p>
    <w:p w:rsidR="00914DF5" w:rsidRPr="00914DF5" w:rsidRDefault="00914DF5" w:rsidP="00914DF5">
      <w:pPr>
        <w:jc w:val="both"/>
        <w:rPr>
          <w:rFonts w:asciiTheme="majorBidi" w:hAnsiTheme="majorBidi" w:cstheme="majorBidi"/>
          <w:b w:val="0"/>
          <w:bCs w:val="0"/>
        </w:rPr>
      </w:pPr>
      <w:r w:rsidRPr="00BC0DC1">
        <w:rPr>
          <w:rFonts w:asciiTheme="majorBidi" w:hAnsiTheme="majorBidi" w:cstheme="majorBidi"/>
        </w:rPr>
        <w:t>Tableau 8</w:t>
      </w:r>
      <w:r w:rsidR="00BC0DC1">
        <w:rPr>
          <w:rFonts w:asciiTheme="majorBidi" w:hAnsiTheme="majorBidi" w:cstheme="majorBidi"/>
          <w:b w:val="0"/>
          <w:bCs w:val="0"/>
        </w:rPr>
        <w:t xml:space="preserve"> </w:t>
      </w:r>
      <w:r w:rsidRPr="00914DF5">
        <w:rPr>
          <w:rFonts w:asciiTheme="majorBidi" w:hAnsiTheme="majorBidi" w:cstheme="majorBidi"/>
          <w:b w:val="0"/>
          <w:bCs w:val="0"/>
        </w:rPr>
        <w:t>: Evolution du surplus de productivité dans le secteur non agricole</w:t>
      </w:r>
    </w:p>
    <w:tbl>
      <w:tblPr>
        <w:tblW w:w="8794" w:type="dxa"/>
        <w:tblInd w:w="65" w:type="dxa"/>
        <w:tblCellMar>
          <w:left w:w="70" w:type="dxa"/>
          <w:right w:w="70" w:type="dxa"/>
        </w:tblCellMar>
        <w:tblLook w:val="04A0"/>
      </w:tblPr>
      <w:tblGrid>
        <w:gridCol w:w="4400"/>
        <w:gridCol w:w="1701"/>
        <w:gridCol w:w="1417"/>
        <w:gridCol w:w="1276"/>
      </w:tblGrid>
      <w:tr w:rsidR="00914DF5" w:rsidRPr="00914DF5" w:rsidTr="00914DF5">
        <w:trPr>
          <w:trHeight w:val="313"/>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BC0DC1" w:rsidRDefault="00914DF5" w:rsidP="00914DF5">
            <w:pPr>
              <w:jc w:val="center"/>
              <w:rPr>
                <w:rFonts w:asciiTheme="majorBidi" w:hAnsiTheme="majorBidi" w:cstheme="majorBidi"/>
                <w:color w:val="000000"/>
              </w:rPr>
            </w:pPr>
            <w:r w:rsidRPr="00BC0DC1">
              <w:rPr>
                <w:rFonts w:asciiTheme="majorBidi" w:hAnsiTheme="majorBidi" w:cstheme="majorBidi"/>
                <w:color w:val="000000"/>
              </w:rPr>
              <w:t>Croissance en pourcentage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14DF5" w:rsidRPr="00BC0DC1" w:rsidRDefault="00914DF5" w:rsidP="00914DF5">
            <w:pPr>
              <w:jc w:val="center"/>
              <w:rPr>
                <w:rFonts w:asciiTheme="majorBidi" w:hAnsiTheme="majorBidi" w:cstheme="majorBidi"/>
                <w:color w:val="000000"/>
              </w:rPr>
            </w:pPr>
            <w:r w:rsidRPr="00BC0DC1">
              <w:rPr>
                <w:rFonts w:asciiTheme="majorBidi" w:hAnsiTheme="majorBidi" w:cstheme="majorBidi"/>
                <w:color w:val="000000"/>
              </w:rPr>
              <w:t>2000-2008</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914DF5" w:rsidRPr="00BC0DC1" w:rsidRDefault="00914DF5" w:rsidP="00914DF5">
            <w:pPr>
              <w:jc w:val="center"/>
              <w:rPr>
                <w:rFonts w:asciiTheme="majorBidi" w:hAnsiTheme="majorBidi" w:cstheme="majorBidi"/>
                <w:color w:val="000000"/>
              </w:rPr>
            </w:pPr>
            <w:r w:rsidRPr="00BC0DC1">
              <w:rPr>
                <w:rFonts w:asciiTheme="majorBidi" w:hAnsiTheme="majorBidi" w:cstheme="majorBidi"/>
                <w:color w:val="000000"/>
              </w:rPr>
              <w:t>2009-2014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14DF5" w:rsidRPr="00BC0DC1" w:rsidRDefault="00914DF5" w:rsidP="00914DF5">
            <w:pPr>
              <w:jc w:val="center"/>
              <w:rPr>
                <w:rFonts w:asciiTheme="majorBidi" w:hAnsiTheme="majorBidi" w:cstheme="majorBidi"/>
                <w:color w:val="000000"/>
              </w:rPr>
            </w:pPr>
            <w:r w:rsidRPr="00BC0DC1">
              <w:rPr>
                <w:rFonts w:asciiTheme="majorBidi" w:hAnsiTheme="majorBidi" w:cstheme="majorBidi"/>
                <w:color w:val="000000"/>
              </w:rPr>
              <w:t>2000-2014</w:t>
            </w:r>
          </w:p>
        </w:tc>
      </w:tr>
      <w:tr w:rsidR="00914DF5" w:rsidRPr="00914DF5" w:rsidTr="00914DF5">
        <w:trPr>
          <w:trHeight w:val="359"/>
        </w:trPr>
        <w:tc>
          <w:tcPr>
            <w:tcW w:w="4400" w:type="dxa"/>
            <w:tcBorders>
              <w:top w:val="nil"/>
              <w:left w:val="single" w:sz="4" w:space="0" w:color="auto"/>
              <w:bottom w:val="single" w:sz="4" w:space="0" w:color="auto"/>
              <w:right w:val="single" w:sz="4" w:space="0" w:color="auto"/>
            </w:tcBorders>
            <w:shd w:val="clear" w:color="auto" w:fill="auto"/>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Taux de croissance réelle de la VA non agricole aux couts des facteurs (1)+(2)</w:t>
            </w:r>
          </w:p>
        </w:tc>
        <w:tc>
          <w:tcPr>
            <w:tcW w:w="1701"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5,1%</w:t>
            </w:r>
          </w:p>
        </w:tc>
        <w:tc>
          <w:tcPr>
            <w:tcW w:w="1417"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3,3%</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4,4%</w:t>
            </w:r>
          </w:p>
        </w:tc>
      </w:tr>
      <w:tr w:rsidR="00914DF5" w:rsidRPr="00914DF5" w:rsidTr="00914DF5">
        <w:trPr>
          <w:trHeight w:val="313"/>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Facteurs de production  (1)</w:t>
            </w:r>
          </w:p>
        </w:tc>
        <w:tc>
          <w:tcPr>
            <w:tcW w:w="1701"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4,3%</w:t>
            </w:r>
          </w:p>
        </w:tc>
        <w:tc>
          <w:tcPr>
            <w:tcW w:w="1417"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3,3%</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3,9%</w:t>
            </w:r>
          </w:p>
        </w:tc>
      </w:tr>
      <w:tr w:rsidR="00914DF5" w:rsidRPr="00914DF5" w:rsidTr="00914DF5">
        <w:trPr>
          <w:trHeight w:val="313"/>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    Facteur travail salarial</w:t>
            </w:r>
          </w:p>
        </w:tc>
        <w:tc>
          <w:tcPr>
            <w:tcW w:w="1701"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1,2%</w:t>
            </w:r>
          </w:p>
        </w:tc>
        <w:tc>
          <w:tcPr>
            <w:tcW w:w="1417"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0,5%</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0,9%</w:t>
            </w:r>
          </w:p>
        </w:tc>
      </w:tr>
      <w:tr w:rsidR="00914DF5" w:rsidRPr="00914DF5" w:rsidTr="00914DF5">
        <w:trPr>
          <w:trHeight w:val="313"/>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    Facteur travail non salarial</w:t>
            </w:r>
          </w:p>
        </w:tc>
        <w:tc>
          <w:tcPr>
            <w:tcW w:w="1701"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0,3%</w:t>
            </w:r>
          </w:p>
        </w:tc>
        <w:tc>
          <w:tcPr>
            <w:tcW w:w="1417"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0,1%</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0,2%</w:t>
            </w:r>
          </w:p>
        </w:tc>
      </w:tr>
      <w:tr w:rsidR="00914DF5" w:rsidRPr="00914DF5" w:rsidTr="00914DF5">
        <w:trPr>
          <w:trHeight w:val="313"/>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    Facteur capital</w:t>
            </w:r>
          </w:p>
        </w:tc>
        <w:tc>
          <w:tcPr>
            <w:tcW w:w="1701"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2,8%</w:t>
            </w:r>
          </w:p>
        </w:tc>
        <w:tc>
          <w:tcPr>
            <w:tcW w:w="1417"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2,7%</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2,8%</w:t>
            </w:r>
          </w:p>
        </w:tc>
      </w:tr>
      <w:tr w:rsidR="00914DF5" w:rsidRPr="00914DF5" w:rsidTr="00914DF5">
        <w:trPr>
          <w:trHeight w:val="328"/>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Surplus de productivité  (2)</w:t>
            </w:r>
          </w:p>
        </w:tc>
        <w:tc>
          <w:tcPr>
            <w:tcW w:w="1701"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0,8%</w:t>
            </w:r>
          </w:p>
        </w:tc>
        <w:tc>
          <w:tcPr>
            <w:tcW w:w="1417"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-0,04%</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0,5%</w:t>
            </w:r>
          </w:p>
        </w:tc>
      </w:tr>
      <w:tr w:rsidR="00914DF5" w:rsidRPr="00914DF5" w:rsidTr="00914DF5">
        <w:trPr>
          <w:trHeight w:val="915"/>
        </w:trPr>
        <w:tc>
          <w:tcPr>
            <w:tcW w:w="4400"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914DF5" w:rsidRPr="00914DF5" w:rsidRDefault="00914DF5" w:rsidP="00914DF5">
            <w:pPr>
              <w:jc w:val="both"/>
              <w:rPr>
                <w:rFonts w:asciiTheme="majorBidi" w:hAnsiTheme="majorBidi" w:cstheme="majorBidi"/>
                <w:b w:val="0"/>
                <w:bCs w:val="0"/>
                <w:color w:val="000000"/>
              </w:rPr>
            </w:pPr>
            <w:r w:rsidRPr="00914DF5">
              <w:rPr>
                <w:rFonts w:asciiTheme="majorBidi" w:hAnsiTheme="majorBidi" w:cstheme="majorBidi"/>
                <w:b w:val="0"/>
                <w:bCs w:val="0"/>
                <w:color w:val="000000"/>
              </w:rPr>
              <w:t xml:space="preserve">Contribution en % des facteurs de production  dans la croissance réelle  de la VA non agricole aux couts des facteurs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84,5%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101,3%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89,6%</w:t>
            </w:r>
          </w:p>
        </w:tc>
      </w:tr>
      <w:tr w:rsidR="00914DF5" w:rsidRPr="00914DF5" w:rsidTr="00914DF5">
        <w:trPr>
          <w:trHeight w:val="313"/>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    Facteur travail salarial</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22,9%</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14,9%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20,5%</w:t>
            </w:r>
          </w:p>
        </w:tc>
      </w:tr>
      <w:tr w:rsidR="00914DF5" w:rsidRPr="00914DF5" w:rsidTr="00914DF5">
        <w:trPr>
          <w:trHeight w:val="313"/>
        </w:trPr>
        <w:tc>
          <w:tcPr>
            <w:tcW w:w="4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    Facteur travail non salarial</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5,4%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3,9%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5,0%</w:t>
            </w:r>
          </w:p>
        </w:tc>
      </w:tr>
      <w:tr w:rsidR="00914DF5" w:rsidRPr="00914DF5" w:rsidTr="00914DF5">
        <w:trPr>
          <w:trHeight w:val="328"/>
        </w:trPr>
        <w:tc>
          <w:tcPr>
            <w:tcW w:w="4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    Facteur capital</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56,2%</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82,5%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64,2%</w:t>
            </w:r>
          </w:p>
        </w:tc>
      </w:tr>
      <w:tr w:rsidR="00914DF5" w:rsidRPr="00914DF5" w:rsidTr="00914DF5">
        <w:trPr>
          <w:trHeight w:val="953"/>
        </w:trPr>
        <w:tc>
          <w:tcPr>
            <w:tcW w:w="4400" w:type="dxa"/>
            <w:tcBorders>
              <w:top w:val="single" w:sz="4" w:space="0" w:color="auto"/>
              <w:left w:val="single" w:sz="8" w:space="0" w:color="auto"/>
              <w:bottom w:val="single" w:sz="8" w:space="0" w:color="auto"/>
              <w:right w:val="single" w:sz="4" w:space="0" w:color="auto"/>
            </w:tcBorders>
            <w:shd w:val="clear" w:color="auto" w:fill="auto"/>
            <w:vAlign w:val="bottom"/>
            <w:hideMark/>
          </w:tcPr>
          <w:p w:rsidR="00914DF5" w:rsidRPr="00914DF5" w:rsidRDefault="00914DF5" w:rsidP="00914DF5">
            <w:pPr>
              <w:jc w:val="both"/>
              <w:rPr>
                <w:rFonts w:asciiTheme="majorBidi" w:hAnsiTheme="majorBidi" w:cstheme="majorBidi"/>
                <w:b w:val="0"/>
                <w:bCs w:val="0"/>
                <w:color w:val="000000"/>
              </w:rPr>
            </w:pPr>
            <w:r w:rsidRPr="00914DF5">
              <w:rPr>
                <w:rFonts w:asciiTheme="majorBidi" w:hAnsiTheme="majorBidi" w:cstheme="majorBidi"/>
                <w:b w:val="0"/>
                <w:bCs w:val="0"/>
                <w:color w:val="000000"/>
              </w:rPr>
              <w:t xml:space="preserve">Contribution en % du surplus de productivité dans la croissance réelle  de la VA non agricole aux couts des facteurs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15,5%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10,4%</w:t>
            </w:r>
          </w:p>
        </w:tc>
      </w:tr>
    </w:tbl>
    <w:p w:rsidR="00914DF5" w:rsidRPr="00914DF5" w:rsidRDefault="00914DF5" w:rsidP="00914DF5">
      <w:pPr>
        <w:jc w:val="both"/>
        <w:rPr>
          <w:rFonts w:asciiTheme="majorBidi" w:hAnsiTheme="majorBidi" w:cstheme="majorBidi"/>
          <w:b w:val="0"/>
          <w:bCs w:val="0"/>
          <w:sz w:val="20"/>
          <w:szCs w:val="20"/>
        </w:rPr>
      </w:pPr>
      <w:r w:rsidRPr="00914DF5">
        <w:rPr>
          <w:rFonts w:asciiTheme="majorBidi" w:hAnsiTheme="majorBidi" w:cstheme="majorBidi"/>
          <w:b w:val="0"/>
          <w:bCs w:val="0"/>
          <w:sz w:val="20"/>
          <w:szCs w:val="20"/>
        </w:rPr>
        <w:t>Source : HCP</w:t>
      </w:r>
    </w:p>
    <w:p w:rsidR="00802BFB" w:rsidRDefault="00802BFB" w:rsidP="00802BFB">
      <w:pPr>
        <w:spacing w:before="120" w:after="120" w:line="312" w:lineRule="auto"/>
        <w:jc w:val="both"/>
        <w:rPr>
          <w:rFonts w:asciiTheme="majorBidi" w:hAnsiTheme="majorBidi" w:cstheme="majorBidi"/>
          <w:b w:val="0"/>
          <w:bCs w:val="0"/>
        </w:rPr>
      </w:pPr>
    </w:p>
    <w:p w:rsidR="00914DF5" w:rsidRDefault="00914DF5" w:rsidP="00802BFB">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 xml:space="preserve">Ainsi, à la différence du secteur agricole, la contribution des facteurs de production à la croissance de la valeur ajoutée du secteur non agricole représente 89,6% par an en moyenne (64,2% revient au facteur capital) durant la période 2000-2014, alors que celle du surplus de productivité ne dépasse pas 11%. </w:t>
      </w:r>
    </w:p>
    <w:p w:rsidR="005937EA" w:rsidRPr="00914DF5" w:rsidRDefault="005937EA" w:rsidP="00802BFB">
      <w:pPr>
        <w:spacing w:before="120" w:after="120" w:line="312" w:lineRule="auto"/>
        <w:jc w:val="both"/>
        <w:rPr>
          <w:rFonts w:asciiTheme="majorBidi" w:hAnsiTheme="majorBidi" w:cstheme="majorBidi"/>
          <w:b w:val="0"/>
          <w:bCs w:val="0"/>
        </w:rPr>
      </w:pPr>
    </w:p>
    <w:p w:rsidR="00914DF5" w:rsidRDefault="00914DF5" w:rsidP="00802BFB">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La répartition de ce surplus de productivité dans le secteur non agricole montre que c’est le facteur travail salarié qui est à la base de ce surplus. Son surplus a connu un rythme de croissance annuel moyen de 1% entre 2000 et 2014, supérieur à celui  du facteur travail non salarié qui a augmenté en moyenne annuelle de 0,4%. En revanche, le facteur capital a enregistré une baisse de son surplus de productivité de 0,9% par an durant cette période.</w:t>
      </w:r>
    </w:p>
    <w:p w:rsidR="005937EA" w:rsidRDefault="005937EA" w:rsidP="00802BFB">
      <w:pPr>
        <w:spacing w:before="120" w:after="120" w:line="312" w:lineRule="auto"/>
        <w:jc w:val="both"/>
        <w:rPr>
          <w:rFonts w:asciiTheme="majorBidi" w:hAnsiTheme="majorBidi" w:cstheme="majorBidi"/>
          <w:b w:val="0"/>
          <w:bCs w:val="0"/>
        </w:rPr>
      </w:pPr>
    </w:p>
    <w:p w:rsidR="00BC0DC1" w:rsidRDefault="00BC0DC1" w:rsidP="00802BFB">
      <w:pPr>
        <w:spacing w:before="120" w:after="120" w:line="312" w:lineRule="auto"/>
        <w:jc w:val="both"/>
        <w:rPr>
          <w:rFonts w:asciiTheme="majorBidi" w:hAnsiTheme="majorBidi" w:cstheme="majorBidi"/>
          <w:b w:val="0"/>
          <w:bCs w:val="0"/>
        </w:rPr>
      </w:pPr>
    </w:p>
    <w:p w:rsidR="005937EA" w:rsidRPr="00914DF5" w:rsidRDefault="005937EA" w:rsidP="00802BFB">
      <w:pPr>
        <w:spacing w:before="120" w:after="120" w:line="312" w:lineRule="auto"/>
        <w:jc w:val="both"/>
        <w:rPr>
          <w:rFonts w:asciiTheme="majorBidi" w:hAnsiTheme="majorBidi" w:cstheme="majorBidi"/>
          <w:b w:val="0"/>
          <w:bCs w:val="0"/>
        </w:rPr>
      </w:pPr>
    </w:p>
    <w:p w:rsidR="00914DF5" w:rsidRPr="00914DF5" w:rsidRDefault="00914DF5" w:rsidP="00914DF5">
      <w:pPr>
        <w:jc w:val="both"/>
        <w:rPr>
          <w:rFonts w:asciiTheme="majorBidi" w:hAnsiTheme="majorBidi" w:cstheme="majorBidi"/>
          <w:b w:val="0"/>
          <w:bCs w:val="0"/>
        </w:rPr>
      </w:pPr>
      <w:r w:rsidRPr="00BC0DC1">
        <w:rPr>
          <w:rFonts w:asciiTheme="majorBidi" w:hAnsiTheme="majorBidi" w:cstheme="majorBidi"/>
        </w:rPr>
        <w:lastRenderedPageBreak/>
        <w:t>Tableau 9</w:t>
      </w:r>
      <w:r w:rsidR="00BC0DC1">
        <w:rPr>
          <w:rFonts w:asciiTheme="majorBidi" w:hAnsiTheme="majorBidi" w:cstheme="majorBidi"/>
          <w:b w:val="0"/>
          <w:bCs w:val="0"/>
        </w:rPr>
        <w:t xml:space="preserve"> </w:t>
      </w:r>
      <w:r w:rsidRPr="00914DF5">
        <w:rPr>
          <w:rFonts w:asciiTheme="majorBidi" w:hAnsiTheme="majorBidi" w:cstheme="majorBidi"/>
          <w:b w:val="0"/>
          <w:bCs w:val="0"/>
        </w:rPr>
        <w:t>: Surplus de productivité selon les facteurs de production dans le secteur non agricole</w:t>
      </w:r>
    </w:p>
    <w:tbl>
      <w:tblPr>
        <w:tblW w:w="8867" w:type="dxa"/>
        <w:tblInd w:w="65" w:type="dxa"/>
        <w:tblLayout w:type="fixed"/>
        <w:tblCellMar>
          <w:left w:w="70" w:type="dxa"/>
          <w:right w:w="70" w:type="dxa"/>
        </w:tblCellMar>
        <w:tblLook w:val="04A0"/>
      </w:tblPr>
      <w:tblGrid>
        <w:gridCol w:w="4541"/>
        <w:gridCol w:w="1418"/>
        <w:gridCol w:w="1490"/>
        <w:gridCol w:w="1418"/>
      </w:tblGrid>
      <w:tr w:rsidR="00914DF5" w:rsidRPr="00914DF5" w:rsidTr="00914DF5">
        <w:trPr>
          <w:trHeight w:val="300"/>
        </w:trPr>
        <w:tc>
          <w:tcPr>
            <w:tcW w:w="4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BC0DC1" w:rsidRDefault="00914DF5" w:rsidP="00914DF5">
            <w:pPr>
              <w:rPr>
                <w:rFonts w:asciiTheme="majorBidi" w:hAnsiTheme="majorBidi" w:cstheme="majorBidi"/>
                <w:color w:val="000000"/>
              </w:rPr>
            </w:pPr>
            <w:r w:rsidRPr="00BC0DC1">
              <w:rPr>
                <w:rFonts w:asciiTheme="majorBidi" w:hAnsiTheme="majorBidi" w:cstheme="majorBidi"/>
                <w:color w:val="000000"/>
              </w:rPr>
              <w:t>Rubriques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914DF5" w:rsidRPr="00BC0DC1" w:rsidRDefault="00914DF5" w:rsidP="00914DF5">
            <w:pPr>
              <w:jc w:val="center"/>
              <w:rPr>
                <w:rFonts w:asciiTheme="majorBidi" w:hAnsiTheme="majorBidi" w:cstheme="majorBidi"/>
                <w:color w:val="000000"/>
              </w:rPr>
            </w:pPr>
            <w:r w:rsidRPr="00BC0DC1">
              <w:rPr>
                <w:rFonts w:asciiTheme="majorBidi" w:hAnsiTheme="majorBidi" w:cstheme="majorBidi"/>
                <w:color w:val="000000"/>
              </w:rPr>
              <w:t>2000-2008</w:t>
            </w:r>
          </w:p>
        </w:tc>
        <w:tc>
          <w:tcPr>
            <w:tcW w:w="1490" w:type="dxa"/>
            <w:tcBorders>
              <w:top w:val="single" w:sz="4" w:space="0" w:color="auto"/>
              <w:left w:val="nil"/>
              <w:bottom w:val="single" w:sz="4" w:space="0" w:color="auto"/>
              <w:right w:val="single" w:sz="4" w:space="0" w:color="auto"/>
            </w:tcBorders>
            <w:shd w:val="clear" w:color="auto" w:fill="auto"/>
            <w:noWrap/>
            <w:vAlign w:val="bottom"/>
            <w:hideMark/>
          </w:tcPr>
          <w:p w:rsidR="00914DF5" w:rsidRPr="00BC0DC1" w:rsidRDefault="00914DF5" w:rsidP="00914DF5">
            <w:pPr>
              <w:jc w:val="center"/>
              <w:rPr>
                <w:rFonts w:asciiTheme="majorBidi" w:hAnsiTheme="majorBidi" w:cstheme="majorBidi"/>
                <w:color w:val="000000"/>
              </w:rPr>
            </w:pPr>
            <w:r w:rsidRPr="00BC0DC1">
              <w:rPr>
                <w:rFonts w:asciiTheme="majorBidi" w:hAnsiTheme="majorBidi" w:cstheme="majorBidi"/>
                <w:color w:val="000000"/>
              </w:rPr>
              <w:t>2009-2014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914DF5" w:rsidRPr="00BC0DC1" w:rsidRDefault="00914DF5" w:rsidP="00914DF5">
            <w:pPr>
              <w:jc w:val="center"/>
              <w:rPr>
                <w:rFonts w:asciiTheme="majorBidi" w:hAnsiTheme="majorBidi" w:cstheme="majorBidi"/>
                <w:color w:val="000000"/>
              </w:rPr>
            </w:pPr>
            <w:r w:rsidRPr="00BC0DC1">
              <w:rPr>
                <w:rFonts w:asciiTheme="majorBidi" w:hAnsiTheme="majorBidi" w:cstheme="majorBidi"/>
                <w:color w:val="000000"/>
              </w:rPr>
              <w:t>2000-2014</w:t>
            </w:r>
          </w:p>
        </w:tc>
      </w:tr>
      <w:tr w:rsidR="00914DF5" w:rsidRPr="00914DF5" w:rsidTr="00914DF5">
        <w:trPr>
          <w:trHeight w:val="300"/>
        </w:trPr>
        <w:tc>
          <w:tcPr>
            <w:tcW w:w="4541"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surplus de productivité du travail salarié</w:t>
            </w:r>
          </w:p>
        </w:tc>
        <w:tc>
          <w:tcPr>
            <w:tcW w:w="1418"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0,8%</w:t>
            </w:r>
          </w:p>
        </w:tc>
        <w:tc>
          <w:tcPr>
            <w:tcW w:w="149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1,5%</w:t>
            </w:r>
          </w:p>
        </w:tc>
        <w:tc>
          <w:tcPr>
            <w:tcW w:w="1418"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1,0%</w:t>
            </w:r>
          </w:p>
        </w:tc>
      </w:tr>
      <w:tr w:rsidR="00914DF5" w:rsidRPr="00914DF5" w:rsidTr="00914DF5">
        <w:trPr>
          <w:trHeight w:val="300"/>
        </w:trPr>
        <w:tc>
          <w:tcPr>
            <w:tcW w:w="4541"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surplus de productivité du travail non salarié</w:t>
            </w:r>
          </w:p>
        </w:tc>
        <w:tc>
          <w:tcPr>
            <w:tcW w:w="1418"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0,6%</w:t>
            </w:r>
          </w:p>
        </w:tc>
        <w:tc>
          <w:tcPr>
            <w:tcW w:w="149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0,1%</w:t>
            </w:r>
          </w:p>
        </w:tc>
        <w:tc>
          <w:tcPr>
            <w:tcW w:w="1418"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0,4%</w:t>
            </w:r>
          </w:p>
        </w:tc>
      </w:tr>
      <w:tr w:rsidR="00914DF5" w:rsidRPr="00914DF5" w:rsidTr="00914DF5">
        <w:trPr>
          <w:trHeight w:val="300"/>
        </w:trPr>
        <w:tc>
          <w:tcPr>
            <w:tcW w:w="4541" w:type="dxa"/>
            <w:tcBorders>
              <w:top w:val="nil"/>
              <w:left w:val="single" w:sz="4" w:space="0" w:color="auto"/>
              <w:bottom w:val="single" w:sz="4" w:space="0" w:color="auto"/>
              <w:right w:val="single" w:sz="4" w:space="0" w:color="auto"/>
            </w:tcBorders>
            <w:shd w:val="clear" w:color="auto" w:fill="auto"/>
            <w:noWrap/>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surplus de productivité du capital </w:t>
            </w:r>
          </w:p>
        </w:tc>
        <w:tc>
          <w:tcPr>
            <w:tcW w:w="1418"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-0,5%</w:t>
            </w:r>
          </w:p>
        </w:tc>
        <w:tc>
          <w:tcPr>
            <w:tcW w:w="1490"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-1,5%</w:t>
            </w:r>
          </w:p>
        </w:tc>
        <w:tc>
          <w:tcPr>
            <w:tcW w:w="1418"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-0,9%</w:t>
            </w:r>
          </w:p>
        </w:tc>
      </w:tr>
    </w:tbl>
    <w:p w:rsidR="00914DF5" w:rsidRPr="00914DF5" w:rsidRDefault="00914DF5" w:rsidP="00914DF5">
      <w:pPr>
        <w:jc w:val="both"/>
        <w:rPr>
          <w:rFonts w:asciiTheme="majorBidi" w:hAnsiTheme="majorBidi" w:cstheme="majorBidi"/>
          <w:b w:val="0"/>
          <w:bCs w:val="0"/>
          <w:sz w:val="20"/>
          <w:szCs w:val="20"/>
        </w:rPr>
      </w:pPr>
      <w:r w:rsidRPr="00914DF5">
        <w:rPr>
          <w:rFonts w:asciiTheme="majorBidi" w:hAnsiTheme="majorBidi" w:cstheme="majorBidi"/>
          <w:b w:val="0"/>
          <w:bCs w:val="0"/>
          <w:sz w:val="20"/>
          <w:szCs w:val="20"/>
        </w:rPr>
        <w:t>Source : HCP</w:t>
      </w:r>
    </w:p>
    <w:p w:rsidR="00802BFB" w:rsidRDefault="00802BFB" w:rsidP="00802BFB">
      <w:pPr>
        <w:spacing w:before="120" w:after="120" w:line="312" w:lineRule="auto"/>
        <w:jc w:val="both"/>
        <w:rPr>
          <w:rFonts w:asciiTheme="majorBidi" w:hAnsiTheme="majorBidi" w:cstheme="majorBidi"/>
          <w:b w:val="0"/>
          <w:bCs w:val="0"/>
        </w:rPr>
      </w:pPr>
    </w:p>
    <w:p w:rsidR="00914DF5" w:rsidRPr="00914DF5" w:rsidRDefault="00914DF5" w:rsidP="00802BFB">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 xml:space="preserve">Si le surplus de productivité réalisé par les facteurs de production dans le secteur non agricole s’est accru de 0,5% par an durant la période 2000-2014, le surplus distribué effectivement aux facteurs a été de 0,7% en raison d’un surplus négatif de 0,9% enregistré par le facteur capital. </w:t>
      </w:r>
    </w:p>
    <w:p w:rsidR="00914DF5" w:rsidRPr="00914DF5" w:rsidRDefault="00914DF5" w:rsidP="00802BFB">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Dans ce secteur, ni l’administration publique ni le reste du monde ne bénéficient des gains de surplus de productivité dégagé par ce secteur. Ce sont les travailleurs, notamment les salariés qui ont profité plus du surplus de productivité avec  un taux de croissance de 1,1% durant la période 2000-2014 suivi des non salariés avec 0,4%.</w:t>
      </w:r>
    </w:p>
    <w:p w:rsidR="00914DF5" w:rsidRPr="00914DF5" w:rsidRDefault="00914DF5" w:rsidP="00914DF5">
      <w:pPr>
        <w:jc w:val="both"/>
        <w:rPr>
          <w:rFonts w:asciiTheme="majorBidi" w:hAnsiTheme="majorBidi" w:cstheme="majorBidi"/>
          <w:b w:val="0"/>
          <w:bCs w:val="0"/>
        </w:rPr>
      </w:pPr>
      <w:r w:rsidRPr="00BC0DC1">
        <w:rPr>
          <w:rFonts w:asciiTheme="majorBidi" w:hAnsiTheme="majorBidi" w:cstheme="majorBidi"/>
        </w:rPr>
        <w:t>Tableau 10</w:t>
      </w:r>
      <w:r w:rsidR="00BC0DC1">
        <w:rPr>
          <w:rFonts w:asciiTheme="majorBidi" w:hAnsiTheme="majorBidi" w:cstheme="majorBidi"/>
          <w:b w:val="0"/>
          <w:bCs w:val="0"/>
        </w:rPr>
        <w:t xml:space="preserve"> </w:t>
      </w:r>
      <w:r w:rsidRPr="00914DF5">
        <w:rPr>
          <w:rFonts w:asciiTheme="majorBidi" w:hAnsiTheme="majorBidi" w:cstheme="majorBidi"/>
          <w:b w:val="0"/>
          <w:bCs w:val="0"/>
        </w:rPr>
        <w:t>: Surplus de productivité distribué effectivement aux facteurs de production dans le secteur non agricole</w:t>
      </w:r>
    </w:p>
    <w:tbl>
      <w:tblPr>
        <w:tblW w:w="8936" w:type="dxa"/>
        <w:tblInd w:w="65" w:type="dxa"/>
        <w:tblLayout w:type="fixed"/>
        <w:tblCellMar>
          <w:left w:w="70" w:type="dxa"/>
          <w:right w:w="70" w:type="dxa"/>
        </w:tblCellMar>
        <w:tblLook w:val="04A0"/>
      </w:tblPr>
      <w:tblGrid>
        <w:gridCol w:w="5108"/>
        <w:gridCol w:w="1276"/>
        <w:gridCol w:w="1276"/>
        <w:gridCol w:w="1276"/>
      </w:tblGrid>
      <w:tr w:rsidR="00914DF5" w:rsidRPr="00914DF5" w:rsidTr="00914DF5">
        <w:trPr>
          <w:trHeight w:val="62"/>
        </w:trPr>
        <w:tc>
          <w:tcPr>
            <w:tcW w:w="51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4DF5" w:rsidRPr="00BC0DC1" w:rsidRDefault="00914DF5" w:rsidP="00914DF5">
            <w:pPr>
              <w:jc w:val="center"/>
              <w:rPr>
                <w:rFonts w:asciiTheme="majorBidi" w:hAnsiTheme="majorBidi" w:cstheme="majorBidi"/>
                <w:color w:val="000000"/>
              </w:rPr>
            </w:pPr>
            <w:r w:rsidRPr="00BC0DC1">
              <w:rPr>
                <w:rFonts w:asciiTheme="majorBidi" w:hAnsiTheme="majorBidi" w:cstheme="majorBidi"/>
              </w:rPr>
              <w:t>Surplus de productivité distribuable du secteur non agricole</w:t>
            </w:r>
          </w:p>
          <w:p w:rsidR="00914DF5" w:rsidRPr="00BC0DC1" w:rsidRDefault="00914DF5" w:rsidP="00914DF5">
            <w:pPr>
              <w:jc w:val="center"/>
              <w:rPr>
                <w:rFonts w:asciiTheme="majorBidi" w:hAnsiTheme="majorBidi" w:cstheme="majorBidi"/>
                <w:color w:val="000000"/>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14DF5" w:rsidRPr="00BC0DC1" w:rsidRDefault="00914DF5" w:rsidP="00914DF5">
            <w:pPr>
              <w:jc w:val="center"/>
              <w:rPr>
                <w:rFonts w:asciiTheme="majorBidi" w:hAnsiTheme="majorBidi" w:cstheme="majorBidi"/>
                <w:color w:val="000000"/>
              </w:rPr>
            </w:pPr>
            <w:r w:rsidRPr="00BC0DC1">
              <w:rPr>
                <w:rFonts w:asciiTheme="majorBidi" w:hAnsiTheme="majorBidi" w:cstheme="majorBidi"/>
                <w:color w:val="000000"/>
              </w:rPr>
              <w:t>2000-2008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14DF5" w:rsidRPr="00BC0DC1" w:rsidRDefault="00914DF5" w:rsidP="00914DF5">
            <w:pPr>
              <w:jc w:val="center"/>
              <w:rPr>
                <w:rFonts w:asciiTheme="majorBidi" w:hAnsiTheme="majorBidi" w:cstheme="majorBidi"/>
                <w:color w:val="000000"/>
              </w:rPr>
            </w:pPr>
            <w:r w:rsidRPr="00BC0DC1">
              <w:rPr>
                <w:rFonts w:asciiTheme="majorBidi" w:hAnsiTheme="majorBidi" w:cstheme="majorBidi"/>
                <w:color w:val="000000"/>
              </w:rPr>
              <w:t>2009-2014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14DF5" w:rsidRPr="00BC0DC1" w:rsidRDefault="00914DF5" w:rsidP="00914DF5">
            <w:pPr>
              <w:jc w:val="center"/>
              <w:rPr>
                <w:rFonts w:asciiTheme="majorBidi" w:hAnsiTheme="majorBidi" w:cstheme="majorBidi"/>
                <w:color w:val="000000"/>
              </w:rPr>
            </w:pPr>
            <w:r w:rsidRPr="00BC0DC1">
              <w:rPr>
                <w:rFonts w:asciiTheme="majorBidi" w:hAnsiTheme="majorBidi" w:cstheme="majorBidi"/>
                <w:color w:val="000000"/>
              </w:rPr>
              <w:t>2000-2014</w:t>
            </w:r>
          </w:p>
        </w:tc>
      </w:tr>
      <w:tr w:rsidR="00914DF5" w:rsidRPr="00914DF5" w:rsidTr="00914DF5">
        <w:trPr>
          <w:trHeight w:val="62"/>
        </w:trPr>
        <w:tc>
          <w:tcPr>
            <w:tcW w:w="5108" w:type="dxa"/>
            <w:tcBorders>
              <w:top w:val="nil"/>
              <w:left w:val="single" w:sz="4" w:space="0" w:color="auto"/>
              <w:bottom w:val="single" w:sz="4" w:space="0" w:color="auto"/>
              <w:right w:val="single" w:sz="4" w:space="0" w:color="auto"/>
            </w:tcBorders>
            <w:shd w:val="clear" w:color="auto" w:fill="auto"/>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Surplus de productivité distribué</w:t>
            </w:r>
            <w:r w:rsidRPr="00914DF5">
              <w:rPr>
                <w:rFonts w:asciiTheme="majorBidi" w:hAnsiTheme="majorBidi" w:cstheme="majorBidi"/>
                <w:b w:val="0"/>
                <w:bCs w:val="0"/>
                <w:color w:val="000000"/>
              </w:rPr>
              <w:br/>
              <w:t xml:space="preserve"> au travail salarié (1)</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0,8%</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1,5%</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1,1%</w:t>
            </w:r>
          </w:p>
        </w:tc>
      </w:tr>
      <w:tr w:rsidR="00914DF5" w:rsidRPr="00914DF5" w:rsidTr="00914DF5">
        <w:trPr>
          <w:trHeight w:val="62"/>
        </w:trPr>
        <w:tc>
          <w:tcPr>
            <w:tcW w:w="5108" w:type="dxa"/>
            <w:tcBorders>
              <w:top w:val="nil"/>
              <w:left w:val="single" w:sz="4" w:space="0" w:color="auto"/>
              <w:bottom w:val="single" w:sz="4" w:space="0" w:color="auto"/>
              <w:right w:val="single" w:sz="4" w:space="0" w:color="auto"/>
            </w:tcBorders>
            <w:shd w:val="clear" w:color="auto" w:fill="auto"/>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Surplus de productivité distribué </w:t>
            </w:r>
            <w:r w:rsidRPr="00914DF5">
              <w:rPr>
                <w:rFonts w:asciiTheme="majorBidi" w:hAnsiTheme="majorBidi" w:cstheme="majorBidi"/>
                <w:b w:val="0"/>
                <w:bCs w:val="0"/>
                <w:color w:val="000000"/>
              </w:rPr>
              <w:br/>
              <w:t>au travail non salarié (2)</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0,6%</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0,11%</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0,4%</w:t>
            </w:r>
          </w:p>
        </w:tc>
      </w:tr>
      <w:tr w:rsidR="00914DF5" w:rsidRPr="00914DF5" w:rsidTr="00914DF5">
        <w:trPr>
          <w:trHeight w:val="62"/>
        </w:trPr>
        <w:tc>
          <w:tcPr>
            <w:tcW w:w="5108" w:type="dxa"/>
            <w:tcBorders>
              <w:top w:val="nil"/>
              <w:left w:val="single" w:sz="4" w:space="0" w:color="auto"/>
              <w:bottom w:val="single" w:sz="4" w:space="0" w:color="auto"/>
              <w:right w:val="single" w:sz="4" w:space="0" w:color="auto"/>
            </w:tcBorders>
            <w:shd w:val="clear" w:color="auto" w:fill="auto"/>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Surplus de productivité distribué au capital (3)</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-0,5%</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-1,4%</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-0,9%</w:t>
            </w:r>
          </w:p>
        </w:tc>
      </w:tr>
      <w:tr w:rsidR="00914DF5" w:rsidRPr="00914DF5" w:rsidTr="00914DF5">
        <w:trPr>
          <w:trHeight w:val="62"/>
        </w:trPr>
        <w:tc>
          <w:tcPr>
            <w:tcW w:w="5108" w:type="dxa"/>
            <w:tcBorders>
              <w:top w:val="nil"/>
              <w:left w:val="single" w:sz="4" w:space="0" w:color="auto"/>
              <w:bottom w:val="single" w:sz="4" w:space="0" w:color="auto"/>
              <w:right w:val="single" w:sz="4" w:space="0" w:color="auto"/>
            </w:tcBorders>
            <w:shd w:val="clear" w:color="auto" w:fill="auto"/>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Surplus de productivité distribuable du secteur non agricole (1)+(2)+(3)</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1,0%</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0,2%</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0,7%</w:t>
            </w:r>
          </w:p>
        </w:tc>
      </w:tr>
      <w:tr w:rsidR="00914DF5" w:rsidRPr="00914DF5" w:rsidTr="00914DF5">
        <w:trPr>
          <w:trHeight w:val="62"/>
        </w:trPr>
        <w:tc>
          <w:tcPr>
            <w:tcW w:w="5108" w:type="dxa"/>
            <w:tcBorders>
              <w:top w:val="nil"/>
              <w:left w:val="single" w:sz="4" w:space="0" w:color="auto"/>
              <w:bottom w:val="single" w:sz="4" w:space="0" w:color="auto"/>
              <w:right w:val="single" w:sz="4" w:space="0" w:color="auto"/>
            </w:tcBorders>
            <w:shd w:val="clear" w:color="auto" w:fill="auto"/>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Prélèvement du secteur non agricole </w:t>
            </w:r>
            <w:r w:rsidRPr="00914DF5">
              <w:rPr>
                <w:rFonts w:asciiTheme="majorBidi" w:hAnsiTheme="majorBidi" w:cstheme="majorBidi"/>
                <w:b w:val="0"/>
                <w:bCs w:val="0"/>
                <w:color w:val="000000"/>
              </w:rPr>
              <w:br/>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-0,1%</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-0,2%</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-0,1%</w:t>
            </w:r>
          </w:p>
        </w:tc>
      </w:tr>
      <w:tr w:rsidR="00914DF5" w:rsidRPr="00914DF5" w:rsidTr="00914DF5">
        <w:trPr>
          <w:trHeight w:val="62"/>
        </w:trPr>
        <w:tc>
          <w:tcPr>
            <w:tcW w:w="5108" w:type="dxa"/>
            <w:tcBorders>
              <w:top w:val="nil"/>
              <w:left w:val="single" w:sz="4" w:space="0" w:color="auto"/>
              <w:bottom w:val="single" w:sz="4" w:space="0" w:color="auto"/>
              <w:right w:val="single" w:sz="4" w:space="0" w:color="auto"/>
            </w:tcBorders>
            <w:shd w:val="clear" w:color="auto" w:fill="auto"/>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        Par l'Administration publique </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-0,1%</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-0,14%</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-0,12%</w:t>
            </w:r>
          </w:p>
        </w:tc>
      </w:tr>
      <w:tr w:rsidR="00914DF5" w:rsidRPr="00914DF5" w:rsidTr="00914DF5">
        <w:trPr>
          <w:trHeight w:val="256"/>
        </w:trPr>
        <w:tc>
          <w:tcPr>
            <w:tcW w:w="5108" w:type="dxa"/>
            <w:tcBorders>
              <w:top w:val="nil"/>
              <w:left w:val="single" w:sz="4" w:space="0" w:color="auto"/>
              <w:bottom w:val="single" w:sz="4" w:space="0" w:color="auto"/>
              <w:right w:val="single" w:sz="4" w:space="0" w:color="auto"/>
            </w:tcBorders>
            <w:shd w:val="clear" w:color="auto" w:fill="auto"/>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 xml:space="preserve">        Par l'extérieur </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0,0%</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-0,02%</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-0,01%</w:t>
            </w:r>
          </w:p>
        </w:tc>
      </w:tr>
      <w:tr w:rsidR="00914DF5" w:rsidRPr="00914DF5" w:rsidTr="00914DF5">
        <w:trPr>
          <w:trHeight w:val="62"/>
        </w:trPr>
        <w:tc>
          <w:tcPr>
            <w:tcW w:w="5108" w:type="dxa"/>
            <w:tcBorders>
              <w:top w:val="nil"/>
              <w:left w:val="single" w:sz="4" w:space="0" w:color="auto"/>
              <w:bottom w:val="single" w:sz="4" w:space="0" w:color="auto"/>
              <w:right w:val="single" w:sz="4" w:space="0" w:color="auto"/>
            </w:tcBorders>
            <w:shd w:val="clear" w:color="auto" w:fill="auto"/>
            <w:vAlign w:val="bottom"/>
            <w:hideMark/>
          </w:tcPr>
          <w:p w:rsidR="00914DF5" w:rsidRPr="00914DF5" w:rsidRDefault="00914DF5" w:rsidP="00914DF5">
            <w:pPr>
              <w:rPr>
                <w:rFonts w:asciiTheme="majorBidi" w:hAnsiTheme="majorBidi" w:cstheme="majorBidi"/>
                <w:b w:val="0"/>
                <w:bCs w:val="0"/>
                <w:color w:val="000000"/>
              </w:rPr>
            </w:pPr>
            <w:r w:rsidRPr="00914DF5">
              <w:rPr>
                <w:rFonts w:asciiTheme="majorBidi" w:hAnsiTheme="majorBidi" w:cstheme="majorBidi"/>
                <w:b w:val="0"/>
                <w:bCs w:val="0"/>
                <w:color w:val="000000"/>
              </w:rPr>
              <w:t>Surplus total du secteur non agricole</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1%</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0,0%</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914DF5" w:rsidRDefault="00914DF5" w:rsidP="00914DF5">
            <w:pPr>
              <w:jc w:val="center"/>
              <w:rPr>
                <w:rFonts w:asciiTheme="majorBidi" w:hAnsiTheme="majorBidi" w:cstheme="majorBidi"/>
                <w:b w:val="0"/>
                <w:bCs w:val="0"/>
                <w:color w:val="000000"/>
              </w:rPr>
            </w:pPr>
            <w:r w:rsidRPr="00914DF5">
              <w:rPr>
                <w:rFonts w:asciiTheme="majorBidi" w:hAnsiTheme="majorBidi" w:cstheme="majorBidi"/>
                <w:b w:val="0"/>
                <w:bCs w:val="0"/>
                <w:color w:val="000000"/>
              </w:rPr>
              <w:t>0,5%</w:t>
            </w:r>
          </w:p>
        </w:tc>
      </w:tr>
    </w:tbl>
    <w:p w:rsidR="00914DF5" w:rsidRDefault="00914DF5" w:rsidP="00914DF5">
      <w:pPr>
        <w:jc w:val="both"/>
        <w:rPr>
          <w:rFonts w:asciiTheme="majorBidi" w:hAnsiTheme="majorBidi" w:cstheme="majorBidi"/>
          <w:b w:val="0"/>
          <w:bCs w:val="0"/>
          <w:sz w:val="20"/>
          <w:szCs w:val="20"/>
        </w:rPr>
      </w:pPr>
      <w:r w:rsidRPr="00914DF5">
        <w:rPr>
          <w:rFonts w:asciiTheme="majorBidi" w:hAnsiTheme="majorBidi" w:cstheme="majorBidi"/>
          <w:b w:val="0"/>
          <w:bCs w:val="0"/>
          <w:sz w:val="20"/>
          <w:szCs w:val="20"/>
        </w:rPr>
        <w:t>Source : HCP</w:t>
      </w:r>
    </w:p>
    <w:p w:rsidR="005937EA" w:rsidRDefault="005937EA" w:rsidP="00914DF5">
      <w:pPr>
        <w:jc w:val="both"/>
        <w:rPr>
          <w:rFonts w:asciiTheme="majorBidi" w:hAnsiTheme="majorBidi" w:cstheme="majorBidi"/>
          <w:b w:val="0"/>
          <w:bCs w:val="0"/>
          <w:sz w:val="20"/>
          <w:szCs w:val="20"/>
        </w:rPr>
      </w:pPr>
    </w:p>
    <w:p w:rsidR="005937EA" w:rsidRDefault="005937EA" w:rsidP="00914DF5">
      <w:pPr>
        <w:jc w:val="both"/>
        <w:rPr>
          <w:rFonts w:asciiTheme="majorBidi" w:hAnsiTheme="majorBidi" w:cstheme="majorBidi"/>
          <w:b w:val="0"/>
          <w:bCs w:val="0"/>
          <w:sz w:val="20"/>
          <w:szCs w:val="20"/>
        </w:rPr>
      </w:pPr>
    </w:p>
    <w:p w:rsidR="005937EA" w:rsidRDefault="005937EA" w:rsidP="00914DF5">
      <w:pPr>
        <w:jc w:val="both"/>
        <w:rPr>
          <w:rFonts w:asciiTheme="majorBidi" w:hAnsiTheme="majorBidi" w:cstheme="majorBidi"/>
          <w:b w:val="0"/>
          <w:bCs w:val="0"/>
          <w:sz w:val="20"/>
          <w:szCs w:val="20"/>
        </w:rPr>
      </w:pPr>
    </w:p>
    <w:p w:rsidR="00802BFB" w:rsidRPr="00914DF5" w:rsidRDefault="00802BFB" w:rsidP="00914DF5">
      <w:pPr>
        <w:jc w:val="both"/>
        <w:rPr>
          <w:rFonts w:asciiTheme="majorBidi" w:hAnsiTheme="majorBidi" w:cstheme="majorBidi"/>
          <w:b w:val="0"/>
          <w:bCs w:val="0"/>
          <w:sz w:val="20"/>
          <w:szCs w:val="20"/>
        </w:rPr>
      </w:pPr>
    </w:p>
    <w:p w:rsidR="00914DF5" w:rsidRPr="00802BFB" w:rsidRDefault="00914DF5" w:rsidP="00914DF5">
      <w:pPr>
        <w:pStyle w:val="Paragraphedeliste"/>
        <w:numPr>
          <w:ilvl w:val="1"/>
          <w:numId w:val="43"/>
        </w:numPr>
        <w:tabs>
          <w:tab w:val="left" w:pos="709"/>
        </w:tabs>
        <w:jc w:val="both"/>
        <w:rPr>
          <w:rFonts w:asciiTheme="majorBidi" w:hAnsiTheme="majorBidi" w:cstheme="majorBidi"/>
          <w:b/>
          <w:bCs/>
          <w:color w:val="000000"/>
          <w:sz w:val="24"/>
          <w:szCs w:val="24"/>
        </w:rPr>
      </w:pPr>
      <w:r w:rsidRPr="00802BFB">
        <w:rPr>
          <w:rFonts w:asciiTheme="majorBidi" w:hAnsiTheme="majorBidi" w:cstheme="majorBidi"/>
          <w:b/>
          <w:bCs/>
          <w:color w:val="000000"/>
          <w:sz w:val="24"/>
          <w:szCs w:val="24"/>
        </w:rPr>
        <w:t>Surplus de productivité dans l’économie nationale</w:t>
      </w:r>
    </w:p>
    <w:p w:rsidR="00914DF5" w:rsidRPr="00914DF5" w:rsidRDefault="00914DF5" w:rsidP="00802BFB">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Au niveau de l’économie nationale dans son ensemble, le surplus de productivité a été faible de l’ordre de 1,2% en moyenne annuelle durant la période 2000-2014. C’est le travail salarié qui a connu une amélioration de son surplus de 1,1% par an, suivi de celui du travail non salarié avec 0,6%. Le surplus de productivité du facteur capital s’est inscrit sur une trajectoire négative avec -0,1% par an en 2000-2008 et -0,8% en 2009-2014 (-0,4% durant 2000-2014).</w:t>
      </w:r>
    </w:p>
    <w:p w:rsidR="00914DF5" w:rsidRPr="00914DF5" w:rsidRDefault="00914DF5" w:rsidP="00802BFB">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lastRenderedPageBreak/>
        <w:t xml:space="preserve">Ce surplus de productivité a été majoritairement distribué au facteur de production travail avec 1% pour les salariés et 0,5% pour les non salariés. Le facteur capital n’en a pas profité. Le faible prélèvement de surplus de productivité de 0,2% en moyenne annuelle sur la  période 2000-2014, est récupéré par l’extérieur. L’administration publique n’en profitait pas. </w:t>
      </w:r>
    </w:p>
    <w:p w:rsidR="00914DF5" w:rsidRDefault="00914DF5" w:rsidP="00802BFB">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Le partage de la valeur ajoutée conjugué à celui du surplus de productivité de l’économie permet d’appréhender l’évolution effective de la rémunération des facteurs de production. Dans ce cadre, il est constaté que la part de la rémunération du travail dans la valeur ajoutée a perdu en moyenne annuelle 0,1 points de pourcentage par an durant la période 2000-2014. Cette part est en amélioration dans le secteur non agricole de 0,2 point de pourcentage par an, alors qu’elle est en baisse de 2 points dans le secteur agricole.</w:t>
      </w:r>
    </w:p>
    <w:p w:rsidR="00914DF5" w:rsidRPr="00914DF5" w:rsidRDefault="00914DF5" w:rsidP="00914DF5">
      <w:pPr>
        <w:jc w:val="both"/>
        <w:rPr>
          <w:rFonts w:asciiTheme="majorBidi" w:hAnsiTheme="majorBidi" w:cstheme="majorBidi"/>
          <w:b w:val="0"/>
          <w:bCs w:val="0"/>
        </w:rPr>
      </w:pPr>
      <w:r w:rsidRPr="00BC0DC1">
        <w:rPr>
          <w:rFonts w:asciiTheme="majorBidi" w:hAnsiTheme="majorBidi" w:cstheme="majorBidi"/>
        </w:rPr>
        <w:t>Tableau 11</w:t>
      </w:r>
      <w:r w:rsidR="00BC0DC1">
        <w:rPr>
          <w:rFonts w:asciiTheme="majorBidi" w:hAnsiTheme="majorBidi" w:cstheme="majorBidi"/>
          <w:b w:val="0"/>
          <w:bCs w:val="0"/>
        </w:rPr>
        <w:t xml:space="preserve"> </w:t>
      </w:r>
      <w:r w:rsidRPr="00914DF5">
        <w:rPr>
          <w:rFonts w:asciiTheme="majorBidi" w:hAnsiTheme="majorBidi" w:cstheme="majorBidi"/>
          <w:b w:val="0"/>
          <w:bCs w:val="0"/>
        </w:rPr>
        <w:t>: Evolution du partage de la valeur ajoutée (en %)</w:t>
      </w:r>
    </w:p>
    <w:tbl>
      <w:tblPr>
        <w:tblW w:w="9361" w:type="dxa"/>
        <w:tblInd w:w="65" w:type="dxa"/>
        <w:tblLayout w:type="fixed"/>
        <w:tblCellMar>
          <w:left w:w="70" w:type="dxa"/>
          <w:right w:w="70" w:type="dxa"/>
        </w:tblCellMar>
        <w:tblLook w:val="04A0"/>
      </w:tblPr>
      <w:tblGrid>
        <w:gridCol w:w="5392"/>
        <w:gridCol w:w="1417"/>
        <w:gridCol w:w="1276"/>
        <w:gridCol w:w="1276"/>
      </w:tblGrid>
      <w:tr w:rsidR="00914DF5" w:rsidRPr="00914DF5" w:rsidTr="00BC0DC1">
        <w:trPr>
          <w:trHeight w:val="300"/>
        </w:trPr>
        <w:tc>
          <w:tcPr>
            <w:tcW w:w="53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DF5" w:rsidRPr="00BC0DC1" w:rsidRDefault="00914DF5" w:rsidP="00914DF5">
            <w:pPr>
              <w:jc w:val="center"/>
              <w:rPr>
                <w:rFonts w:asciiTheme="majorBidi" w:hAnsiTheme="majorBidi" w:cstheme="majorBidi"/>
                <w:color w:val="000000"/>
              </w:rPr>
            </w:pPr>
            <w:r w:rsidRPr="00BC0DC1">
              <w:rPr>
                <w:rFonts w:asciiTheme="majorBidi" w:hAnsiTheme="majorBidi" w:cstheme="majorBidi"/>
              </w:rPr>
              <w:t>Economie nationale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914DF5" w:rsidRPr="00BC0DC1" w:rsidRDefault="00914DF5" w:rsidP="00914DF5">
            <w:pPr>
              <w:jc w:val="right"/>
              <w:rPr>
                <w:rFonts w:asciiTheme="majorBidi" w:hAnsiTheme="majorBidi" w:cstheme="majorBidi"/>
                <w:color w:val="000000"/>
              </w:rPr>
            </w:pPr>
            <w:r w:rsidRPr="00BC0DC1">
              <w:rPr>
                <w:rFonts w:asciiTheme="majorBidi" w:hAnsiTheme="majorBidi" w:cstheme="majorBidi"/>
                <w:color w:val="000000"/>
              </w:rPr>
              <w:t>2000-2008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14DF5" w:rsidRPr="00BC0DC1" w:rsidRDefault="00914DF5" w:rsidP="00914DF5">
            <w:pPr>
              <w:jc w:val="right"/>
              <w:rPr>
                <w:rFonts w:asciiTheme="majorBidi" w:hAnsiTheme="majorBidi" w:cstheme="majorBidi"/>
                <w:color w:val="000000"/>
              </w:rPr>
            </w:pPr>
            <w:r w:rsidRPr="00BC0DC1">
              <w:rPr>
                <w:rFonts w:asciiTheme="majorBidi" w:hAnsiTheme="majorBidi" w:cstheme="majorBidi"/>
                <w:color w:val="000000"/>
              </w:rPr>
              <w:t>2009-2014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14DF5" w:rsidRPr="00BC0DC1" w:rsidRDefault="00914DF5" w:rsidP="00914DF5">
            <w:pPr>
              <w:jc w:val="right"/>
              <w:rPr>
                <w:rFonts w:asciiTheme="majorBidi" w:hAnsiTheme="majorBidi" w:cstheme="majorBidi"/>
                <w:color w:val="000000"/>
              </w:rPr>
            </w:pPr>
            <w:r w:rsidRPr="00BC0DC1">
              <w:rPr>
                <w:rFonts w:asciiTheme="majorBidi" w:hAnsiTheme="majorBidi" w:cstheme="majorBidi"/>
                <w:color w:val="000000"/>
              </w:rPr>
              <w:t>2000-2014</w:t>
            </w:r>
          </w:p>
        </w:tc>
      </w:tr>
      <w:tr w:rsidR="00914DF5" w:rsidRPr="00914DF5" w:rsidTr="00BC0DC1">
        <w:trPr>
          <w:trHeight w:val="300"/>
        </w:trPr>
        <w:tc>
          <w:tcPr>
            <w:tcW w:w="5392" w:type="dxa"/>
            <w:tcBorders>
              <w:top w:val="nil"/>
              <w:left w:val="single" w:sz="4" w:space="0" w:color="auto"/>
              <w:bottom w:val="single" w:sz="4" w:space="0" w:color="auto"/>
              <w:right w:val="single" w:sz="4" w:space="0" w:color="auto"/>
            </w:tcBorders>
            <w:shd w:val="clear" w:color="auto" w:fill="auto"/>
            <w:noWrap/>
            <w:vAlign w:val="bottom"/>
            <w:hideMark/>
          </w:tcPr>
          <w:p w:rsidR="00914DF5" w:rsidRPr="00BC0DC1" w:rsidRDefault="00914DF5" w:rsidP="00914DF5">
            <w:pPr>
              <w:rPr>
                <w:rFonts w:asciiTheme="majorBidi" w:hAnsiTheme="majorBidi" w:cstheme="majorBidi"/>
                <w:b w:val="0"/>
                <w:bCs w:val="0"/>
                <w:color w:val="000000"/>
              </w:rPr>
            </w:pPr>
            <w:r w:rsidRPr="00BC0DC1">
              <w:rPr>
                <w:rFonts w:asciiTheme="majorBidi" w:hAnsiTheme="majorBidi" w:cstheme="majorBidi"/>
                <w:b w:val="0"/>
                <w:bCs w:val="0"/>
                <w:color w:val="000000"/>
              </w:rPr>
              <w:t>Variation absolue de la part de la rémunération du facteur travail dans la valeur ajoutée totale de l'économie aux coûts des facteurs) (1) = (2)+(3)</w:t>
            </w:r>
          </w:p>
        </w:tc>
        <w:tc>
          <w:tcPr>
            <w:tcW w:w="1417" w:type="dxa"/>
            <w:tcBorders>
              <w:top w:val="nil"/>
              <w:left w:val="nil"/>
              <w:bottom w:val="single" w:sz="4" w:space="0" w:color="auto"/>
              <w:right w:val="single" w:sz="4" w:space="0" w:color="auto"/>
            </w:tcBorders>
            <w:shd w:val="clear" w:color="auto" w:fill="auto"/>
            <w:noWrap/>
            <w:vAlign w:val="bottom"/>
            <w:hideMark/>
          </w:tcPr>
          <w:p w:rsidR="00914DF5" w:rsidRPr="00BC0DC1" w:rsidRDefault="00914DF5" w:rsidP="00BC0DC1">
            <w:pPr>
              <w:jc w:val="right"/>
              <w:rPr>
                <w:rFonts w:asciiTheme="majorBidi" w:hAnsiTheme="majorBidi" w:cstheme="majorBidi"/>
                <w:b w:val="0"/>
                <w:bCs w:val="0"/>
                <w:color w:val="000000"/>
              </w:rPr>
            </w:pPr>
            <w:r w:rsidRPr="00BC0DC1">
              <w:rPr>
                <w:rFonts w:asciiTheme="majorBidi" w:hAnsiTheme="majorBidi" w:cstheme="majorBidi"/>
                <w:b w:val="0"/>
                <w:bCs w:val="0"/>
                <w:color w:val="000000"/>
              </w:rPr>
              <w:t>-0,1%</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BC0DC1" w:rsidRDefault="00914DF5" w:rsidP="00BC0DC1">
            <w:pPr>
              <w:jc w:val="right"/>
              <w:rPr>
                <w:rFonts w:asciiTheme="majorBidi" w:hAnsiTheme="majorBidi" w:cstheme="majorBidi"/>
                <w:b w:val="0"/>
                <w:bCs w:val="0"/>
                <w:color w:val="000000"/>
              </w:rPr>
            </w:pPr>
            <w:r w:rsidRPr="00BC0DC1">
              <w:rPr>
                <w:rFonts w:asciiTheme="majorBidi" w:hAnsiTheme="majorBidi" w:cstheme="majorBidi"/>
                <w:b w:val="0"/>
                <w:bCs w:val="0"/>
                <w:color w:val="000000"/>
              </w:rPr>
              <w:t>0,0%</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BC0DC1" w:rsidRDefault="00914DF5" w:rsidP="00BC0DC1">
            <w:pPr>
              <w:jc w:val="right"/>
              <w:rPr>
                <w:rFonts w:asciiTheme="majorBidi" w:hAnsiTheme="majorBidi" w:cstheme="majorBidi"/>
                <w:b w:val="0"/>
                <w:bCs w:val="0"/>
                <w:color w:val="000000"/>
              </w:rPr>
            </w:pPr>
            <w:r w:rsidRPr="00BC0DC1">
              <w:rPr>
                <w:rFonts w:asciiTheme="majorBidi" w:hAnsiTheme="majorBidi" w:cstheme="majorBidi"/>
                <w:b w:val="0"/>
                <w:bCs w:val="0"/>
                <w:color w:val="000000"/>
              </w:rPr>
              <w:t>-0,1%</w:t>
            </w:r>
          </w:p>
        </w:tc>
      </w:tr>
      <w:tr w:rsidR="00914DF5" w:rsidRPr="00914DF5" w:rsidTr="00BC0DC1">
        <w:trPr>
          <w:trHeight w:val="300"/>
        </w:trPr>
        <w:tc>
          <w:tcPr>
            <w:tcW w:w="5392" w:type="dxa"/>
            <w:tcBorders>
              <w:top w:val="nil"/>
              <w:left w:val="single" w:sz="4" w:space="0" w:color="auto"/>
              <w:bottom w:val="single" w:sz="4" w:space="0" w:color="auto"/>
              <w:right w:val="single" w:sz="4" w:space="0" w:color="auto"/>
            </w:tcBorders>
            <w:shd w:val="clear" w:color="auto" w:fill="auto"/>
            <w:noWrap/>
            <w:vAlign w:val="bottom"/>
            <w:hideMark/>
          </w:tcPr>
          <w:p w:rsidR="00914DF5" w:rsidRPr="00BC0DC1" w:rsidRDefault="00914DF5" w:rsidP="00914DF5">
            <w:pPr>
              <w:rPr>
                <w:rFonts w:asciiTheme="majorBidi" w:hAnsiTheme="majorBidi" w:cstheme="majorBidi"/>
                <w:b w:val="0"/>
                <w:bCs w:val="0"/>
                <w:color w:val="000000"/>
              </w:rPr>
            </w:pPr>
            <w:r w:rsidRPr="00BC0DC1">
              <w:rPr>
                <w:rFonts w:asciiTheme="majorBidi" w:hAnsiTheme="majorBidi" w:cstheme="majorBidi"/>
                <w:b w:val="0"/>
                <w:bCs w:val="0"/>
                <w:color w:val="000000"/>
              </w:rPr>
              <w:t>Substitution du capital au travail efficace dans l'économie totale (2)</w:t>
            </w:r>
          </w:p>
        </w:tc>
        <w:tc>
          <w:tcPr>
            <w:tcW w:w="1417" w:type="dxa"/>
            <w:tcBorders>
              <w:top w:val="nil"/>
              <w:left w:val="nil"/>
              <w:bottom w:val="single" w:sz="4" w:space="0" w:color="auto"/>
              <w:right w:val="single" w:sz="4" w:space="0" w:color="auto"/>
            </w:tcBorders>
            <w:shd w:val="clear" w:color="auto" w:fill="auto"/>
            <w:noWrap/>
            <w:vAlign w:val="bottom"/>
            <w:hideMark/>
          </w:tcPr>
          <w:p w:rsidR="00914DF5" w:rsidRPr="00BC0DC1" w:rsidRDefault="00914DF5" w:rsidP="00BC0DC1">
            <w:pPr>
              <w:jc w:val="right"/>
              <w:rPr>
                <w:rFonts w:asciiTheme="majorBidi" w:hAnsiTheme="majorBidi" w:cstheme="majorBidi"/>
                <w:b w:val="0"/>
                <w:bCs w:val="0"/>
                <w:color w:val="000000"/>
              </w:rPr>
            </w:pPr>
            <w:r w:rsidRPr="00BC0DC1">
              <w:rPr>
                <w:rFonts w:asciiTheme="majorBidi" w:hAnsiTheme="majorBidi" w:cstheme="majorBidi"/>
                <w:b w:val="0"/>
                <w:bCs w:val="0"/>
                <w:color w:val="000000"/>
              </w:rPr>
              <w:t>-0,7%</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BC0DC1" w:rsidRDefault="00914DF5" w:rsidP="00BC0DC1">
            <w:pPr>
              <w:jc w:val="right"/>
              <w:rPr>
                <w:rFonts w:asciiTheme="majorBidi" w:hAnsiTheme="majorBidi" w:cstheme="majorBidi"/>
                <w:b w:val="0"/>
                <w:bCs w:val="0"/>
                <w:color w:val="000000"/>
              </w:rPr>
            </w:pPr>
            <w:r w:rsidRPr="00BC0DC1">
              <w:rPr>
                <w:rFonts w:asciiTheme="majorBidi" w:hAnsiTheme="majorBidi" w:cstheme="majorBidi"/>
                <w:b w:val="0"/>
                <w:bCs w:val="0"/>
                <w:color w:val="000000"/>
              </w:rPr>
              <w:t>-1,0%</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BC0DC1" w:rsidRDefault="00914DF5" w:rsidP="00BC0DC1">
            <w:pPr>
              <w:jc w:val="right"/>
              <w:rPr>
                <w:rFonts w:asciiTheme="majorBidi" w:hAnsiTheme="majorBidi" w:cstheme="majorBidi"/>
                <w:b w:val="0"/>
                <w:bCs w:val="0"/>
                <w:color w:val="000000"/>
              </w:rPr>
            </w:pPr>
            <w:r w:rsidRPr="00BC0DC1">
              <w:rPr>
                <w:rFonts w:asciiTheme="majorBidi" w:hAnsiTheme="majorBidi" w:cstheme="majorBidi"/>
                <w:b w:val="0"/>
                <w:bCs w:val="0"/>
                <w:color w:val="000000"/>
              </w:rPr>
              <w:t>-0,8%</w:t>
            </w:r>
          </w:p>
        </w:tc>
      </w:tr>
      <w:tr w:rsidR="00914DF5" w:rsidRPr="00914DF5" w:rsidTr="00BC0DC1">
        <w:trPr>
          <w:trHeight w:val="300"/>
        </w:trPr>
        <w:tc>
          <w:tcPr>
            <w:tcW w:w="5392" w:type="dxa"/>
            <w:tcBorders>
              <w:top w:val="nil"/>
              <w:left w:val="single" w:sz="4" w:space="0" w:color="auto"/>
              <w:bottom w:val="single" w:sz="4" w:space="0" w:color="auto"/>
              <w:right w:val="single" w:sz="4" w:space="0" w:color="auto"/>
            </w:tcBorders>
            <w:shd w:val="clear" w:color="auto" w:fill="auto"/>
            <w:noWrap/>
            <w:vAlign w:val="bottom"/>
            <w:hideMark/>
          </w:tcPr>
          <w:p w:rsidR="00914DF5" w:rsidRPr="00BC0DC1" w:rsidRDefault="00914DF5" w:rsidP="00914DF5">
            <w:pPr>
              <w:rPr>
                <w:rFonts w:asciiTheme="majorBidi" w:hAnsiTheme="majorBidi" w:cstheme="majorBidi"/>
                <w:b w:val="0"/>
                <w:bCs w:val="0"/>
                <w:color w:val="000000"/>
              </w:rPr>
            </w:pPr>
            <w:r w:rsidRPr="00BC0DC1">
              <w:rPr>
                <w:rFonts w:asciiTheme="majorBidi" w:hAnsiTheme="majorBidi" w:cstheme="majorBidi"/>
                <w:b w:val="0"/>
                <w:bCs w:val="0"/>
                <w:color w:val="000000"/>
              </w:rPr>
              <w:t>Ecart de productivité :(surplus productivité du travail- surplus productivité) dans l'économie totale (3)</w:t>
            </w:r>
          </w:p>
        </w:tc>
        <w:tc>
          <w:tcPr>
            <w:tcW w:w="1417" w:type="dxa"/>
            <w:tcBorders>
              <w:top w:val="nil"/>
              <w:left w:val="nil"/>
              <w:bottom w:val="single" w:sz="4" w:space="0" w:color="auto"/>
              <w:right w:val="single" w:sz="4" w:space="0" w:color="auto"/>
            </w:tcBorders>
            <w:shd w:val="clear" w:color="auto" w:fill="auto"/>
            <w:noWrap/>
            <w:vAlign w:val="bottom"/>
            <w:hideMark/>
          </w:tcPr>
          <w:p w:rsidR="00914DF5" w:rsidRPr="00BC0DC1" w:rsidRDefault="00914DF5" w:rsidP="00BC0DC1">
            <w:pPr>
              <w:jc w:val="right"/>
              <w:rPr>
                <w:rFonts w:asciiTheme="majorBidi" w:hAnsiTheme="majorBidi" w:cstheme="majorBidi"/>
                <w:b w:val="0"/>
                <w:bCs w:val="0"/>
                <w:color w:val="000000"/>
              </w:rPr>
            </w:pPr>
            <w:r w:rsidRPr="00BC0DC1">
              <w:rPr>
                <w:rFonts w:asciiTheme="majorBidi" w:hAnsiTheme="majorBidi" w:cstheme="majorBidi"/>
                <w:b w:val="0"/>
                <w:bCs w:val="0"/>
                <w:color w:val="000000"/>
              </w:rPr>
              <w:t>0,5%</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BC0DC1" w:rsidRDefault="00914DF5" w:rsidP="00BC0DC1">
            <w:pPr>
              <w:jc w:val="right"/>
              <w:rPr>
                <w:rFonts w:asciiTheme="majorBidi" w:hAnsiTheme="majorBidi" w:cstheme="majorBidi"/>
                <w:b w:val="0"/>
                <w:bCs w:val="0"/>
                <w:color w:val="000000"/>
              </w:rPr>
            </w:pPr>
            <w:r w:rsidRPr="00BC0DC1">
              <w:rPr>
                <w:rFonts w:asciiTheme="majorBidi" w:hAnsiTheme="majorBidi" w:cstheme="majorBidi"/>
                <w:b w:val="0"/>
                <w:bCs w:val="0"/>
                <w:color w:val="000000"/>
              </w:rPr>
              <w:t>1,0%</w:t>
            </w:r>
          </w:p>
        </w:tc>
        <w:tc>
          <w:tcPr>
            <w:tcW w:w="1276" w:type="dxa"/>
            <w:tcBorders>
              <w:top w:val="nil"/>
              <w:left w:val="nil"/>
              <w:bottom w:val="single" w:sz="4" w:space="0" w:color="auto"/>
              <w:right w:val="single" w:sz="4" w:space="0" w:color="auto"/>
            </w:tcBorders>
            <w:shd w:val="clear" w:color="auto" w:fill="auto"/>
            <w:noWrap/>
            <w:vAlign w:val="bottom"/>
            <w:hideMark/>
          </w:tcPr>
          <w:p w:rsidR="00914DF5" w:rsidRPr="00BC0DC1" w:rsidRDefault="00914DF5" w:rsidP="00BC0DC1">
            <w:pPr>
              <w:jc w:val="right"/>
              <w:rPr>
                <w:rFonts w:asciiTheme="majorBidi" w:hAnsiTheme="majorBidi" w:cstheme="majorBidi"/>
                <w:b w:val="0"/>
                <w:bCs w:val="0"/>
                <w:color w:val="000000"/>
              </w:rPr>
            </w:pPr>
            <w:r w:rsidRPr="00BC0DC1">
              <w:rPr>
                <w:rFonts w:asciiTheme="majorBidi" w:hAnsiTheme="majorBidi" w:cstheme="majorBidi"/>
                <w:b w:val="0"/>
                <w:bCs w:val="0"/>
                <w:color w:val="000000"/>
              </w:rPr>
              <w:t>0,7%</w:t>
            </w:r>
          </w:p>
        </w:tc>
      </w:tr>
    </w:tbl>
    <w:p w:rsidR="00914DF5" w:rsidRPr="00914DF5" w:rsidRDefault="00914DF5" w:rsidP="00914DF5">
      <w:pPr>
        <w:jc w:val="both"/>
        <w:rPr>
          <w:rFonts w:asciiTheme="majorBidi" w:hAnsiTheme="majorBidi" w:cstheme="majorBidi"/>
          <w:b w:val="0"/>
          <w:bCs w:val="0"/>
          <w:sz w:val="20"/>
          <w:szCs w:val="20"/>
        </w:rPr>
      </w:pPr>
      <w:r w:rsidRPr="00914DF5">
        <w:rPr>
          <w:rFonts w:asciiTheme="majorBidi" w:hAnsiTheme="majorBidi" w:cstheme="majorBidi"/>
          <w:b w:val="0"/>
          <w:bCs w:val="0"/>
          <w:sz w:val="20"/>
          <w:szCs w:val="20"/>
        </w:rPr>
        <w:t>Source : HCP</w:t>
      </w:r>
    </w:p>
    <w:p w:rsidR="00802BFB" w:rsidRDefault="00802BFB" w:rsidP="00802BFB">
      <w:pPr>
        <w:spacing w:before="120" w:after="120" w:line="312" w:lineRule="auto"/>
        <w:jc w:val="both"/>
        <w:rPr>
          <w:rFonts w:asciiTheme="majorBidi" w:hAnsiTheme="majorBidi" w:cstheme="majorBidi"/>
          <w:b w:val="0"/>
          <w:bCs w:val="0"/>
        </w:rPr>
      </w:pPr>
    </w:p>
    <w:p w:rsidR="00914DF5" w:rsidRPr="00914DF5" w:rsidRDefault="00914DF5" w:rsidP="00802BFB">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L’amélioration du surplus de productivité du travail plus que celui de productivité de l’économie nationale a contribué à la hausse de la part de la rémunération du travail dans la valeur ajoutée nationale par 0,7 point de pourcentage en moyenne annuelle. Cette amélioration trouve son origine dans l’écart positif de 1 point entre ces deux surplus dans le secteur non agricole, contre un écart négatif de 4 points dans le secteur agricole.</w:t>
      </w:r>
    </w:p>
    <w:p w:rsidR="00914DF5" w:rsidRPr="00914DF5" w:rsidRDefault="00914DF5" w:rsidP="00802BFB">
      <w:pPr>
        <w:spacing w:before="120" w:after="120" w:line="312" w:lineRule="auto"/>
        <w:jc w:val="both"/>
        <w:rPr>
          <w:rFonts w:asciiTheme="majorBidi" w:hAnsiTheme="majorBidi" w:cstheme="majorBidi"/>
          <w:b w:val="0"/>
          <w:bCs w:val="0"/>
        </w:rPr>
      </w:pPr>
      <w:r w:rsidRPr="00914DF5">
        <w:rPr>
          <w:rFonts w:asciiTheme="majorBidi" w:hAnsiTheme="majorBidi" w:cstheme="majorBidi"/>
          <w:b w:val="0"/>
          <w:bCs w:val="0"/>
        </w:rPr>
        <w:t>En revanche, la substitution du capital au travail efficace a contribué dans le sens de la baisse de la part de la rémunération du travail dans la valeur ajoutée nationale à raison de prés de -0,8 point de pourcentage en moyenne annuelle. L’effet de cette substitution reste positif dans le secteur agricole avec 2,1 points de pourcentage, alors qu’il est négatif de 0,8 point dans le secteur non agricole.</w:t>
      </w:r>
    </w:p>
    <w:p w:rsidR="00D40E34" w:rsidRPr="00914DF5" w:rsidRDefault="00D40E34" w:rsidP="00802BFB">
      <w:pPr>
        <w:spacing w:before="120" w:after="120" w:line="312" w:lineRule="auto"/>
        <w:jc w:val="both"/>
        <w:rPr>
          <w:rFonts w:asciiTheme="majorBidi" w:hAnsiTheme="majorBidi" w:cstheme="majorBidi"/>
          <w:b w:val="0"/>
          <w:bCs w:val="0"/>
        </w:rPr>
      </w:pPr>
    </w:p>
    <w:sectPr w:rsidR="00D40E34" w:rsidRPr="00914DF5" w:rsidSect="008B3999">
      <w:footerReference w:type="even" r:id="rId8"/>
      <w:footerReference w:type="default" r:id="rId9"/>
      <w:headerReference w:type="first" r:id="rId10"/>
      <w:pgSz w:w="11906" w:h="16838" w:code="9"/>
      <w:pgMar w:top="1135"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7FD" w:rsidRDefault="00B007FD">
      <w:r>
        <w:separator/>
      </w:r>
    </w:p>
  </w:endnote>
  <w:endnote w:type="continuationSeparator" w:id="1">
    <w:p w:rsidR="00B007FD" w:rsidRDefault="00B007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DF5" w:rsidRDefault="008741A1" w:rsidP="00625996">
    <w:pPr>
      <w:pStyle w:val="Pieddepage"/>
      <w:framePr w:wrap="around" w:vAnchor="text" w:hAnchor="margin" w:xAlign="center" w:y="1"/>
      <w:rPr>
        <w:rStyle w:val="Numrodepage"/>
      </w:rPr>
    </w:pPr>
    <w:r>
      <w:rPr>
        <w:rStyle w:val="Numrodepage"/>
      </w:rPr>
      <w:fldChar w:fldCharType="begin"/>
    </w:r>
    <w:r w:rsidR="00914DF5">
      <w:rPr>
        <w:rStyle w:val="Numrodepage"/>
      </w:rPr>
      <w:instrText xml:space="preserve">PAGE  </w:instrText>
    </w:r>
    <w:r>
      <w:rPr>
        <w:rStyle w:val="Numrodepage"/>
      </w:rPr>
      <w:fldChar w:fldCharType="end"/>
    </w:r>
  </w:p>
  <w:p w:rsidR="00914DF5" w:rsidRDefault="00914DF5">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DF5" w:rsidRDefault="008741A1" w:rsidP="00625996">
    <w:pPr>
      <w:pStyle w:val="Pieddepage"/>
      <w:framePr w:wrap="around" w:vAnchor="text" w:hAnchor="margin" w:xAlign="center" w:y="1"/>
      <w:rPr>
        <w:rStyle w:val="Numrodepage"/>
      </w:rPr>
    </w:pPr>
    <w:r>
      <w:rPr>
        <w:rStyle w:val="Numrodepage"/>
      </w:rPr>
      <w:fldChar w:fldCharType="begin"/>
    </w:r>
    <w:r w:rsidR="00914DF5">
      <w:rPr>
        <w:rStyle w:val="Numrodepage"/>
      </w:rPr>
      <w:instrText xml:space="preserve">PAGE  </w:instrText>
    </w:r>
    <w:r>
      <w:rPr>
        <w:rStyle w:val="Numrodepage"/>
      </w:rPr>
      <w:fldChar w:fldCharType="separate"/>
    </w:r>
    <w:r w:rsidR="005A0DDD">
      <w:rPr>
        <w:rStyle w:val="Numrodepage"/>
        <w:noProof/>
      </w:rPr>
      <w:t>2</w:t>
    </w:r>
    <w:r>
      <w:rPr>
        <w:rStyle w:val="Numrodepage"/>
      </w:rPr>
      <w:fldChar w:fldCharType="end"/>
    </w:r>
  </w:p>
  <w:p w:rsidR="00914DF5" w:rsidRDefault="00914DF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7FD" w:rsidRDefault="00B007FD">
      <w:r>
        <w:separator/>
      </w:r>
    </w:p>
  </w:footnote>
  <w:footnote w:type="continuationSeparator" w:id="1">
    <w:p w:rsidR="00B007FD" w:rsidRDefault="00B007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73" w:rsidRDefault="009D4773">
    <w:pPr>
      <w:pStyle w:val="En-tte"/>
    </w:pPr>
    <w:r>
      <w:rPr>
        <w:noProof/>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2850" cy="9586595"/>
          <wp:effectExtent l="1905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5pt;height:10.85pt" o:bullet="t">
        <v:imagedata r:id="rId1" o:title="BD15056_"/>
      </v:shape>
    </w:pict>
  </w:numPicBullet>
  <w:abstractNum w:abstractNumId="0">
    <w:nsid w:val="02EB1DFF"/>
    <w:multiLevelType w:val="hybridMultilevel"/>
    <w:tmpl w:val="67DE48B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nsid w:val="04C076E9"/>
    <w:multiLevelType w:val="hybridMultilevel"/>
    <w:tmpl w:val="58263D2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50A63E0"/>
    <w:multiLevelType w:val="hybridMultilevel"/>
    <w:tmpl w:val="9A4A763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6BA0484"/>
    <w:multiLevelType w:val="multilevel"/>
    <w:tmpl w:val="D054A45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AFC5EC4"/>
    <w:multiLevelType w:val="hybridMultilevel"/>
    <w:tmpl w:val="C2445DB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20B87748"/>
    <w:multiLevelType w:val="multilevel"/>
    <w:tmpl w:val="58263D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82E29D7"/>
    <w:multiLevelType w:val="multilevel"/>
    <w:tmpl w:val="8F647046"/>
    <w:lvl w:ilvl="0">
      <w:start w:val="1"/>
      <w:numFmt w:val="decimal"/>
      <w:lvlText w:val="%1"/>
      <w:lvlJc w:val="left"/>
      <w:pPr>
        <w:tabs>
          <w:tab w:val="num" w:pos="780"/>
        </w:tabs>
        <w:ind w:left="780" w:hanging="780"/>
      </w:pPr>
      <w:rPr>
        <w:rFonts w:hint="default"/>
      </w:rPr>
    </w:lvl>
    <w:lvl w:ilvl="1">
      <w:start w:val="2"/>
      <w:numFmt w:val="decimal"/>
      <w:lvlText w:val="%1-%2"/>
      <w:lvlJc w:val="left"/>
      <w:pPr>
        <w:tabs>
          <w:tab w:val="num" w:pos="960"/>
        </w:tabs>
        <w:ind w:left="960" w:hanging="780"/>
      </w:pPr>
      <w:rPr>
        <w:rFonts w:hint="default"/>
      </w:rPr>
    </w:lvl>
    <w:lvl w:ilvl="2">
      <w:start w:val="1"/>
      <w:numFmt w:val="decimal"/>
      <w:lvlText w:val="%1-%2-%3"/>
      <w:lvlJc w:val="left"/>
      <w:pPr>
        <w:tabs>
          <w:tab w:val="num" w:pos="1440"/>
        </w:tabs>
        <w:ind w:left="1440" w:hanging="1080"/>
      </w:pPr>
      <w:rPr>
        <w:rFonts w:hint="default"/>
      </w:rPr>
    </w:lvl>
    <w:lvl w:ilvl="3">
      <w:start w:val="1"/>
      <w:numFmt w:val="decimal"/>
      <w:lvlText w:val="%1-%2-%3.%4"/>
      <w:lvlJc w:val="left"/>
      <w:pPr>
        <w:tabs>
          <w:tab w:val="num" w:pos="1980"/>
        </w:tabs>
        <w:ind w:left="1980" w:hanging="1440"/>
      </w:pPr>
      <w:rPr>
        <w:rFonts w:hint="default"/>
      </w:rPr>
    </w:lvl>
    <w:lvl w:ilvl="4">
      <w:start w:val="1"/>
      <w:numFmt w:val="decimal"/>
      <w:lvlText w:val="%1-%2-%3.%4.%5"/>
      <w:lvlJc w:val="left"/>
      <w:pPr>
        <w:tabs>
          <w:tab w:val="num" w:pos="2520"/>
        </w:tabs>
        <w:ind w:left="2520" w:hanging="1800"/>
      </w:pPr>
      <w:rPr>
        <w:rFonts w:hint="default"/>
      </w:rPr>
    </w:lvl>
    <w:lvl w:ilvl="5">
      <w:start w:val="1"/>
      <w:numFmt w:val="decimal"/>
      <w:lvlText w:val="%1-%2-%3.%4.%5.%6"/>
      <w:lvlJc w:val="left"/>
      <w:pPr>
        <w:tabs>
          <w:tab w:val="num" w:pos="3060"/>
        </w:tabs>
        <w:ind w:left="3060" w:hanging="2160"/>
      </w:pPr>
      <w:rPr>
        <w:rFonts w:hint="default"/>
      </w:rPr>
    </w:lvl>
    <w:lvl w:ilvl="6">
      <w:start w:val="1"/>
      <w:numFmt w:val="decimal"/>
      <w:lvlText w:val="%1-%2-%3.%4.%5.%6.%7"/>
      <w:lvlJc w:val="left"/>
      <w:pPr>
        <w:tabs>
          <w:tab w:val="num" w:pos="3600"/>
        </w:tabs>
        <w:ind w:left="3600" w:hanging="2520"/>
      </w:pPr>
      <w:rPr>
        <w:rFonts w:hint="default"/>
      </w:rPr>
    </w:lvl>
    <w:lvl w:ilvl="7">
      <w:start w:val="1"/>
      <w:numFmt w:val="decimal"/>
      <w:lvlText w:val="%1-%2-%3.%4.%5.%6.%7.%8"/>
      <w:lvlJc w:val="left"/>
      <w:pPr>
        <w:tabs>
          <w:tab w:val="num" w:pos="4140"/>
        </w:tabs>
        <w:ind w:left="4140" w:hanging="2880"/>
      </w:pPr>
      <w:rPr>
        <w:rFonts w:hint="default"/>
      </w:rPr>
    </w:lvl>
    <w:lvl w:ilvl="8">
      <w:start w:val="1"/>
      <w:numFmt w:val="decimal"/>
      <w:lvlText w:val="%1-%2-%3.%4.%5.%6.%7.%8.%9"/>
      <w:lvlJc w:val="left"/>
      <w:pPr>
        <w:tabs>
          <w:tab w:val="num" w:pos="4680"/>
        </w:tabs>
        <w:ind w:left="4680" w:hanging="3240"/>
      </w:pPr>
      <w:rPr>
        <w:rFonts w:hint="default"/>
      </w:rPr>
    </w:lvl>
  </w:abstractNum>
  <w:abstractNum w:abstractNumId="7">
    <w:nsid w:val="29A67E6C"/>
    <w:multiLevelType w:val="hybridMultilevel"/>
    <w:tmpl w:val="97726F9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C545D5C"/>
    <w:multiLevelType w:val="multilevel"/>
    <w:tmpl w:val="F8BE29AA"/>
    <w:lvl w:ilvl="0">
      <w:start w:val="1"/>
      <w:numFmt w:val="decimal"/>
      <w:lvlText w:val="%1."/>
      <w:lvlJc w:val="left"/>
      <w:pPr>
        <w:ind w:left="682" w:hanging="567"/>
      </w:pPr>
      <w:rPr>
        <w:rFonts w:ascii="Trebuchet MS" w:eastAsia="Trebuchet MS" w:hAnsi="Trebuchet MS" w:cs="Trebuchet MS" w:hint="default"/>
        <w:color w:val="404040"/>
        <w:spacing w:val="-1"/>
        <w:w w:val="100"/>
        <w:sz w:val="32"/>
        <w:szCs w:val="32"/>
      </w:rPr>
    </w:lvl>
    <w:lvl w:ilvl="1">
      <w:start w:val="1"/>
      <w:numFmt w:val="decimal"/>
      <w:lvlText w:val="%1.%2."/>
      <w:lvlJc w:val="left"/>
      <w:pPr>
        <w:ind w:left="682" w:hanging="567"/>
      </w:pPr>
      <w:rPr>
        <w:rFonts w:ascii="Trebuchet MS" w:eastAsia="Trebuchet MS" w:hAnsi="Trebuchet MS" w:cs="Trebuchet MS" w:hint="default"/>
        <w:b/>
        <w:bCs/>
        <w:color w:val="404040"/>
        <w:spacing w:val="-32"/>
        <w:w w:val="98"/>
        <w:sz w:val="24"/>
        <w:szCs w:val="24"/>
      </w:rPr>
    </w:lvl>
    <w:lvl w:ilvl="2">
      <w:start w:val="1"/>
      <w:numFmt w:val="decimal"/>
      <w:lvlText w:val="%1.%2.%3."/>
      <w:lvlJc w:val="left"/>
      <w:pPr>
        <w:ind w:left="965" w:hanging="850"/>
      </w:pPr>
      <w:rPr>
        <w:rFonts w:ascii="Trebuchet MS" w:eastAsia="Trebuchet MS" w:hAnsi="Trebuchet MS" w:cs="Trebuchet MS" w:hint="default"/>
        <w:b/>
        <w:bCs/>
        <w:color w:val="404040"/>
        <w:w w:val="100"/>
        <w:sz w:val="22"/>
        <w:szCs w:val="22"/>
      </w:rPr>
    </w:lvl>
    <w:lvl w:ilvl="3">
      <w:numFmt w:val="bullet"/>
      <w:lvlText w:val="•"/>
      <w:lvlJc w:val="left"/>
      <w:pPr>
        <w:ind w:left="2813" w:hanging="850"/>
      </w:pPr>
      <w:rPr>
        <w:rFonts w:hint="default"/>
      </w:rPr>
    </w:lvl>
    <w:lvl w:ilvl="4">
      <w:numFmt w:val="bullet"/>
      <w:lvlText w:val="•"/>
      <w:lvlJc w:val="left"/>
      <w:pPr>
        <w:ind w:left="3740" w:hanging="850"/>
      </w:pPr>
      <w:rPr>
        <w:rFonts w:hint="default"/>
      </w:rPr>
    </w:lvl>
    <w:lvl w:ilvl="5">
      <w:numFmt w:val="bullet"/>
      <w:lvlText w:val="•"/>
      <w:lvlJc w:val="left"/>
      <w:pPr>
        <w:ind w:left="4666" w:hanging="850"/>
      </w:pPr>
      <w:rPr>
        <w:rFonts w:hint="default"/>
      </w:rPr>
    </w:lvl>
    <w:lvl w:ilvl="6">
      <w:numFmt w:val="bullet"/>
      <w:lvlText w:val="•"/>
      <w:lvlJc w:val="left"/>
      <w:pPr>
        <w:ind w:left="5593" w:hanging="850"/>
      </w:pPr>
      <w:rPr>
        <w:rFonts w:hint="default"/>
      </w:rPr>
    </w:lvl>
    <w:lvl w:ilvl="7">
      <w:numFmt w:val="bullet"/>
      <w:lvlText w:val="•"/>
      <w:lvlJc w:val="left"/>
      <w:pPr>
        <w:ind w:left="6520" w:hanging="850"/>
      </w:pPr>
      <w:rPr>
        <w:rFonts w:hint="default"/>
      </w:rPr>
    </w:lvl>
    <w:lvl w:ilvl="8">
      <w:numFmt w:val="bullet"/>
      <w:lvlText w:val="•"/>
      <w:lvlJc w:val="left"/>
      <w:pPr>
        <w:ind w:left="7446" w:hanging="850"/>
      </w:pPr>
      <w:rPr>
        <w:rFonts w:hint="default"/>
      </w:rPr>
    </w:lvl>
  </w:abstractNum>
  <w:abstractNum w:abstractNumId="9">
    <w:nsid w:val="2CED30D3"/>
    <w:multiLevelType w:val="hybridMultilevel"/>
    <w:tmpl w:val="26C82D30"/>
    <w:lvl w:ilvl="0" w:tplc="519EA0E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D781CC7"/>
    <w:multiLevelType w:val="hybridMultilevel"/>
    <w:tmpl w:val="7B76F4D0"/>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1">
    <w:nsid w:val="2EAB1E90"/>
    <w:multiLevelType w:val="hybridMultilevel"/>
    <w:tmpl w:val="6E10BAC2"/>
    <w:lvl w:ilvl="0" w:tplc="8244F97A">
      <w:start w:val="1"/>
      <w:numFmt w:val="bullet"/>
      <w:lvlText w:val=""/>
      <w:lvlPicBulletId w:val="0"/>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807143F"/>
    <w:multiLevelType w:val="hybridMultilevel"/>
    <w:tmpl w:val="8CE25D40"/>
    <w:lvl w:ilvl="0" w:tplc="040C000B">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3">
    <w:nsid w:val="3BEC0AD8"/>
    <w:multiLevelType w:val="hybridMultilevel"/>
    <w:tmpl w:val="7FFC62C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nsid w:val="403A203C"/>
    <w:multiLevelType w:val="multilevel"/>
    <w:tmpl w:val="9D787290"/>
    <w:lvl w:ilvl="0">
      <w:start w:val="3"/>
      <w:numFmt w:val="decimal"/>
      <w:lvlText w:val="%1-"/>
      <w:lvlJc w:val="left"/>
      <w:pPr>
        <w:ind w:left="528" w:hanging="528"/>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4E7105C"/>
    <w:multiLevelType w:val="hybridMultilevel"/>
    <w:tmpl w:val="04F8DFF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nsid w:val="45CD1819"/>
    <w:multiLevelType w:val="hybridMultilevel"/>
    <w:tmpl w:val="352E7596"/>
    <w:lvl w:ilvl="0" w:tplc="040C000F">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481E629A"/>
    <w:multiLevelType w:val="multilevel"/>
    <w:tmpl w:val="CAE0AE7C"/>
    <w:lvl w:ilvl="0">
      <w:start w:val="1"/>
      <w:numFmt w:val="decimal"/>
      <w:lvlText w:val="%1."/>
      <w:lvlJc w:val="left"/>
      <w:pPr>
        <w:ind w:left="1070" w:hanging="360"/>
      </w:pPr>
      <w:rPr>
        <w:rFonts w:hint="default"/>
        <w:b/>
        <w:sz w:val="30"/>
        <w:u w:val="none"/>
      </w:rPr>
    </w:lvl>
    <w:lvl w:ilvl="1">
      <w:start w:val="3"/>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8">
    <w:nsid w:val="491C7B8D"/>
    <w:multiLevelType w:val="hybridMultilevel"/>
    <w:tmpl w:val="503C84B8"/>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2A161D40">
      <w:start w:val="5"/>
      <w:numFmt w:val="bullet"/>
      <w:lvlText w:val="-"/>
      <w:lvlJc w:val="left"/>
      <w:pPr>
        <w:tabs>
          <w:tab w:val="num" w:pos="1800"/>
        </w:tabs>
        <w:ind w:left="1800" w:hanging="360"/>
      </w:pPr>
      <w:rPr>
        <w:rFonts w:ascii="Times New Roman" w:eastAsia="Times New Roman" w:hAnsi="Times New Roman" w:cs="Times New Roman"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nsid w:val="4BA07282"/>
    <w:multiLevelType w:val="hybridMultilevel"/>
    <w:tmpl w:val="07FA805C"/>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nsid w:val="4DA31C0E"/>
    <w:multiLevelType w:val="hybridMultilevel"/>
    <w:tmpl w:val="FA08B2E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4DF44C2F"/>
    <w:multiLevelType w:val="hybridMultilevel"/>
    <w:tmpl w:val="62C6B9C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50627912"/>
    <w:multiLevelType w:val="hybridMultilevel"/>
    <w:tmpl w:val="023402DE"/>
    <w:lvl w:ilvl="0" w:tplc="61D4844E">
      <w:start w:val="1"/>
      <w:numFmt w:val="decimal"/>
      <w:lvlText w:val="%1."/>
      <w:lvlJc w:val="left"/>
      <w:pPr>
        <w:ind w:left="1035" w:hanging="360"/>
      </w:pPr>
      <w:rPr>
        <w:rFonts w:hint="default"/>
        <w:b/>
        <w:sz w:val="30"/>
        <w:u w:val="none"/>
      </w:rPr>
    </w:lvl>
    <w:lvl w:ilvl="1" w:tplc="040C0019" w:tentative="1">
      <w:start w:val="1"/>
      <w:numFmt w:val="lowerLetter"/>
      <w:lvlText w:val="%2."/>
      <w:lvlJc w:val="left"/>
      <w:pPr>
        <w:ind w:left="1755" w:hanging="360"/>
      </w:pPr>
    </w:lvl>
    <w:lvl w:ilvl="2" w:tplc="040C001B" w:tentative="1">
      <w:start w:val="1"/>
      <w:numFmt w:val="lowerRoman"/>
      <w:lvlText w:val="%3."/>
      <w:lvlJc w:val="right"/>
      <w:pPr>
        <w:ind w:left="2475" w:hanging="180"/>
      </w:pPr>
    </w:lvl>
    <w:lvl w:ilvl="3" w:tplc="040C000F" w:tentative="1">
      <w:start w:val="1"/>
      <w:numFmt w:val="decimal"/>
      <w:lvlText w:val="%4."/>
      <w:lvlJc w:val="left"/>
      <w:pPr>
        <w:ind w:left="3195" w:hanging="360"/>
      </w:pPr>
    </w:lvl>
    <w:lvl w:ilvl="4" w:tplc="040C0019" w:tentative="1">
      <w:start w:val="1"/>
      <w:numFmt w:val="lowerLetter"/>
      <w:lvlText w:val="%5."/>
      <w:lvlJc w:val="left"/>
      <w:pPr>
        <w:ind w:left="3915" w:hanging="360"/>
      </w:pPr>
    </w:lvl>
    <w:lvl w:ilvl="5" w:tplc="040C001B" w:tentative="1">
      <w:start w:val="1"/>
      <w:numFmt w:val="lowerRoman"/>
      <w:lvlText w:val="%6."/>
      <w:lvlJc w:val="right"/>
      <w:pPr>
        <w:ind w:left="4635" w:hanging="180"/>
      </w:pPr>
    </w:lvl>
    <w:lvl w:ilvl="6" w:tplc="040C000F" w:tentative="1">
      <w:start w:val="1"/>
      <w:numFmt w:val="decimal"/>
      <w:lvlText w:val="%7."/>
      <w:lvlJc w:val="left"/>
      <w:pPr>
        <w:ind w:left="5355" w:hanging="360"/>
      </w:pPr>
    </w:lvl>
    <w:lvl w:ilvl="7" w:tplc="040C0019" w:tentative="1">
      <w:start w:val="1"/>
      <w:numFmt w:val="lowerLetter"/>
      <w:lvlText w:val="%8."/>
      <w:lvlJc w:val="left"/>
      <w:pPr>
        <w:ind w:left="6075" w:hanging="360"/>
      </w:pPr>
    </w:lvl>
    <w:lvl w:ilvl="8" w:tplc="040C001B" w:tentative="1">
      <w:start w:val="1"/>
      <w:numFmt w:val="lowerRoman"/>
      <w:lvlText w:val="%9."/>
      <w:lvlJc w:val="right"/>
      <w:pPr>
        <w:ind w:left="6795" w:hanging="180"/>
      </w:pPr>
    </w:lvl>
  </w:abstractNum>
  <w:abstractNum w:abstractNumId="23">
    <w:nsid w:val="50A4766A"/>
    <w:multiLevelType w:val="hybridMultilevel"/>
    <w:tmpl w:val="1326097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4">
    <w:nsid w:val="51C669C4"/>
    <w:multiLevelType w:val="multilevel"/>
    <w:tmpl w:val="5D32A0A2"/>
    <w:lvl w:ilvl="0">
      <w:start w:val="3"/>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5">
    <w:nsid w:val="521D616A"/>
    <w:multiLevelType w:val="hybridMultilevel"/>
    <w:tmpl w:val="E2E048AC"/>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6">
    <w:nsid w:val="57F50D92"/>
    <w:multiLevelType w:val="multilevel"/>
    <w:tmpl w:val="97726F9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ECB5162"/>
    <w:multiLevelType w:val="multilevel"/>
    <w:tmpl w:val="E598907E"/>
    <w:lvl w:ilvl="0">
      <w:start w:val="3"/>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173526E"/>
    <w:multiLevelType w:val="hybridMultilevel"/>
    <w:tmpl w:val="1FD69A4E"/>
    <w:lvl w:ilvl="0" w:tplc="040C000B">
      <w:start w:val="1"/>
      <w:numFmt w:val="bullet"/>
      <w:lvlText w:val=""/>
      <w:lvlJc w:val="left"/>
      <w:pPr>
        <w:tabs>
          <w:tab w:val="num" w:pos="1440"/>
        </w:tabs>
        <w:ind w:left="1440" w:hanging="360"/>
      </w:pPr>
      <w:rPr>
        <w:rFonts w:ascii="Wingdings" w:hAnsi="Wingding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29">
    <w:nsid w:val="622A3A5B"/>
    <w:multiLevelType w:val="multilevel"/>
    <w:tmpl w:val="E530E6DA"/>
    <w:lvl w:ilvl="0">
      <w:start w:val="2"/>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0">
    <w:nsid w:val="678E78E1"/>
    <w:multiLevelType w:val="hybridMultilevel"/>
    <w:tmpl w:val="9DFE9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7C00586"/>
    <w:multiLevelType w:val="hybridMultilevel"/>
    <w:tmpl w:val="FA96F624"/>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2">
    <w:nsid w:val="686374FD"/>
    <w:multiLevelType w:val="hybridMultilevel"/>
    <w:tmpl w:val="5E8C7B1C"/>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3">
    <w:nsid w:val="6D9532D9"/>
    <w:multiLevelType w:val="hybridMultilevel"/>
    <w:tmpl w:val="FB1AC68A"/>
    <w:lvl w:ilvl="0" w:tplc="040C000F">
      <w:start w:val="1"/>
      <w:numFmt w:val="decimal"/>
      <w:lvlText w:val="%1."/>
      <w:lvlJc w:val="left"/>
      <w:pPr>
        <w:tabs>
          <w:tab w:val="num" w:pos="708"/>
        </w:tabs>
        <w:ind w:left="708" w:hanging="360"/>
      </w:pPr>
    </w:lvl>
    <w:lvl w:ilvl="1" w:tplc="040C0019">
      <w:start w:val="1"/>
      <w:numFmt w:val="lowerLetter"/>
      <w:lvlText w:val="%2."/>
      <w:lvlJc w:val="left"/>
      <w:pPr>
        <w:tabs>
          <w:tab w:val="num" w:pos="1428"/>
        </w:tabs>
        <w:ind w:left="1428" w:hanging="360"/>
      </w:pPr>
    </w:lvl>
    <w:lvl w:ilvl="2" w:tplc="040C001B" w:tentative="1">
      <w:start w:val="1"/>
      <w:numFmt w:val="lowerRoman"/>
      <w:lvlText w:val="%3."/>
      <w:lvlJc w:val="right"/>
      <w:pPr>
        <w:tabs>
          <w:tab w:val="num" w:pos="2148"/>
        </w:tabs>
        <w:ind w:left="2148" w:hanging="180"/>
      </w:pPr>
    </w:lvl>
    <w:lvl w:ilvl="3" w:tplc="040C000F" w:tentative="1">
      <w:start w:val="1"/>
      <w:numFmt w:val="decimal"/>
      <w:lvlText w:val="%4."/>
      <w:lvlJc w:val="left"/>
      <w:pPr>
        <w:tabs>
          <w:tab w:val="num" w:pos="2868"/>
        </w:tabs>
        <w:ind w:left="2868" w:hanging="360"/>
      </w:pPr>
    </w:lvl>
    <w:lvl w:ilvl="4" w:tplc="040C0019" w:tentative="1">
      <w:start w:val="1"/>
      <w:numFmt w:val="lowerLetter"/>
      <w:lvlText w:val="%5."/>
      <w:lvlJc w:val="left"/>
      <w:pPr>
        <w:tabs>
          <w:tab w:val="num" w:pos="3588"/>
        </w:tabs>
        <w:ind w:left="3588" w:hanging="360"/>
      </w:pPr>
    </w:lvl>
    <w:lvl w:ilvl="5" w:tplc="040C001B" w:tentative="1">
      <w:start w:val="1"/>
      <w:numFmt w:val="lowerRoman"/>
      <w:lvlText w:val="%6."/>
      <w:lvlJc w:val="right"/>
      <w:pPr>
        <w:tabs>
          <w:tab w:val="num" w:pos="4308"/>
        </w:tabs>
        <w:ind w:left="4308" w:hanging="180"/>
      </w:pPr>
    </w:lvl>
    <w:lvl w:ilvl="6" w:tplc="040C000F" w:tentative="1">
      <w:start w:val="1"/>
      <w:numFmt w:val="decimal"/>
      <w:lvlText w:val="%7."/>
      <w:lvlJc w:val="left"/>
      <w:pPr>
        <w:tabs>
          <w:tab w:val="num" w:pos="5028"/>
        </w:tabs>
        <w:ind w:left="5028" w:hanging="360"/>
      </w:pPr>
    </w:lvl>
    <w:lvl w:ilvl="7" w:tplc="040C0019" w:tentative="1">
      <w:start w:val="1"/>
      <w:numFmt w:val="lowerLetter"/>
      <w:lvlText w:val="%8."/>
      <w:lvlJc w:val="left"/>
      <w:pPr>
        <w:tabs>
          <w:tab w:val="num" w:pos="5748"/>
        </w:tabs>
        <w:ind w:left="5748" w:hanging="360"/>
      </w:pPr>
    </w:lvl>
    <w:lvl w:ilvl="8" w:tplc="040C001B" w:tentative="1">
      <w:start w:val="1"/>
      <w:numFmt w:val="lowerRoman"/>
      <w:lvlText w:val="%9."/>
      <w:lvlJc w:val="right"/>
      <w:pPr>
        <w:tabs>
          <w:tab w:val="num" w:pos="6468"/>
        </w:tabs>
        <w:ind w:left="6468" w:hanging="180"/>
      </w:pPr>
    </w:lvl>
  </w:abstractNum>
  <w:abstractNum w:abstractNumId="34">
    <w:nsid w:val="6E310CDA"/>
    <w:multiLevelType w:val="multilevel"/>
    <w:tmpl w:val="8054A280"/>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EE6382C"/>
    <w:multiLevelType w:val="hybridMultilevel"/>
    <w:tmpl w:val="7AF6D692"/>
    <w:lvl w:ilvl="0" w:tplc="040C0001">
      <w:start w:val="1"/>
      <w:numFmt w:val="bullet"/>
      <w:lvlText w:val=""/>
      <w:lvlJc w:val="left"/>
      <w:pPr>
        <w:tabs>
          <w:tab w:val="num" w:pos="360"/>
        </w:tabs>
        <w:ind w:left="360" w:hanging="360"/>
      </w:pPr>
      <w:rPr>
        <w:rFonts w:ascii="Symbol" w:hAnsi="Symbol" w:hint="default"/>
      </w:rPr>
    </w:lvl>
    <w:lvl w:ilvl="1" w:tplc="2A161D40">
      <w:start w:val="5"/>
      <w:numFmt w:val="bullet"/>
      <w:lvlText w:val="-"/>
      <w:lvlJc w:val="left"/>
      <w:pPr>
        <w:tabs>
          <w:tab w:val="num" w:pos="1080"/>
        </w:tabs>
        <w:ind w:left="1080" w:hanging="360"/>
      </w:pPr>
      <w:rPr>
        <w:rFonts w:ascii="Times New Roman" w:eastAsia="Times New Roman" w:hAnsi="Times New Roman"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6">
    <w:nsid w:val="6EFC00F9"/>
    <w:multiLevelType w:val="hybridMultilevel"/>
    <w:tmpl w:val="128A9214"/>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37">
    <w:nsid w:val="75D12064"/>
    <w:multiLevelType w:val="hybridMultilevel"/>
    <w:tmpl w:val="CBF615C2"/>
    <w:lvl w:ilvl="0" w:tplc="040C000F">
      <w:start w:val="1"/>
      <w:numFmt w:val="decimal"/>
      <w:lvlText w:val="%1."/>
      <w:lvlJc w:val="left"/>
      <w:pPr>
        <w:tabs>
          <w:tab w:val="num" w:pos="720"/>
        </w:tabs>
        <w:ind w:left="720" w:hanging="360"/>
      </w:pPr>
    </w:lvl>
    <w:lvl w:ilvl="1" w:tplc="2A161D40">
      <w:start w:val="5"/>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nsid w:val="76E62665"/>
    <w:multiLevelType w:val="multilevel"/>
    <w:tmpl w:val="35A212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8A65B43"/>
    <w:multiLevelType w:val="hybridMultilevel"/>
    <w:tmpl w:val="E662E050"/>
    <w:lvl w:ilvl="0" w:tplc="5C2A141C">
      <w:start w:val="1"/>
      <w:numFmt w:val="bullet"/>
      <w:lvlText w:val=""/>
      <w:lvlJc w:val="left"/>
      <w:pPr>
        <w:tabs>
          <w:tab w:val="num" w:pos="1428"/>
        </w:tabs>
        <w:ind w:left="1428"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7B426063"/>
    <w:multiLevelType w:val="hybridMultilevel"/>
    <w:tmpl w:val="D9504CBE"/>
    <w:lvl w:ilvl="0" w:tplc="6DCA5074">
      <w:start w:val="2"/>
      <w:numFmt w:val="bullet"/>
      <w:lvlText w:val="-"/>
      <w:lvlJc w:val="left"/>
      <w:pPr>
        <w:ind w:left="1068" w:hanging="360"/>
      </w:pPr>
      <w:rPr>
        <w:rFonts w:ascii="Book Antiqua" w:eastAsia="Times New Roman" w:hAnsi="Book Antiqua" w:cstheme="maj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1">
    <w:nsid w:val="7BCB6838"/>
    <w:multiLevelType w:val="hybridMultilevel"/>
    <w:tmpl w:val="E5EC13AA"/>
    <w:lvl w:ilvl="0" w:tplc="242E81B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2">
    <w:nsid w:val="7E4D2DDD"/>
    <w:multiLevelType w:val="multilevel"/>
    <w:tmpl w:val="5D32A0A2"/>
    <w:lvl w:ilvl="0">
      <w:start w:val="3"/>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num w:numId="1">
    <w:abstractNumId w:val="19"/>
  </w:num>
  <w:num w:numId="2">
    <w:abstractNumId w:val="35"/>
  </w:num>
  <w:num w:numId="3">
    <w:abstractNumId w:val="12"/>
  </w:num>
  <w:num w:numId="4">
    <w:abstractNumId w:val="0"/>
  </w:num>
  <w:num w:numId="5">
    <w:abstractNumId w:val="39"/>
  </w:num>
  <w:num w:numId="6">
    <w:abstractNumId w:val="2"/>
  </w:num>
  <w:num w:numId="7">
    <w:abstractNumId w:val="33"/>
  </w:num>
  <w:num w:numId="8">
    <w:abstractNumId w:val="37"/>
  </w:num>
  <w:num w:numId="9">
    <w:abstractNumId w:val="15"/>
  </w:num>
  <w:num w:numId="10">
    <w:abstractNumId w:val="31"/>
  </w:num>
  <w:num w:numId="11">
    <w:abstractNumId w:val="36"/>
  </w:num>
  <w:num w:numId="12">
    <w:abstractNumId w:val="1"/>
  </w:num>
  <w:num w:numId="13">
    <w:abstractNumId w:val="5"/>
  </w:num>
  <w:num w:numId="14">
    <w:abstractNumId w:val="28"/>
  </w:num>
  <w:num w:numId="15">
    <w:abstractNumId w:val="23"/>
  </w:num>
  <w:num w:numId="16">
    <w:abstractNumId w:val="7"/>
  </w:num>
  <w:num w:numId="17">
    <w:abstractNumId w:val="26"/>
  </w:num>
  <w:num w:numId="18">
    <w:abstractNumId w:val="20"/>
  </w:num>
  <w:num w:numId="19">
    <w:abstractNumId w:val="13"/>
  </w:num>
  <w:num w:numId="20">
    <w:abstractNumId w:val="25"/>
  </w:num>
  <w:num w:numId="21">
    <w:abstractNumId w:val="18"/>
  </w:num>
  <w:num w:numId="22">
    <w:abstractNumId w:val="10"/>
  </w:num>
  <w:num w:numId="23">
    <w:abstractNumId w:val="11"/>
  </w:num>
  <w:num w:numId="24">
    <w:abstractNumId w:val="21"/>
  </w:num>
  <w:num w:numId="25">
    <w:abstractNumId w:val="16"/>
  </w:num>
  <w:num w:numId="26">
    <w:abstractNumId w:val="29"/>
  </w:num>
  <w:num w:numId="27">
    <w:abstractNumId w:val="42"/>
  </w:num>
  <w:num w:numId="28">
    <w:abstractNumId w:val="24"/>
  </w:num>
  <w:num w:numId="29">
    <w:abstractNumId w:val="40"/>
  </w:num>
  <w:num w:numId="30">
    <w:abstractNumId w:val="41"/>
  </w:num>
  <w:num w:numId="31">
    <w:abstractNumId w:val="6"/>
  </w:num>
  <w:num w:numId="32">
    <w:abstractNumId w:val="8"/>
  </w:num>
  <w:num w:numId="33">
    <w:abstractNumId w:val="30"/>
  </w:num>
  <w:num w:numId="34">
    <w:abstractNumId w:val="22"/>
  </w:num>
  <w:num w:numId="35">
    <w:abstractNumId w:val="17"/>
  </w:num>
  <w:num w:numId="36">
    <w:abstractNumId w:val="4"/>
  </w:num>
  <w:num w:numId="37">
    <w:abstractNumId w:val="32"/>
  </w:num>
  <w:num w:numId="38">
    <w:abstractNumId w:val="14"/>
  </w:num>
  <w:num w:numId="39">
    <w:abstractNumId w:val="27"/>
  </w:num>
  <w:num w:numId="40">
    <w:abstractNumId w:val="34"/>
  </w:num>
  <w:num w:numId="41">
    <w:abstractNumId w:val="9"/>
  </w:num>
  <w:num w:numId="42">
    <w:abstractNumId w:val="38"/>
  </w:num>
  <w:num w:numId="4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stylePaneFormatFilter w:val="3F01"/>
  <w:defaultTabStop w:val="708"/>
  <w:hyphenationZone w:val="425"/>
  <w:characterSpacingControl w:val="doNotCompress"/>
  <w:hdrShapeDefaults>
    <o:shapedefaults v:ext="edit" spidmax="26626"/>
  </w:hdrShapeDefaults>
  <w:footnotePr>
    <w:footnote w:id="0"/>
    <w:footnote w:id="1"/>
  </w:footnotePr>
  <w:endnotePr>
    <w:endnote w:id="0"/>
    <w:endnote w:id="1"/>
  </w:endnotePr>
  <w:compat/>
  <w:rsids>
    <w:rsidRoot w:val="00605B3C"/>
    <w:rsid w:val="00001DCD"/>
    <w:rsid w:val="0000345A"/>
    <w:rsid w:val="00003817"/>
    <w:rsid w:val="00003877"/>
    <w:rsid w:val="00003D85"/>
    <w:rsid w:val="000043CC"/>
    <w:rsid w:val="00006A64"/>
    <w:rsid w:val="0000772D"/>
    <w:rsid w:val="00010D0C"/>
    <w:rsid w:val="00010EC9"/>
    <w:rsid w:val="0001144D"/>
    <w:rsid w:val="000123D3"/>
    <w:rsid w:val="00014468"/>
    <w:rsid w:val="00014A7A"/>
    <w:rsid w:val="000159F8"/>
    <w:rsid w:val="00015A68"/>
    <w:rsid w:val="000161A7"/>
    <w:rsid w:val="00016E0F"/>
    <w:rsid w:val="00017111"/>
    <w:rsid w:val="000178A3"/>
    <w:rsid w:val="00017F2E"/>
    <w:rsid w:val="00020063"/>
    <w:rsid w:val="000213EE"/>
    <w:rsid w:val="00021ADA"/>
    <w:rsid w:val="00021C1C"/>
    <w:rsid w:val="000244DE"/>
    <w:rsid w:val="000247CD"/>
    <w:rsid w:val="0002568A"/>
    <w:rsid w:val="0002765D"/>
    <w:rsid w:val="00027D88"/>
    <w:rsid w:val="00027EED"/>
    <w:rsid w:val="00030116"/>
    <w:rsid w:val="00030A63"/>
    <w:rsid w:val="00030AA2"/>
    <w:rsid w:val="00031FDD"/>
    <w:rsid w:val="00032591"/>
    <w:rsid w:val="00032ACC"/>
    <w:rsid w:val="00032B2C"/>
    <w:rsid w:val="00032F73"/>
    <w:rsid w:val="000339C6"/>
    <w:rsid w:val="00033E6B"/>
    <w:rsid w:val="00035C1E"/>
    <w:rsid w:val="00036EC2"/>
    <w:rsid w:val="000372DD"/>
    <w:rsid w:val="000423A8"/>
    <w:rsid w:val="00042965"/>
    <w:rsid w:val="00042DCF"/>
    <w:rsid w:val="00043526"/>
    <w:rsid w:val="00043EB1"/>
    <w:rsid w:val="00045358"/>
    <w:rsid w:val="0004656B"/>
    <w:rsid w:val="0004659E"/>
    <w:rsid w:val="00046606"/>
    <w:rsid w:val="000468DC"/>
    <w:rsid w:val="00047E67"/>
    <w:rsid w:val="00050BA0"/>
    <w:rsid w:val="000512FF"/>
    <w:rsid w:val="00052413"/>
    <w:rsid w:val="00053CC2"/>
    <w:rsid w:val="000540CC"/>
    <w:rsid w:val="00054251"/>
    <w:rsid w:val="000542B3"/>
    <w:rsid w:val="00054477"/>
    <w:rsid w:val="00056625"/>
    <w:rsid w:val="000604BD"/>
    <w:rsid w:val="00061611"/>
    <w:rsid w:val="00062D51"/>
    <w:rsid w:val="00063CA5"/>
    <w:rsid w:val="0006446E"/>
    <w:rsid w:val="00064922"/>
    <w:rsid w:val="0006498B"/>
    <w:rsid w:val="00064BA6"/>
    <w:rsid w:val="0006562D"/>
    <w:rsid w:val="00065AE0"/>
    <w:rsid w:val="00066192"/>
    <w:rsid w:val="00066A76"/>
    <w:rsid w:val="00067921"/>
    <w:rsid w:val="00067B31"/>
    <w:rsid w:val="00067D66"/>
    <w:rsid w:val="00067F6D"/>
    <w:rsid w:val="000700A4"/>
    <w:rsid w:val="000702F7"/>
    <w:rsid w:val="00071EE4"/>
    <w:rsid w:val="00073C65"/>
    <w:rsid w:val="00074A8F"/>
    <w:rsid w:val="00075017"/>
    <w:rsid w:val="00077F54"/>
    <w:rsid w:val="00080AD9"/>
    <w:rsid w:val="00080E84"/>
    <w:rsid w:val="00083592"/>
    <w:rsid w:val="000841F8"/>
    <w:rsid w:val="00086420"/>
    <w:rsid w:val="00086CD4"/>
    <w:rsid w:val="000910CF"/>
    <w:rsid w:val="000915B7"/>
    <w:rsid w:val="00091C0B"/>
    <w:rsid w:val="00091E98"/>
    <w:rsid w:val="00093C89"/>
    <w:rsid w:val="00093EB0"/>
    <w:rsid w:val="00094349"/>
    <w:rsid w:val="00094853"/>
    <w:rsid w:val="00094BEA"/>
    <w:rsid w:val="00094E5E"/>
    <w:rsid w:val="00095092"/>
    <w:rsid w:val="00095CBB"/>
    <w:rsid w:val="000966B7"/>
    <w:rsid w:val="00096AAD"/>
    <w:rsid w:val="00096D70"/>
    <w:rsid w:val="00097504"/>
    <w:rsid w:val="00097BCD"/>
    <w:rsid w:val="00097E25"/>
    <w:rsid w:val="000A171F"/>
    <w:rsid w:val="000A26ED"/>
    <w:rsid w:val="000A4885"/>
    <w:rsid w:val="000A5D0E"/>
    <w:rsid w:val="000A6E41"/>
    <w:rsid w:val="000A7BC0"/>
    <w:rsid w:val="000B03DB"/>
    <w:rsid w:val="000B072E"/>
    <w:rsid w:val="000B0F6D"/>
    <w:rsid w:val="000B102B"/>
    <w:rsid w:val="000B1A38"/>
    <w:rsid w:val="000B1EF2"/>
    <w:rsid w:val="000B2A42"/>
    <w:rsid w:val="000B3148"/>
    <w:rsid w:val="000B53D9"/>
    <w:rsid w:val="000B597C"/>
    <w:rsid w:val="000B5B45"/>
    <w:rsid w:val="000B5DD7"/>
    <w:rsid w:val="000B5E6A"/>
    <w:rsid w:val="000B7B82"/>
    <w:rsid w:val="000C0057"/>
    <w:rsid w:val="000C230A"/>
    <w:rsid w:val="000C2F9B"/>
    <w:rsid w:val="000C347A"/>
    <w:rsid w:val="000C4D0B"/>
    <w:rsid w:val="000C52D4"/>
    <w:rsid w:val="000C7AB6"/>
    <w:rsid w:val="000C7C36"/>
    <w:rsid w:val="000D03D7"/>
    <w:rsid w:val="000D0EB9"/>
    <w:rsid w:val="000D332F"/>
    <w:rsid w:val="000D44B0"/>
    <w:rsid w:val="000D547E"/>
    <w:rsid w:val="000D54D7"/>
    <w:rsid w:val="000D5C77"/>
    <w:rsid w:val="000D79E2"/>
    <w:rsid w:val="000D7D8F"/>
    <w:rsid w:val="000E49E3"/>
    <w:rsid w:val="000E51BF"/>
    <w:rsid w:val="000E5EF8"/>
    <w:rsid w:val="000E6425"/>
    <w:rsid w:val="000E6E48"/>
    <w:rsid w:val="000F0191"/>
    <w:rsid w:val="000F0D81"/>
    <w:rsid w:val="000F107C"/>
    <w:rsid w:val="000F1725"/>
    <w:rsid w:val="000F2A95"/>
    <w:rsid w:val="000F2D86"/>
    <w:rsid w:val="000F2DDF"/>
    <w:rsid w:val="000F323A"/>
    <w:rsid w:val="000F3F6A"/>
    <w:rsid w:val="000F4384"/>
    <w:rsid w:val="000F43C6"/>
    <w:rsid w:val="000F45DE"/>
    <w:rsid w:val="000F4A3D"/>
    <w:rsid w:val="000F4DB1"/>
    <w:rsid w:val="000F5940"/>
    <w:rsid w:val="0010162E"/>
    <w:rsid w:val="001025D0"/>
    <w:rsid w:val="0010301E"/>
    <w:rsid w:val="00103308"/>
    <w:rsid w:val="00104382"/>
    <w:rsid w:val="00106FD5"/>
    <w:rsid w:val="001072C6"/>
    <w:rsid w:val="0010781F"/>
    <w:rsid w:val="00111343"/>
    <w:rsid w:val="001115AF"/>
    <w:rsid w:val="00111B1A"/>
    <w:rsid w:val="00112305"/>
    <w:rsid w:val="00115109"/>
    <w:rsid w:val="00120709"/>
    <w:rsid w:val="001209DB"/>
    <w:rsid w:val="00121B48"/>
    <w:rsid w:val="00122489"/>
    <w:rsid w:val="00122C93"/>
    <w:rsid w:val="00123057"/>
    <w:rsid w:val="00124056"/>
    <w:rsid w:val="001244F9"/>
    <w:rsid w:val="001258C9"/>
    <w:rsid w:val="0012635A"/>
    <w:rsid w:val="0012716F"/>
    <w:rsid w:val="00127346"/>
    <w:rsid w:val="001274FD"/>
    <w:rsid w:val="00130C6C"/>
    <w:rsid w:val="00132232"/>
    <w:rsid w:val="00132990"/>
    <w:rsid w:val="00132EE1"/>
    <w:rsid w:val="0013302C"/>
    <w:rsid w:val="00133BA4"/>
    <w:rsid w:val="00134F67"/>
    <w:rsid w:val="00135B28"/>
    <w:rsid w:val="00135BE7"/>
    <w:rsid w:val="00136F2D"/>
    <w:rsid w:val="0014137B"/>
    <w:rsid w:val="0014139A"/>
    <w:rsid w:val="00141DB3"/>
    <w:rsid w:val="001426DE"/>
    <w:rsid w:val="0014366A"/>
    <w:rsid w:val="00143DFD"/>
    <w:rsid w:val="00143E1F"/>
    <w:rsid w:val="00143F9D"/>
    <w:rsid w:val="001445B7"/>
    <w:rsid w:val="00144B54"/>
    <w:rsid w:val="00144BE6"/>
    <w:rsid w:val="0014549D"/>
    <w:rsid w:val="001456B5"/>
    <w:rsid w:val="00145899"/>
    <w:rsid w:val="0014767A"/>
    <w:rsid w:val="001500E1"/>
    <w:rsid w:val="00150E84"/>
    <w:rsid w:val="00150E8C"/>
    <w:rsid w:val="0015105D"/>
    <w:rsid w:val="0015122B"/>
    <w:rsid w:val="00151627"/>
    <w:rsid w:val="001526B7"/>
    <w:rsid w:val="00153698"/>
    <w:rsid w:val="00154075"/>
    <w:rsid w:val="0015454D"/>
    <w:rsid w:val="0015475A"/>
    <w:rsid w:val="00155F4D"/>
    <w:rsid w:val="001574AD"/>
    <w:rsid w:val="00160078"/>
    <w:rsid w:val="00160C3E"/>
    <w:rsid w:val="0016182C"/>
    <w:rsid w:val="00162937"/>
    <w:rsid w:val="00162F1D"/>
    <w:rsid w:val="001632FC"/>
    <w:rsid w:val="00163959"/>
    <w:rsid w:val="00163BBA"/>
    <w:rsid w:val="00164A0B"/>
    <w:rsid w:val="001661D3"/>
    <w:rsid w:val="001666E6"/>
    <w:rsid w:val="00166A9B"/>
    <w:rsid w:val="00166D06"/>
    <w:rsid w:val="001679C8"/>
    <w:rsid w:val="00170199"/>
    <w:rsid w:val="00170A7D"/>
    <w:rsid w:val="00170CD9"/>
    <w:rsid w:val="00170CEB"/>
    <w:rsid w:val="00170F5B"/>
    <w:rsid w:val="00171064"/>
    <w:rsid w:val="0017254F"/>
    <w:rsid w:val="0017284A"/>
    <w:rsid w:val="00172D73"/>
    <w:rsid w:val="00173B1E"/>
    <w:rsid w:val="00173D36"/>
    <w:rsid w:val="00173D41"/>
    <w:rsid w:val="0017442B"/>
    <w:rsid w:val="00177284"/>
    <w:rsid w:val="001777B5"/>
    <w:rsid w:val="00177E6E"/>
    <w:rsid w:val="00180391"/>
    <w:rsid w:val="00181D31"/>
    <w:rsid w:val="001830BE"/>
    <w:rsid w:val="001837AA"/>
    <w:rsid w:val="00183E42"/>
    <w:rsid w:val="001849FC"/>
    <w:rsid w:val="00186A49"/>
    <w:rsid w:val="00187AAE"/>
    <w:rsid w:val="00190151"/>
    <w:rsid w:val="001910C8"/>
    <w:rsid w:val="00192310"/>
    <w:rsid w:val="001923B3"/>
    <w:rsid w:val="00192B6F"/>
    <w:rsid w:val="00193CBC"/>
    <w:rsid w:val="0019609F"/>
    <w:rsid w:val="00196752"/>
    <w:rsid w:val="001971CE"/>
    <w:rsid w:val="001973FE"/>
    <w:rsid w:val="0019774F"/>
    <w:rsid w:val="0019775A"/>
    <w:rsid w:val="001A01E4"/>
    <w:rsid w:val="001A0D10"/>
    <w:rsid w:val="001A10A3"/>
    <w:rsid w:val="001A1BB9"/>
    <w:rsid w:val="001A1ECA"/>
    <w:rsid w:val="001A242C"/>
    <w:rsid w:val="001A2820"/>
    <w:rsid w:val="001A2924"/>
    <w:rsid w:val="001A4A8B"/>
    <w:rsid w:val="001A61E6"/>
    <w:rsid w:val="001A7F5A"/>
    <w:rsid w:val="001B011E"/>
    <w:rsid w:val="001B10B9"/>
    <w:rsid w:val="001B2301"/>
    <w:rsid w:val="001B26F5"/>
    <w:rsid w:val="001B3441"/>
    <w:rsid w:val="001B38AA"/>
    <w:rsid w:val="001B3A91"/>
    <w:rsid w:val="001B4499"/>
    <w:rsid w:val="001B6346"/>
    <w:rsid w:val="001B66D3"/>
    <w:rsid w:val="001B6CFE"/>
    <w:rsid w:val="001B7992"/>
    <w:rsid w:val="001C00A6"/>
    <w:rsid w:val="001C1BEC"/>
    <w:rsid w:val="001C1F93"/>
    <w:rsid w:val="001C2310"/>
    <w:rsid w:val="001C4347"/>
    <w:rsid w:val="001C44D1"/>
    <w:rsid w:val="001C49FC"/>
    <w:rsid w:val="001C53F5"/>
    <w:rsid w:val="001C5D77"/>
    <w:rsid w:val="001C611F"/>
    <w:rsid w:val="001C6898"/>
    <w:rsid w:val="001C68C2"/>
    <w:rsid w:val="001C6C6D"/>
    <w:rsid w:val="001C7148"/>
    <w:rsid w:val="001D000C"/>
    <w:rsid w:val="001D066D"/>
    <w:rsid w:val="001D099D"/>
    <w:rsid w:val="001D0B1B"/>
    <w:rsid w:val="001D15BF"/>
    <w:rsid w:val="001D2068"/>
    <w:rsid w:val="001D4286"/>
    <w:rsid w:val="001D48BA"/>
    <w:rsid w:val="001D4A53"/>
    <w:rsid w:val="001D5206"/>
    <w:rsid w:val="001D531A"/>
    <w:rsid w:val="001D53C2"/>
    <w:rsid w:val="001D6097"/>
    <w:rsid w:val="001D719B"/>
    <w:rsid w:val="001E05C0"/>
    <w:rsid w:val="001E247A"/>
    <w:rsid w:val="001E2D15"/>
    <w:rsid w:val="001E34F2"/>
    <w:rsid w:val="001E4C29"/>
    <w:rsid w:val="001E4FFF"/>
    <w:rsid w:val="001E53AF"/>
    <w:rsid w:val="001E5505"/>
    <w:rsid w:val="001E561D"/>
    <w:rsid w:val="001E5650"/>
    <w:rsid w:val="001E621B"/>
    <w:rsid w:val="001E709D"/>
    <w:rsid w:val="001E716C"/>
    <w:rsid w:val="001F04A9"/>
    <w:rsid w:val="001F0A56"/>
    <w:rsid w:val="001F0A63"/>
    <w:rsid w:val="001F0B1E"/>
    <w:rsid w:val="001F0C5B"/>
    <w:rsid w:val="001F2E40"/>
    <w:rsid w:val="001F308F"/>
    <w:rsid w:val="001F30DC"/>
    <w:rsid w:val="001F350C"/>
    <w:rsid w:val="001F3E18"/>
    <w:rsid w:val="001F4726"/>
    <w:rsid w:val="001F482B"/>
    <w:rsid w:val="001F5104"/>
    <w:rsid w:val="001F58E8"/>
    <w:rsid w:val="001F72F9"/>
    <w:rsid w:val="001F7E94"/>
    <w:rsid w:val="002016EA"/>
    <w:rsid w:val="002017E8"/>
    <w:rsid w:val="002027BF"/>
    <w:rsid w:val="00204014"/>
    <w:rsid w:val="002040B1"/>
    <w:rsid w:val="00204A93"/>
    <w:rsid w:val="00205C78"/>
    <w:rsid w:val="002079F3"/>
    <w:rsid w:val="002106AB"/>
    <w:rsid w:val="0021128E"/>
    <w:rsid w:val="0021136D"/>
    <w:rsid w:val="00212391"/>
    <w:rsid w:val="002134BC"/>
    <w:rsid w:val="00214C2C"/>
    <w:rsid w:val="002155D4"/>
    <w:rsid w:val="002168A4"/>
    <w:rsid w:val="002169FD"/>
    <w:rsid w:val="0021792F"/>
    <w:rsid w:val="0022029C"/>
    <w:rsid w:val="00220E50"/>
    <w:rsid w:val="00221E8C"/>
    <w:rsid w:val="002220D0"/>
    <w:rsid w:val="002221F5"/>
    <w:rsid w:val="002235F7"/>
    <w:rsid w:val="002238E0"/>
    <w:rsid w:val="00223E34"/>
    <w:rsid w:val="00223E7B"/>
    <w:rsid w:val="002243A3"/>
    <w:rsid w:val="00225154"/>
    <w:rsid w:val="00225DC9"/>
    <w:rsid w:val="00226710"/>
    <w:rsid w:val="00226A4B"/>
    <w:rsid w:val="00226B5C"/>
    <w:rsid w:val="0023094A"/>
    <w:rsid w:val="00230B96"/>
    <w:rsid w:val="00230C52"/>
    <w:rsid w:val="002318DF"/>
    <w:rsid w:val="00231B41"/>
    <w:rsid w:val="00231E99"/>
    <w:rsid w:val="002321E3"/>
    <w:rsid w:val="0023314F"/>
    <w:rsid w:val="0023382A"/>
    <w:rsid w:val="002339FC"/>
    <w:rsid w:val="002340AB"/>
    <w:rsid w:val="00235223"/>
    <w:rsid w:val="00235EB6"/>
    <w:rsid w:val="0023693D"/>
    <w:rsid w:val="002374C5"/>
    <w:rsid w:val="00237B63"/>
    <w:rsid w:val="00237C11"/>
    <w:rsid w:val="00240456"/>
    <w:rsid w:val="002405FD"/>
    <w:rsid w:val="00240F32"/>
    <w:rsid w:val="00242837"/>
    <w:rsid w:val="00243103"/>
    <w:rsid w:val="00243C40"/>
    <w:rsid w:val="00245A9F"/>
    <w:rsid w:val="00245D05"/>
    <w:rsid w:val="00245E51"/>
    <w:rsid w:val="002464CF"/>
    <w:rsid w:val="00247841"/>
    <w:rsid w:val="00247971"/>
    <w:rsid w:val="00250283"/>
    <w:rsid w:val="00250DE8"/>
    <w:rsid w:val="00251266"/>
    <w:rsid w:val="002514E2"/>
    <w:rsid w:val="00251624"/>
    <w:rsid w:val="0025231F"/>
    <w:rsid w:val="002534C1"/>
    <w:rsid w:val="0025396B"/>
    <w:rsid w:val="0025400F"/>
    <w:rsid w:val="00254F18"/>
    <w:rsid w:val="0025569E"/>
    <w:rsid w:val="0025640B"/>
    <w:rsid w:val="00256901"/>
    <w:rsid w:val="00256F6A"/>
    <w:rsid w:val="00261094"/>
    <w:rsid w:val="00261265"/>
    <w:rsid w:val="00261281"/>
    <w:rsid w:val="0026232E"/>
    <w:rsid w:val="00262CFF"/>
    <w:rsid w:val="00262E69"/>
    <w:rsid w:val="0026335D"/>
    <w:rsid w:val="002634DA"/>
    <w:rsid w:val="00263620"/>
    <w:rsid w:val="00263AC6"/>
    <w:rsid w:val="00264BF9"/>
    <w:rsid w:val="00266390"/>
    <w:rsid w:val="00266D5C"/>
    <w:rsid w:val="00267023"/>
    <w:rsid w:val="00267282"/>
    <w:rsid w:val="00267DA4"/>
    <w:rsid w:val="00267EE5"/>
    <w:rsid w:val="00270A36"/>
    <w:rsid w:val="00270B9D"/>
    <w:rsid w:val="00271A33"/>
    <w:rsid w:val="0027393D"/>
    <w:rsid w:val="00275246"/>
    <w:rsid w:val="00277EE9"/>
    <w:rsid w:val="0028056A"/>
    <w:rsid w:val="00280A26"/>
    <w:rsid w:val="00283186"/>
    <w:rsid w:val="0028662E"/>
    <w:rsid w:val="00287583"/>
    <w:rsid w:val="00291155"/>
    <w:rsid w:val="00291167"/>
    <w:rsid w:val="002943A8"/>
    <w:rsid w:val="002944B4"/>
    <w:rsid w:val="002945A4"/>
    <w:rsid w:val="00294740"/>
    <w:rsid w:val="002952E6"/>
    <w:rsid w:val="0029572E"/>
    <w:rsid w:val="002957FE"/>
    <w:rsid w:val="0029586F"/>
    <w:rsid w:val="00295C0D"/>
    <w:rsid w:val="00296310"/>
    <w:rsid w:val="002964BC"/>
    <w:rsid w:val="00297604"/>
    <w:rsid w:val="00297F2F"/>
    <w:rsid w:val="002A196E"/>
    <w:rsid w:val="002A251D"/>
    <w:rsid w:val="002A281D"/>
    <w:rsid w:val="002A6A34"/>
    <w:rsid w:val="002B06CF"/>
    <w:rsid w:val="002B167D"/>
    <w:rsid w:val="002B1B44"/>
    <w:rsid w:val="002B289E"/>
    <w:rsid w:val="002B3CDD"/>
    <w:rsid w:val="002B4C8E"/>
    <w:rsid w:val="002B4D70"/>
    <w:rsid w:val="002B62FC"/>
    <w:rsid w:val="002B66D5"/>
    <w:rsid w:val="002B6AEE"/>
    <w:rsid w:val="002B6D29"/>
    <w:rsid w:val="002B76D3"/>
    <w:rsid w:val="002B7A9F"/>
    <w:rsid w:val="002B7F21"/>
    <w:rsid w:val="002C0AB2"/>
    <w:rsid w:val="002C1E7C"/>
    <w:rsid w:val="002C33A8"/>
    <w:rsid w:val="002C3B1A"/>
    <w:rsid w:val="002C3F69"/>
    <w:rsid w:val="002C53A2"/>
    <w:rsid w:val="002C59E7"/>
    <w:rsid w:val="002C61E3"/>
    <w:rsid w:val="002C66BE"/>
    <w:rsid w:val="002C66E5"/>
    <w:rsid w:val="002C7256"/>
    <w:rsid w:val="002C788B"/>
    <w:rsid w:val="002C7A2E"/>
    <w:rsid w:val="002D2A02"/>
    <w:rsid w:val="002D2BAC"/>
    <w:rsid w:val="002D31DD"/>
    <w:rsid w:val="002D31F5"/>
    <w:rsid w:val="002D3916"/>
    <w:rsid w:val="002D3B4B"/>
    <w:rsid w:val="002D4FFD"/>
    <w:rsid w:val="002D68FE"/>
    <w:rsid w:val="002E07C3"/>
    <w:rsid w:val="002E1C2A"/>
    <w:rsid w:val="002E22F4"/>
    <w:rsid w:val="002E28FA"/>
    <w:rsid w:val="002E2ABC"/>
    <w:rsid w:val="002E3106"/>
    <w:rsid w:val="002E3439"/>
    <w:rsid w:val="002E43C3"/>
    <w:rsid w:val="002E44B9"/>
    <w:rsid w:val="002E5037"/>
    <w:rsid w:val="002E5EFA"/>
    <w:rsid w:val="002E66AC"/>
    <w:rsid w:val="002E7C89"/>
    <w:rsid w:val="002E7D62"/>
    <w:rsid w:val="002F1E3E"/>
    <w:rsid w:val="002F20E7"/>
    <w:rsid w:val="002F210C"/>
    <w:rsid w:val="002F35B6"/>
    <w:rsid w:val="002F3B4C"/>
    <w:rsid w:val="002F548A"/>
    <w:rsid w:val="002F7BDC"/>
    <w:rsid w:val="002F7CC1"/>
    <w:rsid w:val="002F7E3A"/>
    <w:rsid w:val="002F7E9B"/>
    <w:rsid w:val="003020EC"/>
    <w:rsid w:val="003027AC"/>
    <w:rsid w:val="00302ABE"/>
    <w:rsid w:val="0030328C"/>
    <w:rsid w:val="003036A2"/>
    <w:rsid w:val="003037E3"/>
    <w:rsid w:val="00303FD8"/>
    <w:rsid w:val="00303FDA"/>
    <w:rsid w:val="00304CB8"/>
    <w:rsid w:val="00304DE0"/>
    <w:rsid w:val="0030653E"/>
    <w:rsid w:val="003065CC"/>
    <w:rsid w:val="00306A05"/>
    <w:rsid w:val="00306B6C"/>
    <w:rsid w:val="003105E1"/>
    <w:rsid w:val="00310933"/>
    <w:rsid w:val="00311243"/>
    <w:rsid w:val="00311B31"/>
    <w:rsid w:val="00311FD0"/>
    <w:rsid w:val="00313BBD"/>
    <w:rsid w:val="00313DBA"/>
    <w:rsid w:val="00315113"/>
    <w:rsid w:val="00316CDA"/>
    <w:rsid w:val="00317310"/>
    <w:rsid w:val="00317E4B"/>
    <w:rsid w:val="00320ECB"/>
    <w:rsid w:val="0032164F"/>
    <w:rsid w:val="0032244F"/>
    <w:rsid w:val="00322C6F"/>
    <w:rsid w:val="00322D97"/>
    <w:rsid w:val="00324940"/>
    <w:rsid w:val="00324F79"/>
    <w:rsid w:val="00325B55"/>
    <w:rsid w:val="00326AB2"/>
    <w:rsid w:val="00327B0F"/>
    <w:rsid w:val="003320D4"/>
    <w:rsid w:val="00333980"/>
    <w:rsid w:val="00334A94"/>
    <w:rsid w:val="00340FF7"/>
    <w:rsid w:val="0034132B"/>
    <w:rsid w:val="003423D4"/>
    <w:rsid w:val="00343E43"/>
    <w:rsid w:val="0034462C"/>
    <w:rsid w:val="00344993"/>
    <w:rsid w:val="00345368"/>
    <w:rsid w:val="003453F6"/>
    <w:rsid w:val="0034673C"/>
    <w:rsid w:val="00350C6A"/>
    <w:rsid w:val="00350FFD"/>
    <w:rsid w:val="00351611"/>
    <w:rsid w:val="003519B9"/>
    <w:rsid w:val="00351CEB"/>
    <w:rsid w:val="003541E7"/>
    <w:rsid w:val="003555E1"/>
    <w:rsid w:val="00356C6C"/>
    <w:rsid w:val="00357469"/>
    <w:rsid w:val="00357896"/>
    <w:rsid w:val="00357A78"/>
    <w:rsid w:val="00360AB6"/>
    <w:rsid w:val="00360D6F"/>
    <w:rsid w:val="00360F19"/>
    <w:rsid w:val="003616B0"/>
    <w:rsid w:val="00362082"/>
    <w:rsid w:val="00363EEF"/>
    <w:rsid w:val="00364726"/>
    <w:rsid w:val="00364AEB"/>
    <w:rsid w:val="00364C7D"/>
    <w:rsid w:val="003651CC"/>
    <w:rsid w:val="00367161"/>
    <w:rsid w:val="003673EF"/>
    <w:rsid w:val="00367900"/>
    <w:rsid w:val="0037153A"/>
    <w:rsid w:val="00371692"/>
    <w:rsid w:val="00372100"/>
    <w:rsid w:val="003735B2"/>
    <w:rsid w:val="0037626D"/>
    <w:rsid w:val="0037727A"/>
    <w:rsid w:val="00377823"/>
    <w:rsid w:val="00380359"/>
    <w:rsid w:val="00380606"/>
    <w:rsid w:val="00381643"/>
    <w:rsid w:val="003817B4"/>
    <w:rsid w:val="00381F75"/>
    <w:rsid w:val="00381FB3"/>
    <w:rsid w:val="0038218C"/>
    <w:rsid w:val="00383EA8"/>
    <w:rsid w:val="00385557"/>
    <w:rsid w:val="003863C4"/>
    <w:rsid w:val="00386503"/>
    <w:rsid w:val="00386770"/>
    <w:rsid w:val="00386D0C"/>
    <w:rsid w:val="00387D5C"/>
    <w:rsid w:val="003901B4"/>
    <w:rsid w:val="00390285"/>
    <w:rsid w:val="003927B3"/>
    <w:rsid w:val="00393B41"/>
    <w:rsid w:val="00394F47"/>
    <w:rsid w:val="00395611"/>
    <w:rsid w:val="0039591F"/>
    <w:rsid w:val="00395967"/>
    <w:rsid w:val="0039603B"/>
    <w:rsid w:val="003966F2"/>
    <w:rsid w:val="00397118"/>
    <w:rsid w:val="003A00C9"/>
    <w:rsid w:val="003A130A"/>
    <w:rsid w:val="003A1A34"/>
    <w:rsid w:val="003A1F5D"/>
    <w:rsid w:val="003A3150"/>
    <w:rsid w:val="003A40AD"/>
    <w:rsid w:val="003A4638"/>
    <w:rsid w:val="003A5118"/>
    <w:rsid w:val="003A5ED9"/>
    <w:rsid w:val="003A5F0B"/>
    <w:rsid w:val="003A784E"/>
    <w:rsid w:val="003A7EC0"/>
    <w:rsid w:val="003B0051"/>
    <w:rsid w:val="003B0ED9"/>
    <w:rsid w:val="003B24C0"/>
    <w:rsid w:val="003B259C"/>
    <w:rsid w:val="003B50D0"/>
    <w:rsid w:val="003B5290"/>
    <w:rsid w:val="003B5B6A"/>
    <w:rsid w:val="003B5CBE"/>
    <w:rsid w:val="003B6ADF"/>
    <w:rsid w:val="003B6FC8"/>
    <w:rsid w:val="003B6FF6"/>
    <w:rsid w:val="003C00A6"/>
    <w:rsid w:val="003C0FC0"/>
    <w:rsid w:val="003C172B"/>
    <w:rsid w:val="003C1BA1"/>
    <w:rsid w:val="003C22AA"/>
    <w:rsid w:val="003C411E"/>
    <w:rsid w:val="003C4879"/>
    <w:rsid w:val="003C4982"/>
    <w:rsid w:val="003C5920"/>
    <w:rsid w:val="003D0A43"/>
    <w:rsid w:val="003D209A"/>
    <w:rsid w:val="003D2182"/>
    <w:rsid w:val="003D2E03"/>
    <w:rsid w:val="003D3198"/>
    <w:rsid w:val="003D3822"/>
    <w:rsid w:val="003D4F7E"/>
    <w:rsid w:val="003D5589"/>
    <w:rsid w:val="003D5F51"/>
    <w:rsid w:val="003D635D"/>
    <w:rsid w:val="003D638C"/>
    <w:rsid w:val="003D6CFE"/>
    <w:rsid w:val="003D6E05"/>
    <w:rsid w:val="003E00FF"/>
    <w:rsid w:val="003E13E7"/>
    <w:rsid w:val="003E1DF2"/>
    <w:rsid w:val="003E2CEB"/>
    <w:rsid w:val="003E329F"/>
    <w:rsid w:val="003E569D"/>
    <w:rsid w:val="003F0015"/>
    <w:rsid w:val="003F01AC"/>
    <w:rsid w:val="003F251C"/>
    <w:rsid w:val="003F298D"/>
    <w:rsid w:val="003F567C"/>
    <w:rsid w:val="003F669D"/>
    <w:rsid w:val="003F68B0"/>
    <w:rsid w:val="003F6EBD"/>
    <w:rsid w:val="0040132A"/>
    <w:rsid w:val="00401683"/>
    <w:rsid w:val="00401F69"/>
    <w:rsid w:val="004024AF"/>
    <w:rsid w:val="00402A9C"/>
    <w:rsid w:val="004037C4"/>
    <w:rsid w:val="00403807"/>
    <w:rsid w:val="004042E0"/>
    <w:rsid w:val="00406097"/>
    <w:rsid w:val="00406EE0"/>
    <w:rsid w:val="00407C56"/>
    <w:rsid w:val="00410093"/>
    <w:rsid w:val="004115A3"/>
    <w:rsid w:val="00412495"/>
    <w:rsid w:val="00412A84"/>
    <w:rsid w:val="00413A87"/>
    <w:rsid w:val="00413DE1"/>
    <w:rsid w:val="00415779"/>
    <w:rsid w:val="00415D38"/>
    <w:rsid w:val="00415E97"/>
    <w:rsid w:val="00416445"/>
    <w:rsid w:val="00416721"/>
    <w:rsid w:val="00417501"/>
    <w:rsid w:val="0041795F"/>
    <w:rsid w:val="00417E58"/>
    <w:rsid w:val="00417FF1"/>
    <w:rsid w:val="004202F7"/>
    <w:rsid w:val="00420359"/>
    <w:rsid w:val="00420DB8"/>
    <w:rsid w:val="004211EA"/>
    <w:rsid w:val="00421304"/>
    <w:rsid w:val="004213DA"/>
    <w:rsid w:val="00421CAC"/>
    <w:rsid w:val="0042499C"/>
    <w:rsid w:val="004257A8"/>
    <w:rsid w:val="00425DEA"/>
    <w:rsid w:val="00425E1E"/>
    <w:rsid w:val="004276BA"/>
    <w:rsid w:val="0043159B"/>
    <w:rsid w:val="00431917"/>
    <w:rsid w:val="0043234A"/>
    <w:rsid w:val="00432978"/>
    <w:rsid w:val="00433253"/>
    <w:rsid w:val="00433647"/>
    <w:rsid w:val="00433E9C"/>
    <w:rsid w:val="00434D43"/>
    <w:rsid w:val="00435A8B"/>
    <w:rsid w:val="00435B74"/>
    <w:rsid w:val="004365A8"/>
    <w:rsid w:val="004377DF"/>
    <w:rsid w:val="00437B6E"/>
    <w:rsid w:val="004430AF"/>
    <w:rsid w:val="00444079"/>
    <w:rsid w:val="004441EC"/>
    <w:rsid w:val="00444F65"/>
    <w:rsid w:val="00444F94"/>
    <w:rsid w:val="004465E0"/>
    <w:rsid w:val="00446DF1"/>
    <w:rsid w:val="004475ED"/>
    <w:rsid w:val="00450351"/>
    <w:rsid w:val="004517ED"/>
    <w:rsid w:val="00451EFE"/>
    <w:rsid w:val="004522E9"/>
    <w:rsid w:val="00453975"/>
    <w:rsid w:val="00453E99"/>
    <w:rsid w:val="00453F2A"/>
    <w:rsid w:val="00454A26"/>
    <w:rsid w:val="00455A2C"/>
    <w:rsid w:val="00455B78"/>
    <w:rsid w:val="00455FF4"/>
    <w:rsid w:val="004560AA"/>
    <w:rsid w:val="00457BAE"/>
    <w:rsid w:val="00457F5C"/>
    <w:rsid w:val="00460B89"/>
    <w:rsid w:val="00461BAD"/>
    <w:rsid w:val="00462FA0"/>
    <w:rsid w:val="00463189"/>
    <w:rsid w:val="0046629E"/>
    <w:rsid w:val="00466D7B"/>
    <w:rsid w:val="00470E30"/>
    <w:rsid w:val="00471B41"/>
    <w:rsid w:val="00471D9E"/>
    <w:rsid w:val="004721F7"/>
    <w:rsid w:val="00473AC6"/>
    <w:rsid w:val="00473DAB"/>
    <w:rsid w:val="00474A93"/>
    <w:rsid w:val="00475932"/>
    <w:rsid w:val="00475B80"/>
    <w:rsid w:val="00476679"/>
    <w:rsid w:val="00476D46"/>
    <w:rsid w:val="00476DE3"/>
    <w:rsid w:val="00477B5C"/>
    <w:rsid w:val="0048106C"/>
    <w:rsid w:val="00481892"/>
    <w:rsid w:val="00481975"/>
    <w:rsid w:val="004830DF"/>
    <w:rsid w:val="004842B0"/>
    <w:rsid w:val="00484AA9"/>
    <w:rsid w:val="0048529E"/>
    <w:rsid w:val="00487070"/>
    <w:rsid w:val="00487228"/>
    <w:rsid w:val="00491770"/>
    <w:rsid w:val="00492080"/>
    <w:rsid w:val="00492D5F"/>
    <w:rsid w:val="004935D4"/>
    <w:rsid w:val="00493FCE"/>
    <w:rsid w:val="00494609"/>
    <w:rsid w:val="00494F1C"/>
    <w:rsid w:val="0049509B"/>
    <w:rsid w:val="0049734E"/>
    <w:rsid w:val="0049752F"/>
    <w:rsid w:val="00497CDD"/>
    <w:rsid w:val="004A0871"/>
    <w:rsid w:val="004A0C05"/>
    <w:rsid w:val="004A140C"/>
    <w:rsid w:val="004A1662"/>
    <w:rsid w:val="004A238A"/>
    <w:rsid w:val="004A24E4"/>
    <w:rsid w:val="004A390B"/>
    <w:rsid w:val="004A6D23"/>
    <w:rsid w:val="004A771F"/>
    <w:rsid w:val="004B0BAE"/>
    <w:rsid w:val="004B16DF"/>
    <w:rsid w:val="004B30E1"/>
    <w:rsid w:val="004B47E6"/>
    <w:rsid w:val="004B4FD1"/>
    <w:rsid w:val="004B6B03"/>
    <w:rsid w:val="004B7FAC"/>
    <w:rsid w:val="004C1098"/>
    <w:rsid w:val="004C1830"/>
    <w:rsid w:val="004C2CC3"/>
    <w:rsid w:val="004C3036"/>
    <w:rsid w:val="004C3412"/>
    <w:rsid w:val="004C38F8"/>
    <w:rsid w:val="004C3EC7"/>
    <w:rsid w:val="004C51C4"/>
    <w:rsid w:val="004C65FD"/>
    <w:rsid w:val="004C6C3A"/>
    <w:rsid w:val="004C7720"/>
    <w:rsid w:val="004D0193"/>
    <w:rsid w:val="004D13E1"/>
    <w:rsid w:val="004D3C1E"/>
    <w:rsid w:val="004D48B3"/>
    <w:rsid w:val="004D6142"/>
    <w:rsid w:val="004D7615"/>
    <w:rsid w:val="004D7C6A"/>
    <w:rsid w:val="004D7D68"/>
    <w:rsid w:val="004E14F9"/>
    <w:rsid w:val="004E2321"/>
    <w:rsid w:val="004E2490"/>
    <w:rsid w:val="004E5B98"/>
    <w:rsid w:val="004E60BB"/>
    <w:rsid w:val="004E79FD"/>
    <w:rsid w:val="004F00CC"/>
    <w:rsid w:val="004F0141"/>
    <w:rsid w:val="004F1213"/>
    <w:rsid w:val="004F2110"/>
    <w:rsid w:val="004F25ED"/>
    <w:rsid w:val="004F28A5"/>
    <w:rsid w:val="004F2DC8"/>
    <w:rsid w:val="004F50A4"/>
    <w:rsid w:val="004F5C04"/>
    <w:rsid w:val="004F6E1A"/>
    <w:rsid w:val="004F72DC"/>
    <w:rsid w:val="004F7368"/>
    <w:rsid w:val="004F7713"/>
    <w:rsid w:val="004F7B93"/>
    <w:rsid w:val="005007E1"/>
    <w:rsid w:val="005033C0"/>
    <w:rsid w:val="0050445E"/>
    <w:rsid w:val="0050572E"/>
    <w:rsid w:val="005059C8"/>
    <w:rsid w:val="0050736D"/>
    <w:rsid w:val="00507FC9"/>
    <w:rsid w:val="00511CDE"/>
    <w:rsid w:val="00511E80"/>
    <w:rsid w:val="00513AF1"/>
    <w:rsid w:val="00513F99"/>
    <w:rsid w:val="005146C5"/>
    <w:rsid w:val="00514F2C"/>
    <w:rsid w:val="00515CC4"/>
    <w:rsid w:val="00517BB9"/>
    <w:rsid w:val="005201B5"/>
    <w:rsid w:val="0052057A"/>
    <w:rsid w:val="005207A4"/>
    <w:rsid w:val="00520E6C"/>
    <w:rsid w:val="00521097"/>
    <w:rsid w:val="0052189A"/>
    <w:rsid w:val="00521C22"/>
    <w:rsid w:val="005224DD"/>
    <w:rsid w:val="005231B4"/>
    <w:rsid w:val="00523365"/>
    <w:rsid w:val="00524208"/>
    <w:rsid w:val="00524622"/>
    <w:rsid w:val="0052462F"/>
    <w:rsid w:val="00525123"/>
    <w:rsid w:val="00525377"/>
    <w:rsid w:val="005256D2"/>
    <w:rsid w:val="00525A9A"/>
    <w:rsid w:val="00526207"/>
    <w:rsid w:val="005267E0"/>
    <w:rsid w:val="00527E22"/>
    <w:rsid w:val="00530F0A"/>
    <w:rsid w:val="00531D65"/>
    <w:rsid w:val="00532B69"/>
    <w:rsid w:val="00532FDE"/>
    <w:rsid w:val="00533BDC"/>
    <w:rsid w:val="005356AD"/>
    <w:rsid w:val="00535829"/>
    <w:rsid w:val="00535CE6"/>
    <w:rsid w:val="005365F3"/>
    <w:rsid w:val="00536C37"/>
    <w:rsid w:val="00536F06"/>
    <w:rsid w:val="0053789D"/>
    <w:rsid w:val="00540825"/>
    <w:rsid w:val="00542B53"/>
    <w:rsid w:val="00544497"/>
    <w:rsid w:val="005454CB"/>
    <w:rsid w:val="00546C1F"/>
    <w:rsid w:val="005518A7"/>
    <w:rsid w:val="00551D0B"/>
    <w:rsid w:val="00552D5F"/>
    <w:rsid w:val="0055570D"/>
    <w:rsid w:val="00555DEA"/>
    <w:rsid w:val="005561CD"/>
    <w:rsid w:val="005572A4"/>
    <w:rsid w:val="005576CF"/>
    <w:rsid w:val="00562724"/>
    <w:rsid w:val="00562E9A"/>
    <w:rsid w:val="00563182"/>
    <w:rsid w:val="00563EAD"/>
    <w:rsid w:val="005651B0"/>
    <w:rsid w:val="005659DF"/>
    <w:rsid w:val="00571545"/>
    <w:rsid w:val="00571579"/>
    <w:rsid w:val="00573DF7"/>
    <w:rsid w:val="0057424A"/>
    <w:rsid w:val="005747A1"/>
    <w:rsid w:val="00575B69"/>
    <w:rsid w:val="00577BF4"/>
    <w:rsid w:val="0058061E"/>
    <w:rsid w:val="005827D8"/>
    <w:rsid w:val="0058351E"/>
    <w:rsid w:val="00583A89"/>
    <w:rsid w:val="0058401E"/>
    <w:rsid w:val="005844EF"/>
    <w:rsid w:val="00585D68"/>
    <w:rsid w:val="0058640F"/>
    <w:rsid w:val="005873BE"/>
    <w:rsid w:val="0059303E"/>
    <w:rsid w:val="005937EA"/>
    <w:rsid w:val="0059458F"/>
    <w:rsid w:val="0059491F"/>
    <w:rsid w:val="00594D4C"/>
    <w:rsid w:val="005962C0"/>
    <w:rsid w:val="0059635E"/>
    <w:rsid w:val="00596771"/>
    <w:rsid w:val="00596D69"/>
    <w:rsid w:val="0059773B"/>
    <w:rsid w:val="005A0DDD"/>
    <w:rsid w:val="005A11CD"/>
    <w:rsid w:val="005A1861"/>
    <w:rsid w:val="005A18D8"/>
    <w:rsid w:val="005A19E2"/>
    <w:rsid w:val="005A2759"/>
    <w:rsid w:val="005A3EA4"/>
    <w:rsid w:val="005A419D"/>
    <w:rsid w:val="005A4314"/>
    <w:rsid w:val="005A500A"/>
    <w:rsid w:val="005A57FD"/>
    <w:rsid w:val="005A5D7C"/>
    <w:rsid w:val="005A64ED"/>
    <w:rsid w:val="005B05B9"/>
    <w:rsid w:val="005B2A24"/>
    <w:rsid w:val="005B2C81"/>
    <w:rsid w:val="005B3B7E"/>
    <w:rsid w:val="005B4281"/>
    <w:rsid w:val="005B49B9"/>
    <w:rsid w:val="005B4D2C"/>
    <w:rsid w:val="005B5119"/>
    <w:rsid w:val="005B512B"/>
    <w:rsid w:val="005B7138"/>
    <w:rsid w:val="005B71D6"/>
    <w:rsid w:val="005C104D"/>
    <w:rsid w:val="005C1191"/>
    <w:rsid w:val="005C179C"/>
    <w:rsid w:val="005C1852"/>
    <w:rsid w:val="005C199F"/>
    <w:rsid w:val="005C1B20"/>
    <w:rsid w:val="005C291E"/>
    <w:rsid w:val="005C2B00"/>
    <w:rsid w:val="005C2EFE"/>
    <w:rsid w:val="005C3450"/>
    <w:rsid w:val="005C3458"/>
    <w:rsid w:val="005C451C"/>
    <w:rsid w:val="005C4B68"/>
    <w:rsid w:val="005C50DE"/>
    <w:rsid w:val="005C5C22"/>
    <w:rsid w:val="005C6466"/>
    <w:rsid w:val="005C6F87"/>
    <w:rsid w:val="005C70BE"/>
    <w:rsid w:val="005C74EA"/>
    <w:rsid w:val="005C7EE2"/>
    <w:rsid w:val="005D0C5A"/>
    <w:rsid w:val="005D0CAC"/>
    <w:rsid w:val="005D1A7D"/>
    <w:rsid w:val="005D1D5A"/>
    <w:rsid w:val="005D25DA"/>
    <w:rsid w:val="005D2F05"/>
    <w:rsid w:val="005D3F40"/>
    <w:rsid w:val="005D429D"/>
    <w:rsid w:val="005D4358"/>
    <w:rsid w:val="005D4975"/>
    <w:rsid w:val="005D59BA"/>
    <w:rsid w:val="005D6001"/>
    <w:rsid w:val="005D7038"/>
    <w:rsid w:val="005D73E1"/>
    <w:rsid w:val="005D7600"/>
    <w:rsid w:val="005E0512"/>
    <w:rsid w:val="005E0A47"/>
    <w:rsid w:val="005E10B2"/>
    <w:rsid w:val="005E1E3F"/>
    <w:rsid w:val="005E2C23"/>
    <w:rsid w:val="005E387D"/>
    <w:rsid w:val="005E3F7C"/>
    <w:rsid w:val="005E40FA"/>
    <w:rsid w:val="005E47B3"/>
    <w:rsid w:val="005E4C41"/>
    <w:rsid w:val="005E5684"/>
    <w:rsid w:val="005E61E4"/>
    <w:rsid w:val="005E6F98"/>
    <w:rsid w:val="005E6FA2"/>
    <w:rsid w:val="005E79D3"/>
    <w:rsid w:val="005E7A31"/>
    <w:rsid w:val="005F0A3A"/>
    <w:rsid w:val="005F1385"/>
    <w:rsid w:val="005F230A"/>
    <w:rsid w:val="005F35FE"/>
    <w:rsid w:val="005F37CC"/>
    <w:rsid w:val="005F45D8"/>
    <w:rsid w:val="005F4FB1"/>
    <w:rsid w:val="005F73D1"/>
    <w:rsid w:val="005F7454"/>
    <w:rsid w:val="0060035A"/>
    <w:rsid w:val="006004A5"/>
    <w:rsid w:val="00600985"/>
    <w:rsid w:val="00600CAE"/>
    <w:rsid w:val="00600D0E"/>
    <w:rsid w:val="00600E5E"/>
    <w:rsid w:val="006012E0"/>
    <w:rsid w:val="00601499"/>
    <w:rsid w:val="00602237"/>
    <w:rsid w:val="00602822"/>
    <w:rsid w:val="00603F33"/>
    <w:rsid w:val="00604625"/>
    <w:rsid w:val="0060523E"/>
    <w:rsid w:val="00605B3C"/>
    <w:rsid w:val="00605F9C"/>
    <w:rsid w:val="006071C6"/>
    <w:rsid w:val="006112E9"/>
    <w:rsid w:val="00611B53"/>
    <w:rsid w:val="006125F0"/>
    <w:rsid w:val="006127B7"/>
    <w:rsid w:val="00612D78"/>
    <w:rsid w:val="00612EC5"/>
    <w:rsid w:val="006132AD"/>
    <w:rsid w:val="006137CA"/>
    <w:rsid w:val="00613938"/>
    <w:rsid w:val="006143D6"/>
    <w:rsid w:val="00614559"/>
    <w:rsid w:val="00614589"/>
    <w:rsid w:val="006149FD"/>
    <w:rsid w:val="00617D06"/>
    <w:rsid w:val="00620C56"/>
    <w:rsid w:val="00621593"/>
    <w:rsid w:val="006226AA"/>
    <w:rsid w:val="00623BA3"/>
    <w:rsid w:val="00624AC1"/>
    <w:rsid w:val="006256D0"/>
    <w:rsid w:val="00625996"/>
    <w:rsid w:val="0062612E"/>
    <w:rsid w:val="00626F47"/>
    <w:rsid w:val="006302CC"/>
    <w:rsid w:val="00630DF9"/>
    <w:rsid w:val="0063158D"/>
    <w:rsid w:val="00631935"/>
    <w:rsid w:val="00631C6C"/>
    <w:rsid w:val="006324AF"/>
    <w:rsid w:val="00632C2E"/>
    <w:rsid w:val="00633D38"/>
    <w:rsid w:val="0063488F"/>
    <w:rsid w:val="00634C38"/>
    <w:rsid w:val="00635126"/>
    <w:rsid w:val="00636154"/>
    <w:rsid w:val="0063629A"/>
    <w:rsid w:val="00640C55"/>
    <w:rsid w:val="006420B4"/>
    <w:rsid w:val="00643170"/>
    <w:rsid w:val="00643B1D"/>
    <w:rsid w:val="00644495"/>
    <w:rsid w:val="00644796"/>
    <w:rsid w:val="0064552E"/>
    <w:rsid w:val="006457FE"/>
    <w:rsid w:val="0064684C"/>
    <w:rsid w:val="00647898"/>
    <w:rsid w:val="006479ED"/>
    <w:rsid w:val="006527D6"/>
    <w:rsid w:val="00653026"/>
    <w:rsid w:val="006563F3"/>
    <w:rsid w:val="0065746F"/>
    <w:rsid w:val="0065753B"/>
    <w:rsid w:val="00661118"/>
    <w:rsid w:val="00661128"/>
    <w:rsid w:val="00663B37"/>
    <w:rsid w:val="00663B40"/>
    <w:rsid w:val="00664C93"/>
    <w:rsid w:val="0066500A"/>
    <w:rsid w:val="00665185"/>
    <w:rsid w:val="00665855"/>
    <w:rsid w:val="00665D38"/>
    <w:rsid w:val="00665EB9"/>
    <w:rsid w:val="00666146"/>
    <w:rsid w:val="006665E2"/>
    <w:rsid w:val="00666B19"/>
    <w:rsid w:val="00667A2C"/>
    <w:rsid w:val="00670545"/>
    <w:rsid w:val="006714BC"/>
    <w:rsid w:val="00672C31"/>
    <w:rsid w:val="00675069"/>
    <w:rsid w:val="00675431"/>
    <w:rsid w:val="006755C4"/>
    <w:rsid w:val="006758BA"/>
    <w:rsid w:val="006762DD"/>
    <w:rsid w:val="00676CFE"/>
    <w:rsid w:val="00676E60"/>
    <w:rsid w:val="006773E3"/>
    <w:rsid w:val="00677454"/>
    <w:rsid w:val="006774EB"/>
    <w:rsid w:val="00684328"/>
    <w:rsid w:val="0068438D"/>
    <w:rsid w:val="006856A5"/>
    <w:rsid w:val="006866EF"/>
    <w:rsid w:val="00686A0B"/>
    <w:rsid w:val="00687047"/>
    <w:rsid w:val="00687339"/>
    <w:rsid w:val="00687A1C"/>
    <w:rsid w:val="00690111"/>
    <w:rsid w:val="00691B1D"/>
    <w:rsid w:val="00691F6C"/>
    <w:rsid w:val="00692649"/>
    <w:rsid w:val="0069410E"/>
    <w:rsid w:val="00694DD2"/>
    <w:rsid w:val="006950EF"/>
    <w:rsid w:val="006974B9"/>
    <w:rsid w:val="006978F0"/>
    <w:rsid w:val="00697E32"/>
    <w:rsid w:val="006A089F"/>
    <w:rsid w:val="006A0979"/>
    <w:rsid w:val="006A11E0"/>
    <w:rsid w:val="006A1BBA"/>
    <w:rsid w:val="006A3838"/>
    <w:rsid w:val="006A3F06"/>
    <w:rsid w:val="006A4074"/>
    <w:rsid w:val="006A47B5"/>
    <w:rsid w:val="006A50D4"/>
    <w:rsid w:val="006A5AB9"/>
    <w:rsid w:val="006A5F30"/>
    <w:rsid w:val="006A6EEE"/>
    <w:rsid w:val="006A79B7"/>
    <w:rsid w:val="006B080D"/>
    <w:rsid w:val="006B0F37"/>
    <w:rsid w:val="006B192B"/>
    <w:rsid w:val="006B3067"/>
    <w:rsid w:val="006B353F"/>
    <w:rsid w:val="006B4252"/>
    <w:rsid w:val="006B469E"/>
    <w:rsid w:val="006B477F"/>
    <w:rsid w:val="006B5B54"/>
    <w:rsid w:val="006B6FEB"/>
    <w:rsid w:val="006B7AC3"/>
    <w:rsid w:val="006C01B5"/>
    <w:rsid w:val="006C16DA"/>
    <w:rsid w:val="006C1F54"/>
    <w:rsid w:val="006C2249"/>
    <w:rsid w:val="006C2874"/>
    <w:rsid w:val="006C2DB4"/>
    <w:rsid w:val="006C48F6"/>
    <w:rsid w:val="006C71B9"/>
    <w:rsid w:val="006D0554"/>
    <w:rsid w:val="006D0C9D"/>
    <w:rsid w:val="006D1B71"/>
    <w:rsid w:val="006D1D3B"/>
    <w:rsid w:val="006D1E9C"/>
    <w:rsid w:val="006D4775"/>
    <w:rsid w:val="006D60B9"/>
    <w:rsid w:val="006D6C47"/>
    <w:rsid w:val="006D71F1"/>
    <w:rsid w:val="006D7292"/>
    <w:rsid w:val="006E3267"/>
    <w:rsid w:val="006E4266"/>
    <w:rsid w:val="006E4B90"/>
    <w:rsid w:val="006E5667"/>
    <w:rsid w:val="006E6A14"/>
    <w:rsid w:val="006E70DA"/>
    <w:rsid w:val="006E7B87"/>
    <w:rsid w:val="006F0431"/>
    <w:rsid w:val="006F05E0"/>
    <w:rsid w:val="006F094F"/>
    <w:rsid w:val="006F2950"/>
    <w:rsid w:val="006F32F1"/>
    <w:rsid w:val="006F347C"/>
    <w:rsid w:val="006F4410"/>
    <w:rsid w:val="006F5BD4"/>
    <w:rsid w:val="006F6590"/>
    <w:rsid w:val="006F7223"/>
    <w:rsid w:val="006F7B5F"/>
    <w:rsid w:val="0070001F"/>
    <w:rsid w:val="007011AC"/>
    <w:rsid w:val="0070156C"/>
    <w:rsid w:val="0070199E"/>
    <w:rsid w:val="00701B64"/>
    <w:rsid w:val="007030C9"/>
    <w:rsid w:val="00703427"/>
    <w:rsid w:val="00703DF0"/>
    <w:rsid w:val="00704D50"/>
    <w:rsid w:val="00704FD2"/>
    <w:rsid w:val="007069D8"/>
    <w:rsid w:val="0070705A"/>
    <w:rsid w:val="00707175"/>
    <w:rsid w:val="00707D14"/>
    <w:rsid w:val="00707FAC"/>
    <w:rsid w:val="00710127"/>
    <w:rsid w:val="007104D3"/>
    <w:rsid w:val="007104D5"/>
    <w:rsid w:val="00710A57"/>
    <w:rsid w:val="00710BC3"/>
    <w:rsid w:val="00710D87"/>
    <w:rsid w:val="00711744"/>
    <w:rsid w:val="007119FB"/>
    <w:rsid w:val="00711D17"/>
    <w:rsid w:val="00712A92"/>
    <w:rsid w:val="00712BD0"/>
    <w:rsid w:val="00714357"/>
    <w:rsid w:val="00714647"/>
    <w:rsid w:val="007148C6"/>
    <w:rsid w:val="00714F29"/>
    <w:rsid w:val="007151FD"/>
    <w:rsid w:val="00716DA5"/>
    <w:rsid w:val="00717027"/>
    <w:rsid w:val="0071798B"/>
    <w:rsid w:val="00717C81"/>
    <w:rsid w:val="00721295"/>
    <w:rsid w:val="0072168A"/>
    <w:rsid w:val="007216A1"/>
    <w:rsid w:val="00721FE1"/>
    <w:rsid w:val="007222B4"/>
    <w:rsid w:val="00722CCB"/>
    <w:rsid w:val="00723450"/>
    <w:rsid w:val="007238E3"/>
    <w:rsid w:val="00724374"/>
    <w:rsid w:val="00724755"/>
    <w:rsid w:val="007248C0"/>
    <w:rsid w:val="00724E59"/>
    <w:rsid w:val="007250CB"/>
    <w:rsid w:val="007250DC"/>
    <w:rsid w:val="00726441"/>
    <w:rsid w:val="00726F86"/>
    <w:rsid w:val="007305A8"/>
    <w:rsid w:val="00731442"/>
    <w:rsid w:val="0073161E"/>
    <w:rsid w:val="007322AB"/>
    <w:rsid w:val="00733AFA"/>
    <w:rsid w:val="00733CC4"/>
    <w:rsid w:val="0073425D"/>
    <w:rsid w:val="00736295"/>
    <w:rsid w:val="00737194"/>
    <w:rsid w:val="007375FD"/>
    <w:rsid w:val="007407D5"/>
    <w:rsid w:val="007429BC"/>
    <w:rsid w:val="00745843"/>
    <w:rsid w:val="007469DB"/>
    <w:rsid w:val="00746BC8"/>
    <w:rsid w:val="00747C46"/>
    <w:rsid w:val="00747CC7"/>
    <w:rsid w:val="00750812"/>
    <w:rsid w:val="00750829"/>
    <w:rsid w:val="00751EA7"/>
    <w:rsid w:val="00752A19"/>
    <w:rsid w:val="00752F9A"/>
    <w:rsid w:val="00753078"/>
    <w:rsid w:val="00753C91"/>
    <w:rsid w:val="00754A33"/>
    <w:rsid w:val="0075583E"/>
    <w:rsid w:val="007559D3"/>
    <w:rsid w:val="0075605A"/>
    <w:rsid w:val="00756BE8"/>
    <w:rsid w:val="00756E36"/>
    <w:rsid w:val="00756EDA"/>
    <w:rsid w:val="0075759E"/>
    <w:rsid w:val="00757A65"/>
    <w:rsid w:val="00757D01"/>
    <w:rsid w:val="00760F0F"/>
    <w:rsid w:val="00761769"/>
    <w:rsid w:val="0076218E"/>
    <w:rsid w:val="007624D6"/>
    <w:rsid w:val="00762A42"/>
    <w:rsid w:val="00762CB6"/>
    <w:rsid w:val="00762F84"/>
    <w:rsid w:val="00765C9A"/>
    <w:rsid w:val="0076699A"/>
    <w:rsid w:val="00767007"/>
    <w:rsid w:val="00767ABD"/>
    <w:rsid w:val="00767B67"/>
    <w:rsid w:val="00771390"/>
    <w:rsid w:val="00774588"/>
    <w:rsid w:val="00775B96"/>
    <w:rsid w:val="00777B26"/>
    <w:rsid w:val="00780521"/>
    <w:rsid w:val="00780574"/>
    <w:rsid w:val="007825BC"/>
    <w:rsid w:val="00782839"/>
    <w:rsid w:val="00782E8A"/>
    <w:rsid w:val="007845BE"/>
    <w:rsid w:val="007846CA"/>
    <w:rsid w:val="007849B9"/>
    <w:rsid w:val="00785E2E"/>
    <w:rsid w:val="00786C39"/>
    <w:rsid w:val="0078702E"/>
    <w:rsid w:val="0078722B"/>
    <w:rsid w:val="007876CA"/>
    <w:rsid w:val="00787BD1"/>
    <w:rsid w:val="007908EB"/>
    <w:rsid w:val="00790C10"/>
    <w:rsid w:val="00790C5A"/>
    <w:rsid w:val="00791F1B"/>
    <w:rsid w:val="007948BB"/>
    <w:rsid w:val="00795214"/>
    <w:rsid w:val="007968A1"/>
    <w:rsid w:val="007971CA"/>
    <w:rsid w:val="0079764A"/>
    <w:rsid w:val="007A0666"/>
    <w:rsid w:val="007A0D68"/>
    <w:rsid w:val="007A10A1"/>
    <w:rsid w:val="007A1C75"/>
    <w:rsid w:val="007A30C2"/>
    <w:rsid w:val="007A3A88"/>
    <w:rsid w:val="007A4327"/>
    <w:rsid w:val="007A5022"/>
    <w:rsid w:val="007A635F"/>
    <w:rsid w:val="007A6595"/>
    <w:rsid w:val="007A70E2"/>
    <w:rsid w:val="007A7A6A"/>
    <w:rsid w:val="007B03E5"/>
    <w:rsid w:val="007B07D4"/>
    <w:rsid w:val="007B0B61"/>
    <w:rsid w:val="007B13F8"/>
    <w:rsid w:val="007B1729"/>
    <w:rsid w:val="007B26EB"/>
    <w:rsid w:val="007B2ADE"/>
    <w:rsid w:val="007B2E36"/>
    <w:rsid w:val="007B3624"/>
    <w:rsid w:val="007B43F3"/>
    <w:rsid w:val="007B71A3"/>
    <w:rsid w:val="007C036F"/>
    <w:rsid w:val="007C052F"/>
    <w:rsid w:val="007C099F"/>
    <w:rsid w:val="007C1219"/>
    <w:rsid w:val="007C1820"/>
    <w:rsid w:val="007C2117"/>
    <w:rsid w:val="007C267F"/>
    <w:rsid w:val="007C4FC5"/>
    <w:rsid w:val="007C5509"/>
    <w:rsid w:val="007C58F5"/>
    <w:rsid w:val="007C5F86"/>
    <w:rsid w:val="007C686B"/>
    <w:rsid w:val="007D162E"/>
    <w:rsid w:val="007D1976"/>
    <w:rsid w:val="007D248C"/>
    <w:rsid w:val="007D2C01"/>
    <w:rsid w:val="007D313B"/>
    <w:rsid w:val="007D33E4"/>
    <w:rsid w:val="007D34B6"/>
    <w:rsid w:val="007D3DF8"/>
    <w:rsid w:val="007D499E"/>
    <w:rsid w:val="007D5DE3"/>
    <w:rsid w:val="007D6AE6"/>
    <w:rsid w:val="007D6B45"/>
    <w:rsid w:val="007E0FA9"/>
    <w:rsid w:val="007E1C82"/>
    <w:rsid w:val="007E2CC3"/>
    <w:rsid w:val="007E7593"/>
    <w:rsid w:val="007F06B4"/>
    <w:rsid w:val="007F101E"/>
    <w:rsid w:val="007F19B7"/>
    <w:rsid w:val="007F1EF4"/>
    <w:rsid w:val="007F2006"/>
    <w:rsid w:val="007F29A4"/>
    <w:rsid w:val="007F29E4"/>
    <w:rsid w:val="007F2F25"/>
    <w:rsid w:val="007F32BD"/>
    <w:rsid w:val="007F46C6"/>
    <w:rsid w:val="007F4E5E"/>
    <w:rsid w:val="007F53C1"/>
    <w:rsid w:val="007F5EDC"/>
    <w:rsid w:val="007F612D"/>
    <w:rsid w:val="007F6B22"/>
    <w:rsid w:val="0080012D"/>
    <w:rsid w:val="00800365"/>
    <w:rsid w:val="00801FEA"/>
    <w:rsid w:val="00802BFB"/>
    <w:rsid w:val="008042AC"/>
    <w:rsid w:val="00810242"/>
    <w:rsid w:val="0081062D"/>
    <w:rsid w:val="008107BC"/>
    <w:rsid w:val="0081080B"/>
    <w:rsid w:val="00810902"/>
    <w:rsid w:val="00812137"/>
    <w:rsid w:val="00813451"/>
    <w:rsid w:val="00813677"/>
    <w:rsid w:val="008136FE"/>
    <w:rsid w:val="00813F35"/>
    <w:rsid w:val="00814D6F"/>
    <w:rsid w:val="00816998"/>
    <w:rsid w:val="00816FF8"/>
    <w:rsid w:val="00817C4A"/>
    <w:rsid w:val="0082194D"/>
    <w:rsid w:val="008234A6"/>
    <w:rsid w:val="0082397C"/>
    <w:rsid w:val="0082414A"/>
    <w:rsid w:val="00824DD5"/>
    <w:rsid w:val="008251AF"/>
    <w:rsid w:val="00825BBB"/>
    <w:rsid w:val="008267DA"/>
    <w:rsid w:val="008271B9"/>
    <w:rsid w:val="008307DE"/>
    <w:rsid w:val="00830A41"/>
    <w:rsid w:val="00830A4C"/>
    <w:rsid w:val="0083137D"/>
    <w:rsid w:val="008315DE"/>
    <w:rsid w:val="008333B0"/>
    <w:rsid w:val="0083353F"/>
    <w:rsid w:val="00833E14"/>
    <w:rsid w:val="00836803"/>
    <w:rsid w:val="00836B7C"/>
    <w:rsid w:val="00837454"/>
    <w:rsid w:val="008374CA"/>
    <w:rsid w:val="00837528"/>
    <w:rsid w:val="008400F5"/>
    <w:rsid w:val="00840B44"/>
    <w:rsid w:val="00840D7B"/>
    <w:rsid w:val="00842FC9"/>
    <w:rsid w:val="0084320C"/>
    <w:rsid w:val="008434D9"/>
    <w:rsid w:val="00843F64"/>
    <w:rsid w:val="00845AA2"/>
    <w:rsid w:val="00846239"/>
    <w:rsid w:val="00847B32"/>
    <w:rsid w:val="008504F3"/>
    <w:rsid w:val="00851157"/>
    <w:rsid w:val="00851E1E"/>
    <w:rsid w:val="0085230F"/>
    <w:rsid w:val="00852AF1"/>
    <w:rsid w:val="008534E3"/>
    <w:rsid w:val="00853A6E"/>
    <w:rsid w:val="00853C38"/>
    <w:rsid w:val="00855EED"/>
    <w:rsid w:val="008561CE"/>
    <w:rsid w:val="00856AE6"/>
    <w:rsid w:val="00856B53"/>
    <w:rsid w:val="008625CE"/>
    <w:rsid w:val="00863A51"/>
    <w:rsid w:val="00863BDF"/>
    <w:rsid w:val="0086426C"/>
    <w:rsid w:val="00867EAE"/>
    <w:rsid w:val="008718EB"/>
    <w:rsid w:val="00871BBE"/>
    <w:rsid w:val="00871C66"/>
    <w:rsid w:val="008721F0"/>
    <w:rsid w:val="008728B3"/>
    <w:rsid w:val="00872A18"/>
    <w:rsid w:val="00873C1C"/>
    <w:rsid w:val="00873DC4"/>
    <w:rsid w:val="008741A1"/>
    <w:rsid w:val="008744FF"/>
    <w:rsid w:val="00874744"/>
    <w:rsid w:val="00875739"/>
    <w:rsid w:val="0087612F"/>
    <w:rsid w:val="008765D8"/>
    <w:rsid w:val="00876BE5"/>
    <w:rsid w:val="0088017B"/>
    <w:rsid w:val="00881E08"/>
    <w:rsid w:val="008836CC"/>
    <w:rsid w:val="008839C6"/>
    <w:rsid w:val="00884068"/>
    <w:rsid w:val="0088599F"/>
    <w:rsid w:val="00885B21"/>
    <w:rsid w:val="00886721"/>
    <w:rsid w:val="00886C85"/>
    <w:rsid w:val="00887624"/>
    <w:rsid w:val="0088794A"/>
    <w:rsid w:val="0088799B"/>
    <w:rsid w:val="008903C1"/>
    <w:rsid w:val="008915EB"/>
    <w:rsid w:val="00892785"/>
    <w:rsid w:val="0089457C"/>
    <w:rsid w:val="00894E28"/>
    <w:rsid w:val="00894E29"/>
    <w:rsid w:val="00896C4E"/>
    <w:rsid w:val="008975BB"/>
    <w:rsid w:val="008A0372"/>
    <w:rsid w:val="008A0850"/>
    <w:rsid w:val="008A0E65"/>
    <w:rsid w:val="008A14EF"/>
    <w:rsid w:val="008A1C40"/>
    <w:rsid w:val="008A1D74"/>
    <w:rsid w:val="008A39C6"/>
    <w:rsid w:val="008A3EDA"/>
    <w:rsid w:val="008A44D3"/>
    <w:rsid w:val="008A4889"/>
    <w:rsid w:val="008A5DE4"/>
    <w:rsid w:val="008A5F0E"/>
    <w:rsid w:val="008A725D"/>
    <w:rsid w:val="008A7CD1"/>
    <w:rsid w:val="008B1728"/>
    <w:rsid w:val="008B1787"/>
    <w:rsid w:val="008B296E"/>
    <w:rsid w:val="008B3999"/>
    <w:rsid w:val="008B449C"/>
    <w:rsid w:val="008B504E"/>
    <w:rsid w:val="008B5BFE"/>
    <w:rsid w:val="008B5CBD"/>
    <w:rsid w:val="008B5E1E"/>
    <w:rsid w:val="008B6F35"/>
    <w:rsid w:val="008B7A29"/>
    <w:rsid w:val="008C02DA"/>
    <w:rsid w:val="008C22BB"/>
    <w:rsid w:val="008C285C"/>
    <w:rsid w:val="008C3640"/>
    <w:rsid w:val="008C43DC"/>
    <w:rsid w:val="008C46A9"/>
    <w:rsid w:val="008C46DC"/>
    <w:rsid w:val="008C4BA7"/>
    <w:rsid w:val="008C5200"/>
    <w:rsid w:val="008C61E3"/>
    <w:rsid w:val="008D1732"/>
    <w:rsid w:val="008D24CD"/>
    <w:rsid w:val="008D28FC"/>
    <w:rsid w:val="008D2A41"/>
    <w:rsid w:val="008D2F3F"/>
    <w:rsid w:val="008D3ABD"/>
    <w:rsid w:val="008D3C53"/>
    <w:rsid w:val="008D56F6"/>
    <w:rsid w:val="008D6E17"/>
    <w:rsid w:val="008E0D22"/>
    <w:rsid w:val="008E108D"/>
    <w:rsid w:val="008E12C2"/>
    <w:rsid w:val="008E2687"/>
    <w:rsid w:val="008E56F3"/>
    <w:rsid w:val="008E57BA"/>
    <w:rsid w:val="008E7E14"/>
    <w:rsid w:val="008F191E"/>
    <w:rsid w:val="008F1D25"/>
    <w:rsid w:val="008F20D2"/>
    <w:rsid w:val="008F233A"/>
    <w:rsid w:val="008F2804"/>
    <w:rsid w:val="008F3418"/>
    <w:rsid w:val="008F4549"/>
    <w:rsid w:val="008F5C0E"/>
    <w:rsid w:val="008F6A3F"/>
    <w:rsid w:val="00900356"/>
    <w:rsid w:val="00902598"/>
    <w:rsid w:val="00903F1F"/>
    <w:rsid w:val="0090558C"/>
    <w:rsid w:val="00906397"/>
    <w:rsid w:val="009068A3"/>
    <w:rsid w:val="00907313"/>
    <w:rsid w:val="00907507"/>
    <w:rsid w:val="0091045E"/>
    <w:rsid w:val="009108CF"/>
    <w:rsid w:val="00911557"/>
    <w:rsid w:val="0091289C"/>
    <w:rsid w:val="00912940"/>
    <w:rsid w:val="00912C15"/>
    <w:rsid w:val="00913B4B"/>
    <w:rsid w:val="00913D44"/>
    <w:rsid w:val="00913E14"/>
    <w:rsid w:val="009140E3"/>
    <w:rsid w:val="00914935"/>
    <w:rsid w:val="00914958"/>
    <w:rsid w:val="00914DF5"/>
    <w:rsid w:val="00916875"/>
    <w:rsid w:val="009178A7"/>
    <w:rsid w:val="00920149"/>
    <w:rsid w:val="00922D25"/>
    <w:rsid w:val="0092321F"/>
    <w:rsid w:val="0092361B"/>
    <w:rsid w:val="00923D58"/>
    <w:rsid w:val="00923F8F"/>
    <w:rsid w:val="00924CC9"/>
    <w:rsid w:val="00925525"/>
    <w:rsid w:val="00925EE2"/>
    <w:rsid w:val="0092745A"/>
    <w:rsid w:val="0092765A"/>
    <w:rsid w:val="00930DDF"/>
    <w:rsid w:val="00930EB8"/>
    <w:rsid w:val="00931588"/>
    <w:rsid w:val="009317AA"/>
    <w:rsid w:val="00932114"/>
    <w:rsid w:val="00932A59"/>
    <w:rsid w:val="00934022"/>
    <w:rsid w:val="0093496B"/>
    <w:rsid w:val="0093513C"/>
    <w:rsid w:val="00935541"/>
    <w:rsid w:val="0094161A"/>
    <w:rsid w:val="00944EAE"/>
    <w:rsid w:val="00945209"/>
    <w:rsid w:val="00946898"/>
    <w:rsid w:val="00946C25"/>
    <w:rsid w:val="00946E39"/>
    <w:rsid w:val="00947596"/>
    <w:rsid w:val="00947FD5"/>
    <w:rsid w:val="00950C85"/>
    <w:rsid w:val="0095146A"/>
    <w:rsid w:val="009514AE"/>
    <w:rsid w:val="0095254C"/>
    <w:rsid w:val="00953DF3"/>
    <w:rsid w:val="00954D19"/>
    <w:rsid w:val="00955217"/>
    <w:rsid w:val="0095555A"/>
    <w:rsid w:val="00955AFF"/>
    <w:rsid w:val="00955F70"/>
    <w:rsid w:val="00960AAB"/>
    <w:rsid w:val="009610DC"/>
    <w:rsid w:val="0096213B"/>
    <w:rsid w:val="009639C6"/>
    <w:rsid w:val="00963C10"/>
    <w:rsid w:val="00964649"/>
    <w:rsid w:val="00964DDA"/>
    <w:rsid w:val="00965133"/>
    <w:rsid w:val="009654F4"/>
    <w:rsid w:val="00966455"/>
    <w:rsid w:val="0096765D"/>
    <w:rsid w:val="0097175B"/>
    <w:rsid w:val="00973C2D"/>
    <w:rsid w:val="00973DBC"/>
    <w:rsid w:val="00973EA3"/>
    <w:rsid w:val="00976A1A"/>
    <w:rsid w:val="00976BE6"/>
    <w:rsid w:val="00977766"/>
    <w:rsid w:val="00977B76"/>
    <w:rsid w:val="00977F43"/>
    <w:rsid w:val="009800F8"/>
    <w:rsid w:val="0098012B"/>
    <w:rsid w:val="009807FD"/>
    <w:rsid w:val="009808A5"/>
    <w:rsid w:val="00980C45"/>
    <w:rsid w:val="00980E15"/>
    <w:rsid w:val="00982563"/>
    <w:rsid w:val="00982E29"/>
    <w:rsid w:val="009832C6"/>
    <w:rsid w:val="0098350F"/>
    <w:rsid w:val="00983D1D"/>
    <w:rsid w:val="009843DF"/>
    <w:rsid w:val="00984596"/>
    <w:rsid w:val="00986232"/>
    <w:rsid w:val="00986D84"/>
    <w:rsid w:val="00986EA8"/>
    <w:rsid w:val="00987621"/>
    <w:rsid w:val="00990BC6"/>
    <w:rsid w:val="00990BE5"/>
    <w:rsid w:val="00990CCC"/>
    <w:rsid w:val="00991431"/>
    <w:rsid w:val="00991868"/>
    <w:rsid w:val="009918F1"/>
    <w:rsid w:val="00993F21"/>
    <w:rsid w:val="00994092"/>
    <w:rsid w:val="0099413B"/>
    <w:rsid w:val="0099565C"/>
    <w:rsid w:val="0099568A"/>
    <w:rsid w:val="009957CE"/>
    <w:rsid w:val="00996591"/>
    <w:rsid w:val="00996C33"/>
    <w:rsid w:val="009975BA"/>
    <w:rsid w:val="009A01FE"/>
    <w:rsid w:val="009A085F"/>
    <w:rsid w:val="009A2065"/>
    <w:rsid w:val="009A424F"/>
    <w:rsid w:val="009A52BF"/>
    <w:rsid w:val="009A5D0B"/>
    <w:rsid w:val="009A61A0"/>
    <w:rsid w:val="009A7F3F"/>
    <w:rsid w:val="009B074F"/>
    <w:rsid w:val="009B082E"/>
    <w:rsid w:val="009B0863"/>
    <w:rsid w:val="009B13B9"/>
    <w:rsid w:val="009B2CB4"/>
    <w:rsid w:val="009B47F7"/>
    <w:rsid w:val="009B502C"/>
    <w:rsid w:val="009B6E8C"/>
    <w:rsid w:val="009B7A22"/>
    <w:rsid w:val="009B7AEF"/>
    <w:rsid w:val="009B7D4A"/>
    <w:rsid w:val="009C05A3"/>
    <w:rsid w:val="009C0769"/>
    <w:rsid w:val="009C1300"/>
    <w:rsid w:val="009C24B6"/>
    <w:rsid w:val="009C2AD7"/>
    <w:rsid w:val="009C5871"/>
    <w:rsid w:val="009C5A4B"/>
    <w:rsid w:val="009D2296"/>
    <w:rsid w:val="009D25D7"/>
    <w:rsid w:val="009D31E4"/>
    <w:rsid w:val="009D3F20"/>
    <w:rsid w:val="009D4773"/>
    <w:rsid w:val="009D49B8"/>
    <w:rsid w:val="009D5B22"/>
    <w:rsid w:val="009D5D64"/>
    <w:rsid w:val="009D5F7F"/>
    <w:rsid w:val="009D64E8"/>
    <w:rsid w:val="009D771C"/>
    <w:rsid w:val="009E0ED9"/>
    <w:rsid w:val="009E1D43"/>
    <w:rsid w:val="009E2232"/>
    <w:rsid w:val="009E27BA"/>
    <w:rsid w:val="009E3D01"/>
    <w:rsid w:val="009E4E38"/>
    <w:rsid w:val="009E5578"/>
    <w:rsid w:val="009E57BD"/>
    <w:rsid w:val="009E69E8"/>
    <w:rsid w:val="009E6CDE"/>
    <w:rsid w:val="009E7744"/>
    <w:rsid w:val="009E7E98"/>
    <w:rsid w:val="009F0459"/>
    <w:rsid w:val="009F20F3"/>
    <w:rsid w:val="009F3AF3"/>
    <w:rsid w:val="009F3F6A"/>
    <w:rsid w:val="009F493F"/>
    <w:rsid w:val="009F4D65"/>
    <w:rsid w:val="009F58F6"/>
    <w:rsid w:val="009F6157"/>
    <w:rsid w:val="009F6532"/>
    <w:rsid w:val="009F6B48"/>
    <w:rsid w:val="009F6FD4"/>
    <w:rsid w:val="009F749C"/>
    <w:rsid w:val="00A003FF"/>
    <w:rsid w:val="00A01223"/>
    <w:rsid w:val="00A036AC"/>
    <w:rsid w:val="00A04E7D"/>
    <w:rsid w:val="00A04F31"/>
    <w:rsid w:val="00A04F38"/>
    <w:rsid w:val="00A058CA"/>
    <w:rsid w:val="00A05901"/>
    <w:rsid w:val="00A05AA2"/>
    <w:rsid w:val="00A062CB"/>
    <w:rsid w:val="00A07500"/>
    <w:rsid w:val="00A07934"/>
    <w:rsid w:val="00A10E13"/>
    <w:rsid w:val="00A110F0"/>
    <w:rsid w:val="00A1114E"/>
    <w:rsid w:val="00A11234"/>
    <w:rsid w:val="00A1178D"/>
    <w:rsid w:val="00A1289A"/>
    <w:rsid w:val="00A13E7D"/>
    <w:rsid w:val="00A145EB"/>
    <w:rsid w:val="00A154C0"/>
    <w:rsid w:val="00A1560A"/>
    <w:rsid w:val="00A15B4A"/>
    <w:rsid w:val="00A16A79"/>
    <w:rsid w:val="00A17178"/>
    <w:rsid w:val="00A172D0"/>
    <w:rsid w:val="00A21327"/>
    <w:rsid w:val="00A22E43"/>
    <w:rsid w:val="00A23823"/>
    <w:rsid w:val="00A23A39"/>
    <w:rsid w:val="00A25A12"/>
    <w:rsid w:val="00A25B54"/>
    <w:rsid w:val="00A27548"/>
    <w:rsid w:val="00A278F0"/>
    <w:rsid w:val="00A33CB3"/>
    <w:rsid w:val="00A33E8D"/>
    <w:rsid w:val="00A3416B"/>
    <w:rsid w:val="00A341A3"/>
    <w:rsid w:val="00A34FD5"/>
    <w:rsid w:val="00A36726"/>
    <w:rsid w:val="00A37136"/>
    <w:rsid w:val="00A37BAC"/>
    <w:rsid w:val="00A37DA4"/>
    <w:rsid w:val="00A40664"/>
    <w:rsid w:val="00A41BFC"/>
    <w:rsid w:val="00A43225"/>
    <w:rsid w:val="00A445BC"/>
    <w:rsid w:val="00A44E12"/>
    <w:rsid w:val="00A44F87"/>
    <w:rsid w:val="00A4509B"/>
    <w:rsid w:val="00A456A2"/>
    <w:rsid w:val="00A46763"/>
    <w:rsid w:val="00A468BD"/>
    <w:rsid w:val="00A46C6B"/>
    <w:rsid w:val="00A47493"/>
    <w:rsid w:val="00A47D32"/>
    <w:rsid w:val="00A50C3F"/>
    <w:rsid w:val="00A518C1"/>
    <w:rsid w:val="00A518C6"/>
    <w:rsid w:val="00A519DE"/>
    <w:rsid w:val="00A52D5D"/>
    <w:rsid w:val="00A530AD"/>
    <w:rsid w:val="00A536EB"/>
    <w:rsid w:val="00A53E3E"/>
    <w:rsid w:val="00A542DE"/>
    <w:rsid w:val="00A546F8"/>
    <w:rsid w:val="00A552F4"/>
    <w:rsid w:val="00A56726"/>
    <w:rsid w:val="00A57076"/>
    <w:rsid w:val="00A573FA"/>
    <w:rsid w:val="00A57923"/>
    <w:rsid w:val="00A60988"/>
    <w:rsid w:val="00A60B8D"/>
    <w:rsid w:val="00A61206"/>
    <w:rsid w:val="00A61590"/>
    <w:rsid w:val="00A61932"/>
    <w:rsid w:val="00A637E6"/>
    <w:rsid w:val="00A65568"/>
    <w:rsid w:val="00A655D8"/>
    <w:rsid w:val="00A67C2B"/>
    <w:rsid w:val="00A70234"/>
    <w:rsid w:val="00A703FA"/>
    <w:rsid w:val="00A706AF"/>
    <w:rsid w:val="00A7070B"/>
    <w:rsid w:val="00A713FF"/>
    <w:rsid w:val="00A71694"/>
    <w:rsid w:val="00A71A4B"/>
    <w:rsid w:val="00A71CD4"/>
    <w:rsid w:val="00A7238D"/>
    <w:rsid w:val="00A72B92"/>
    <w:rsid w:val="00A73438"/>
    <w:rsid w:val="00A74142"/>
    <w:rsid w:val="00A760E6"/>
    <w:rsid w:val="00A766F6"/>
    <w:rsid w:val="00A76855"/>
    <w:rsid w:val="00A77153"/>
    <w:rsid w:val="00A81536"/>
    <w:rsid w:val="00A826C4"/>
    <w:rsid w:val="00A82898"/>
    <w:rsid w:val="00A82A0A"/>
    <w:rsid w:val="00A833F6"/>
    <w:rsid w:val="00A838C8"/>
    <w:rsid w:val="00A83966"/>
    <w:rsid w:val="00A851F6"/>
    <w:rsid w:val="00A85B67"/>
    <w:rsid w:val="00A85C36"/>
    <w:rsid w:val="00A863A2"/>
    <w:rsid w:val="00A86EF0"/>
    <w:rsid w:val="00A87352"/>
    <w:rsid w:val="00A878EA"/>
    <w:rsid w:val="00A87C54"/>
    <w:rsid w:val="00A91806"/>
    <w:rsid w:val="00A91C67"/>
    <w:rsid w:val="00A92BD9"/>
    <w:rsid w:val="00A934AD"/>
    <w:rsid w:val="00A93C4E"/>
    <w:rsid w:val="00A94B3D"/>
    <w:rsid w:val="00A94D0B"/>
    <w:rsid w:val="00A94E75"/>
    <w:rsid w:val="00A96814"/>
    <w:rsid w:val="00A96F62"/>
    <w:rsid w:val="00A97219"/>
    <w:rsid w:val="00A97221"/>
    <w:rsid w:val="00A973AF"/>
    <w:rsid w:val="00A97514"/>
    <w:rsid w:val="00AA01DB"/>
    <w:rsid w:val="00AA2BEA"/>
    <w:rsid w:val="00AA2BF4"/>
    <w:rsid w:val="00AA40C0"/>
    <w:rsid w:val="00AA42FE"/>
    <w:rsid w:val="00AA53EF"/>
    <w:rsid w:val="00AA58BA"/>
    <w:rsid w:val="00AA6214"/>
    <w:rsid w:val="00AA64E6"/>
    <w:rsid w:val="00AA75E7"/>
    <w:rsid w:val="00AB09A3"/>
    <w:rsid w:val="00AB10FE"/>
    <w:rsid w:val="00AB3184"/>
    <w:rsid w:val="00AB3D73"/>
    <w:rsid w:val="00AB48F7"/>
    <w:rsid w:val="00AB5362"/>
    <w:rsid w:val="00AB5487"/>
    <w:rsid w:val="00AB6278"/>
    <w:rsid w:val="00AB742A"/>
    <w:rsid w:val="00AB76C3"/>
    <w:rsid w:val="00AB78B0"/>
    <w:rsid w:val="00AB7D47"/>
    <w:rsid w:val="00AC2570"/>
    <w:rsid w:val="00AC4C08"/>
    <w:rsid w:val="00AC644D"/>
    <w:rsid w:val="00AC64C2"/>
    <w:rsid w:val="00AC7879"/>
    <w:rsid w:val="00AC7B02"/>
    <w:rsid w:val="00AD019E"/>
    <w:rsid w:val="00AD083E"/>
    <w:rsid w:val="00AD0F11"/>
    <w:rsid w:val="00AD1A13"/>
    <w:rsid w:val="00AD1CB4"/>
    <w:rsid w:val="00AD2417"/>
    <w:rsid w:val="00AD3496"/>
    <w:rsid w:val="00AD3BF9"/>
    <w:rsid w:val="00AD53E9"/>
    <w:rsid w:val="00AD6855"/>
    <w:rsid w:val="00AE0393"/>
    <w:rsid w:val="00AE088E"/>
    <w:rsid w:val="00AE09F2"/>
    <w:rsid w:val="00AE1880"/>
    <w:rsid w:val="00AE1E3E"/>
    <w:rsid w:val="00AE210C"/>
    <w:rsid w:val="00AE2696"/>
    <w:rsid w:val="00AE2D36"/>
    <w:rsid w:val="00AE2E40"/>
    <w:rsid w:val="00AE663E"/>
    <w:rsid w:val="00AE70CC"/>
    <w:rsid w:val="00AF0D61"/>
    <w:rsid w:val="00AF10BA"/>
    <w:rsid w:val="00AF1DDD"/>
    <w:rsid w:val="00AF4B91"/>
    <w:rsid w:val="00AF4BEC"/>
    <w:rsid w:val="00AF50AD"/>
    <w:rsid w:val="00AF5D82"/>
    <w:rsid w:val="00AF6975"/>
    <w:rsid w:val="00AF71D6"/>
    <w:rsid w:val="00AF7861"/>
    <w:rsid w:val="00AF7BE5"/>
    <w:rsid w:val="00B007FD"/>
    <w:rsid w:val="00B01406"/>
    <w:rsid w:val="00B04347"/>
    <w:rsid w:val="00B04C69"/>
    <w:rsid w:val="00B054AB"/>
    <w:rsid w:val="00B05F1F"/>
    <w:rsid w:val="00B0669A"/>
    <w:rsid w:val="00B076EF"/>
    <w:rsid w:val="00B108C8"/>
    <w:rsid w:val="00B10EE0"/>
    <w:rsid w:val="00B11845"/>
    <w:rsid w:val="00B123A5"/>
    <w:rsid w:val="00B123D8"/>
    <w:rsid w:val="00B12436"/>
    <w:rsid w:val="00B1467A"/>
    <w:rsid w:val="00B15255"/>
    <w:rsid w:val="00B15D73"/>
    <w:rsid w:val="00B16941"/>
    <w:rsid w:val="00B16B56"/>
    <w:rsid w:val="00B17D00"/>
    <w:rsid w:val="00B20B19"/>
    <w:rsid w:val="00B20B32"/>
    <w:rsid w:val="00B21199"/>
    <w:rsid w:val="00B211C4"/>
    <w:rsid w:val="00B22460"/>
    <w:rsid w:val="00B23C9F"/>
    <w:rsid w:val="00B243FB"/>
    <w:rsid w:val="00B248C5"/>
    <w:rsid w:val="00B25F3C"/>
    <w:rsid w:val="00B26515"/>
    <w:rsid w:val="00B26823"/>
    <w:rsid w:val="00B2747F"/>
    <w:rsid w:val="00B3122B"/>
    <w:rsid w:val="00B3368E"/>
    <w:rsid w:val="00B33865"/>
    <w:rsid w:val="00B35716"/>
    <w:rsid w:val="00B36B37"/>
    <w:rsid w:val="00B36D39"/>
    <w:rsid w:val="00B36F66"/>
    <w:rsid w:val="00B37691"/>
    <w:rsid w:val="00B37762"/>
    <w:rsid w:val="00B401AC"/>
    <w:rsid w:val="00B40706"/>
    <w:rsid w:val="00B4076C"/>
    <w:rsid w:val="00B40C1D"/>
    <w:rsid w:val="00B4127D"/>
    <w:rsid w:val="00B41463"/>
    <w:rsid w:val="00B41D0C"/>
    <w:rsid w:val="00B42533"/>
    <w:rsid w:val="00B42946"/>
    <w:rsid w:val="00B42FBE"/>
    <w:rsid w:val="00B43191"/>
    <w:rsid w:val="00B4408F"/>
    <w:rsid w:val="00B4669C"/>
    <w:rsid w:val="00B46840"/>
    <w:rsid w:val="00B470F8"/>
    <w:rsid w:val="00B472C5"/>
    <w:rsid w:val="00B47E5C"/>
    <w:rsid w:val="00B502F4"/>
    <w:rsid w:val="00B50345"/>
    <w:rsid w:val="00B50C68"/>
    <w:rsid w:val="00B519F6"/>
    <w:rsid w:val="00B51C71"/>
    <w:rsid w:val="00B52101"/>
    <w:rsid w:val="00B52A6D"/>
    <w:rsid w:val="00B53260"/>
    <w:rsid w:val="00B535CA"/>
    <w:rsid w:val="00B53886"/>
    <w:rsid w:val="00B53AFC"/>
    <w:rsid w:val="00B5438F"/>
    <w:rsid w:val="00B549A2"/>
    <w:rsid w:val="00B5614E"/>
    <w:rsid w:val="00B56595"/>
    <w:rsid w:val="00B5727F"/>
    <w:rsid w:val="00B57589"/>
    <w:rsid w:val="00B61C48"/>
    <w:rsid w:val="00B62365"/>
    <w:rsid w:val="00B637C0"/>
    <w:rsid w:val="00B64973"/>
    <w:rsid w:val="00B65670"/>
    <w:rsid w:val="00B6567B"/>
    <w:rsid w:val="00B657B4"/>
    <w:rsid w:val="00B658EF"/>
    <w:rsid w:val="00B662B9"/>
    <w:rsid w:val="00B66789"/>
    <w:rsid w:val="00B67DE8"/>
    <w:rsid w:val="00B71D55"/>
    <w:rsid w:val="00B72628"/>
    <w:rsid w:val="00B72F58"/>
    <w:rsid w:val="00B75518"/>
    <w:rsid w:val="00B75E80"/>
    <w:rsid w:val="00B80286"/>
    <w:rsid w:val="00B80FCF"/>
    <w:rsid w:val="00B81488"/>
    <w:rsid w:val="00B8243B"/>
    <w:rsid w:val="00B82AF5"/>
    <w:rsid w:val="00B82D0F"/>
    <w:rsid w:val="00B836FC"/>
    <w:rsid w:val="00B8378C"/>
    <w:rsid w:val="00B83ADB"/>
    <w:rsid w:val="00B8410F"/>
    <w:rsid w:val="00B845EA"/>
    <w:rsid w:val="00B857EF"/>
    <w:rsid w:val="00B85AB8"/>
    <w:rsid w:val="00B86364"/>
    <w:rsid w:val="00B87A5A"/>
    <w:rsid w:val="00B90B6F"/>
    <w:rsid w:val="00B91204"/>
    <w:rsid w:val="00B9179E"/>
    <w:rsid w:val="00B91870"/>
    <w:rsid w:val="00B92780"/>
    <w:rsid w:val="00B92CC8"/>
    <w:rsid w:val="00B93901"/>
    <w:rsid w:val="00B93E00"/>
    <w:rsid w:val="00B9544C"/>
    <w:rsid w:val="00B9547E"/>
    <w:rsid w:val="00B95E03"/>
    <w:rsid w:val="00B95F52"/>
    <w:rsid w:val="00B97D38"/>
    <w:rsid w:val="00BA0142"/>
    <w:rsid w:val="00BA12DA"/>
    <w:rsid w:val="00BA28BD"/>
    <w:rsid w:val="00BA2AAC"/>
    <w:rsid w:val="00BA3068"/>
    <w:rsid w:val="00BA36E6"/>
    <w:rsid w:val="00BA3D47"/>
    <w:rsid w:val="00BA59ED"/>
    <w:rsid w:val="00BA611D"/>
    <w:rsid w:val="00BA6763"/>
    <w:rsid w:val="00BB093D"/>
    <w:rsid w:val="00BB0CA9"/>
    <w:rsid w:val="00BB1201"/>
    <w:rsid w:val="00BB1C01"/>
    <w:rsid w:val="00BB2317"/>
    <w:rsid w:val="00BB23B6"/>
    <w:rsid w:val="00BB2636"/>
    <w:rsid w:val="00BB2736"/>
    <w:rsid w:val="00BB2868"/>
    <w:rsid w:val="00BB3669"/>
    <w:rsid w:val="00BB4B94"/>
    <w:rsid w:val="00BB5D9C"/>
    <w:rsid w:val="00BB677E"/>
    <w:rsid w:val="00BB6C67"/>
    <w:rsid w:val="00BB7774"/>
    <w:rsid w:val="00BC0343"/>
    <w:rsid w:val="00BC0695"/>
    <w:rsid w:val="00BC08C5"/>
    <w:rsid w:val="00BC0D7B"/>
    <w:rsid w:val="00BC0DC1"/>
    <w:rsid w:val="00BC1916"/>
    <w:rsid w:val="00BC3380"/>
    <w:rsid w:val="00BC36B7"/>
    <w:rsid w:val="00BC53EE"/>
    <w:rsid w:val="00BC5A3F"/>
    <w:rsid w:val="00BC5E6C"/>
    <w:rsid w:val="00BC679A"/>
    <w:rsid w:val="00BC6DDF"/>
    <w:rsid w:val="00BC769A"/>
    <w:rsid w:val="00BD088D"/>
    <w:rsid w:val="00BD1675"/>
    <w:rsid w:val="00BD1697"/>
    <w:rsid w:val="00BD18FF"/>
    <w:rsid w:val="00BD1A0E"/>
    <w:rsid w:val="00BD275A"/>
    <w:rsid w:val="00BD297E"/>
    <w:rsid w:val="00BD2F8B"/>
    <w:rsid w:val="00BD2FCF"/>
    <w:rsid w:val="00BD4152"/>
    <w:rsid w:val="00BD45BB"/>
    <w:rsid w:val="00BD4BFD"/>
    <w:rsid w:val="00BD4D0A"/>
    <w:rsid w:val="00BD553B"/>
    <w:rsid w:val="00BD5763"/>
    <w:rsid w:val="00BD58EE"/>
    <w:rsid w:val="00BE061F"/>
    <w:rsid w:val="00BE1FEB"/>
    <w:rsid w:val="00BE2B1C"/>
    <w:rsid w:val="00BE2E88"/>
    <w:rsid w:val="00BE308D"/>
    <w:rsid w:val="00BE3C7D"/>
    <w:rsid w:val="00BE3ED9"/>
    <w:rsid w:val="00BE5D1F"/>
    <w:rsid w:val="00BE6B71"/>
    <w:rsid w:val="00BE6C02"/>
    <w:rsid w:val="00BE6C99"/>
    <w:rsid w:val="00BE7C54"/>
    <w:rsid w:val="00BF379F"/>
    <w:rsid w:val="00BF46F6"/>
    <w:rsid w:val="00BF6968"/>
    <w:rsid w:val="00BF6ED9"/>
    <w:rsid w:val="00C00584"/>
    <w:rsid w:val="00C03089"/>
    <w:rsid w:val="00C0382A"/>
    <w:rsid w:val="00C04AFA"/>
    <w:rsid w:val="00C05DA8"/>
    <w:rsid w:val="00C06431"/>
    <w:rsid w:val="00C071AE"/>
    <w:rsid w:val="00C07790"/>
    <w:rsid w:val="00C11E4B"/>
    <w:rsid w:val="00C1205E"/>
    <w:rsid w:val="00C126AA"/>
    <w:rsid w:val="00C126BE"/>
    <w:rsid w:val="00C12AC9"/>
    <w:rsid w:val="00C1379E"/>
    <w:rsid w:val="00C13F2E"/>
    <w:rsid w:val="00C146FB"/>
    <w:rsid w:val="00C15C97"/>
    <w:rsid w:val="00C15E66"/>
    <w:rsid w:val="00C16414"/>
    <w:rsid w:val="00C166D3"/>
    <w:rsid w:val="00C17937"/>
    <w:rsid w:val="00C20730"/>
    <w:rsid w:val="00C21AAC"/>
    <w:rsid w:val="00C2287A"/>
    <w:rsid w:val="00C22999"/>
    <w:rsid w:val="00C22C65"/>
    <w:rsid w:val="00C236FE"/>
    <w:rsid w:val="00C2394F"/>
    <w:rsid w:val="00C24AFB"/>
    <w:rsid w:val="00C24B66"/>
    <w:rsid w:val="00C259DF"/>
    <w:rsid w:val="00C25FF8"/>
    <w:rsid w:val="00C26343"/>
    <w:rsid w:val="00C2692B"/>
    <w:rsid w:val="00C26B29"/>
    <w:rsid w:val="00C27163"/>
    <w:rsid w:val="00C27246"/>
    <w:rsid w:val="00C30179"/>
    <w:rsid w:val="00C311E0"/>
    <w:rsid w:val="00C314AD"/>
    <w:rsid w:val="00C31B52"/>
    <w:rsid w:val="00C32EDB"/>
    <w:rsid w:val="00C34124"/>
    <w:rsid w:val="00C3491B"/>
    <w:rsid w:val="00C3725C"/>
    <w:rsid w:val="00C41886"/>
    <w:rsid w:val="00C422DF"/>
    <w:rsid w:val="00C42974"/>
    <w:rsid w:val="00C4318B"/>
    <w:rsid w:val="00C44979"/>
    <w:rsid w:val="00C45158"/>
    <w:rsid w:val="00C45573"/>
    <w:rsid w:val="00C46E81"/>
    <w:rsid w:val="00C47024"/>
    <w:rsid w:val="00C47D70"/>
    <w:rsid w:val="00C501AE"/>
    <w:rsid w:val="00C50B53"/>
    <w:rsid w:val="00C519DA"/>
    <w:rsid w:val="00C5255A"/>
    <w:rsid w:val="00C526A7"/>
    <w:rsid w:val="00C5290A"/>
    <w:rsid w:val="00C5322F"/>
    <w:rsid w:val="00C55136"/>
    <w:rsid w:val="00C55802"/>
    <w:rsid w:val="00C561EF"/>
    <w:rsid w:val="00C569F6"/>
    <w:rsid w:val="00C56C43"/>
    <w:rsid w:val="00C60580"/>
    <w:rsid w:val="00C60C79"/>
    <w:rsid w:val="00C60C9D"/>
    <w:rsid w:val="00C620AC"/>
    <w:rsid w:val="00C63842"/>
    <w:rsid w:val="00C656CA"/>
    <w:rsid w:val="00C6673A"/>
    <w:rsid w:val="00C66D99"/>
    <w:rsid w:val="00C6738E"/>
    <w:rsid w:val="00C677E1"/>
    <w:rsid w:val="00C70417"/>
    <w:rsid w:val="00C70459"/>
    <w:rsid w:val="00C7057B"/>
    <w:rsid w:val="00C712C1"/>
    <w:rsid w:val="00C714C4"/>
    <w:rsid w:val="00C71A7C"/>
    <w:rsid w:val="00C73402"/>
    <w:rsid w:val="00C73C34"/>
    <w:rsid w:val="00C73F1E"/>
    <w:rsid w:val="00C75E75"/>
    <w:rsid w:val="00C75EC9"/>
    <w:rsid w:val="00C75F6F"/>
    <w:rsid w:val="00C7656E"/>
    <w:rsid w:val="00C804C5"/>
    <w:rsid w:val="00C81FA1"/>
    <w:rsid w:val="00C82AA6"/>
    <w:rsid w:val="00C83038"/>
    <w:rsid w:val="00C845DB"/>
    <w:rsid w:val="00C855DF"/>
    <w:rsid w:val="00C85719"/>
    <w:rsid w:val="00C85C0F"/>
    <w:rsid w:val="00C85D43"/>
    <w:rsid w:val="00C8774A"/>
    <w:rsid w:val="00C90289"/>
    <w:rsid w:val="00C90F6C"/>
    <w:rsid w:val="00C91024"/>
    <w:rsid w:val="00C9151F"/>
    <w:rsid w:val="00C921A3"/>
    <w:rsid w:val="00C94478"/>
    <w:rsid w:val="00C952F0"/>
    <w:rsid w:val="00C96377"/>
    <w:rsid w:val="00C970FC"/>
    <w:rsid w:val="00C97CE5"/>
    <w:rsid w:val="00CA023A"/>
    <w:rsid w:val="00CA0C8B"/>
    <w:rsid w:val="00CA1776"/>
    <w:rsid w:val="00CA18BE"/>
    <w:rsid w:val="00CA1B8A"/>
    <w:rsid w:val="00CA3067"/>
    <w:rsid w:val="00CA33BE"/>
    <w:rsid w:val="00CA5CBE"/>
    <w:rsid w:val="00CA61E3"/>
    <w:rsid w:val="00CA740C"/>
    <w:rsid w:val="00CA773F"/>
    <w:rsid w:val="00CA7D72"/>
    <w:rsid w:val="00CA7E66"/>
    <w:rsid w:val="00CB06CD"/>
    <w:rsid w:val="00CB0F9F"/>
    <w:rsid w:val="00CB191C"/>
    <w:rsid w:val="00CB1F39"/>
    <w:rsid w:val="00CB259D"/>
    <w:rsid w:val="00CB355D"/>
    <w:rsid w:val="00CB3570"/>
    <w:rsid w:val="00CB3743"/>
    <w:rsid w:val="00CB4279"/>
    <w:rsid w:val="00CB4735"/>
    <w:rsid w:val="00CB4D7B"/>
    <w:rsid w:val="00CB512E"/>
    <w:rsid w:val="00CB5EB8"/>
    <w:rsid w:val="00CB748A"/>
    <w:rsid w:val="00CB7AC7"/>
    <w:rsid w:val="00CC1651"/>
    <w:rsid w:val="00CC2231"/>
    <w:rsid w:val="00CC22B8"/>
    <w:rsid w:val="00CC2A7C"/>
    <w:rsid w:val="00CC3D0C"/>
    <w:rsid w:val="00CC509F"/>
    <w:rsid w:val="00CC5284"/>
    <w:rsid w:val="00CC5ACB"/>
    <w:rsid w:val="00CC5F99"/>
    <w:rsid w:val="00CC6053"/>
    <w:rsid w:val="00CC6A52"/>
    <w:rsid w:val="00CC7973"/>
    <w:rsid w:val="00CC7E2A"/>
    <w:rsid w:val="00CD00CF"/>
    <w:rsid w:val="00CD3AC3"/>
    <w:rsid w:val="00CD4639"/>
    <w:rsid w:val="00CD6393"/>
    <w:rsid w:val="00CD6CE2"/>
    <w:rsid w:val="00CD7602"/>
    <w:rsid w:val="00CD7AF9"/>
    <w:rsid w:val="00CE000E"/>
    <w:rsid w:val="00CE0C87"/>
    <w:rsid w:val="00CE297D"/>
    <w:rsid w:val="00CE31F2"/>
    <w:rsid w:val="00CE362E"/>
    <w:rsid w:val="00CE38A0"/>
    <w:rsid w:val="00CE3CC2"/>
    <w:rsid w:val="00CE5322"/>
    <w:rsid w:val="00CE6883"/>
    <w:rsid w:val="00CE6988"/>
    <w:rsid w:val="00CE6E79"/>
    <w:rsid w:val="00CE786E"/>
    <w:rsid w:val="00CE7888"/>
    <w:rsid w:val="00CE7BD8"/>
    <w:rsid w:val="00CE7E36"/>
    <w:rsid w:val="00CF0305"/>
    <w:rsid w:val="00CF06C7"/>
    <w:rsid w:val="00CF098F"/>
    <w:rsid w:val="00CF0A2C"/>
    <w:rsid w:val="00CF0D76"/>
    <w:rsid w:val="00CF247E"/>
    <w:rsid w:val="00CF29BB"/>
    <w:rsid w:val="00CF3CF7"/>
    <w:rsid w:val="00CF415B"/>
    <w:rsid w:val="00CF46A9"/>
    <w:rsid w:val="00CF581C"/>
    <w:rsid w:val="00CF5A64"/>
    <w:rsid w:val="00CF6623"/>
    <w:rsid w:val="00CF6A53"/>
    <w:rsid w:val="00CF710C"/>
    <w:rsid w:val="00CF720B"/>
    <w:rsid w:val="00CF7C88"/>
    <w:rsid w:val="00D000F0"/>
    <w:rsid w:val="00D00976"/>
    <w:rsid w:val="00D00AE0"/>
    <w:rsid w:val="00D013F8"/>
    <w:rsid w:val="00D01A90"/>
    <w:rsid w:val="00D01F40"/>
    <w:rsid w:val="00D02178"/>
    <w:rsid w:val="00D0217E"/>
    <w:rsid w:val="00D021DD"/>
    <w:rsid w:val="00D02FFF"/>
    <w:rsid w:val="00D0505C"/>
    <w:rsid w:val="00D05A89"/>
    <w:rsid w:val="00D05F28"/>
    <w:rsid w:val="00D0618C"/>
    <w:rsid w:val="00D06D07"/>
    <w:rsid w:val="00D06E73"/>
    <w:rsid w:val="00D07675"/>
    <w:rsid w:val="00D10D13"/>
    <w:rsid w:val="00D10F35"/>
    <w:rsid w:val="00D11504"/>
    <w:rsid w:val="00D1179C"/>
    <w:rsid w:val="00D11A9C"/>
    <w:rsid w:val="00D123E6"/>
    <w:rsid w:val="00D13B10"/>
    <w:rsid w:val="00D14BF9"/>
    <w:rsid w:val="00D153BE"/>
    <w:rsid w:val="00D15E64"/>
    <w:rsid w:val="00D1620D"/>
    <w:rsid w:val="00D162FC"/>
    <w:rsid w:val="00D17733"/>
    <w:rsid w:val="00D20C0B"/>
    <w:rsid w:val="00D20E16"/>
    <w:rsid w:val="00D22339"/>
    <w:rsid w:val="00D22890"/>
    <w:rsid w:val="00D22DA2"/>
    <w:rsid w:val="00D22FB0"/>
    <w:rsid w:val="00D230EC"/>
    <w:rsid w:val="00D23341"/>
    <w:rsid w:val="00D2359B"/>
    <w:rsid w:val="00D23BC6"/>
    <w:rsid w:val="00D25F6F"/>
    <w:rsid w:val="00D26697"/>
    <w:rsid w:val="00D30489"/>
    <w:rsid w:val="00D322A8"/>
    <w:rsid w:val="00D32965"/>
    <w:rsid w:val="00D33532"/>
    <w:rsid w:val="00D34029"/>
    <w:rsid w:val="00D3549B"/>
    <w:rsid w:val="00D35DC5"/>
    <w:rsid w:val="00D36074"/>
    <w:rsid w:val="00D3679B"/>
    <w:rsid w:val="00D36AE3"/>
    <w:rsid w:val="00D3717F"/>
    <w:rsid w:val="00D37446"/>
    <w:rsid w:val="00D40E34"/>
    <w:rsid w:val="00D40FA6"/>
    <w:rsid w:val="00D4165E"/>
    <w:rsid w:val="00D420FA"/>
    <w:rsid w:val="00D42366"/>
    <w:rsid w:val="00D42BA0"/>
    <w:rsid w:val="00D42BD2"/>
    <w:rsid w:val="00D43EB9"/>
    <w:rsid w:val="00D44067"/>
    <w:rsid w:val="00D441E8"/>
    <w:rsid w:val="00D449A9"/>
    <w:rsid w:val="00D451B1"/>
    <w:rsid w:val="00D45627"/>
    <w:rsid w:val="00D461B5"/>
    <w:rsid w:val="00D4621B"/>
    <w:rsid w:val="00D50451"/>
    <w:rsid w:val="00D50DBE"/>
    <w:rsid w:val="00D50FED"/>
    <w:rsid w:val="00D5362D"/>
    <w:rsid w:val="00D55ABE"/>
    <w:rsid w:val="00D57142"/>
    <w:rsid w:val="00D5790E"/>
    <w:rsid w:val="00D57E23"/>
    <w:rsid w:val="00D60E40"/>
    <w:rsid w:val="00D612C8"/>
    <w:rsid w:val="00D618AD"/>
    <w:rsid w:val="00D618E6"/>
    <w:rsid w:val="00D625AA"/>
    <w:rsid w:val="00D63D85"/>
    <w:rsid w:val="00D64747"/>
    <w:rsid w:val="00D649BC"/>
    <w:rsid w:val="00D669CF"/>
    <w:rsid w:val="00D669E6"/>
    <w:rsid w:val="00D66D57"/>
    <w:rsid w:val="00D66F16"/>
    <w:rsid w:val="00D67401"/>
    <w:rsid w:val="00D67948"/>
    <w:rsid w:val="00D70AF6"/>
    <w:rsid w:val="00D712A7"/>
    <w:rsid w:val="00D71F72"/>
    <w:rsid w:val="00D725AE"/>
    <w:rsid w:val="00D72C35"/>
    <w:rsid w:val="00D741BE"/>
    <w:rsid w:val="00D74940"/>
    <w:rsid w:val="00D75947"/>
    <w:rsid w:val="00D76311"/>
    <w:rsid w:val="00D77786"/>
    <w:rsid w:val="00D810A6"/>
    <w:rsid w:val="00D820C9"/>
    <w:rsid w:val="00D83690"/>
    <w:rsid w:val="00D843E2"/>
    <w:rsid w:val="00D847FD"/>
    <w:rsid w:val="00D851E5"/>
    <w:rsid w:val="00D873F1"/>
    <w:rsid w:val="00D90FDD"/>
    <w:rsid w:val="00D915BF"/>
    <w:rsid w:val="00D918E5"/>
    <w:rsid w:val="00D91990"/>
    <w:rsid w:val="00D93543"/>
    <w:rsid w:val="00D93BF9"/>
    <w:rsid w:val="00D94045"/>
    <w:rsid w:val="00D94227"/>
    <w:rsid w:val="00D94ADE"/>
    <w:rsid w:val="00D96312"/>
    <w:rsid w:val="00D96524"/>
    <w:rsid w:val="00D96596"/>
    <w:rsid w:val="00DA11F9"/>
    <w:rsid w:val="00DA21EB"/>
    <w:rsid w:val="00DA3CB9"/>
    <w:rsid w:val="00DA417D"/>
    <w:rsid w:val="00DA4C96"/>
    <w:rsid w:val="00DA5DBF"/>
    <w:rsid w:val="00DA6B9E"/>
    <w:rsid w:val="00DA76B7"/>
    <w:rsid w:val="00DB0183"/>
    <w:rsid w:val="00DB0E76"/>
    <w:rsid w:val="00DB1EDA"/>
    <w:rsid w:val="00DB24D1"/>
    <w:rsid w:val="00DB2BEE"/>
    <w:rsid w:val="00DB375F"/>
    <w:rsid w:val="00DB4821"/>
    <w:rsid w:val="00DB4AFF"/>
    <w:rsid w:val="00DB5863"/>
    <w:rsid w:val="00DB6195"/>
    <w:rsid w:val="00DC07D2"/>
    <w:rsid w:val="00DC0B1D"/>
    <w:rsid w:val="00DC0EC8"/>
    <w:rsid w:val="00DC2EC0"/>
    <w:rsid w:val="00DC376D"/>
    <w:rsid w:val="00DC4470"/>
    <w:rsid w:val="00DC5966"/>
    <w:rsid w:val="00DC665E"/>
    <w:rsid w:val="00DC7466"/>
    <w:rsid w:val="00DC7562"/>
    <w:rsid w:val="00DC78D2"/>
    <w:rsid w:val="00DC7DCD"/>
    <w:rsid w:val="00DD2899"/>
    <w:rsid w:val="00DD34ED"/>
    <w:rsid w:val="00DD3578"/>
    <w:rsid w:val="00DD3A4B"/>
    <w:rsid w:val="00DD3D25"/>
    <w:rsid w:val="00DD44B0"/>
    <w:rsid w:val="00DD4707"/>
    <w:rsid w:val="00DD56BC"/>
    <w:rsid w:val="00DD6B3F"/>
    <w:rsid w:val="00DD7535"/>
    <w:rsid w:val="00DD7571"/>
    <w:rsid w:val="00DD7924"/>
    <w:rsid w:val="00DE01DE"/>
    <w:rsid w:val="00DE0A1C"/>
    <w:rsid w:val="00DE247B"/>
    <w:rsid w:val="00DE2A40"/>
    <w:rsid w:val="00DE348B"/>
    <w:rsid w:val="00DE3FB7"/>
    <w:rsid w:val="00DE4F34"/>
    <w:rsid w:val="00DE5304"/>
    <w:rsid w:val="00DE566D"/>
    <w:rsid w:val="00DE5EA6"/>
    <w:rsid w:val="00DE716B"/>
    <w:rsid w:val="00DE7366"/>
    <w:rsid w:val="00DE7883"/>
    <w:rsid w:val="00DF09FB"/>
    <w:rsid w:val="00DF1874"/>
    <w:rsid w:val="00DF1BB6"/>
    <w:rsid w:val="00DF1C37"/>
    <w:rsid w:val="00DF271F"/>
    <w:rsid w:val="00E001FE"/>
    <w:rsid w:val="00E0028C"/>
    <w:rsid w:val="00E012AA"/>
    <w:rsid w:val="00E01BDA"/>
    <w:rsid w:val="00E02393"/>
    <w:rsid w:val="00E02E43"/>
    <w:rsid w:val="00E033DA"/>
    <w:rsid w:val="00E033DB"/>
    <w:rsid w:val="00E0346B"/>
    <w:rsid w:val="00E0353C"/>
    <w:rsid w:val="00E0479F"/>
    <w:rsid w:val="00E10B73"/>
    <w:rsid w:val="00E10D96"/>
    <w:rsid w:val="00E111FD"/>
    <w:rsid w:val="00E115ED"/>
    <w:rsid w:val="00E12EB1"/>
    <w:rsid w:val="00E1304C"/>
    <w:rsid w:val="00E14408"/>
    <w:rsid w:val="00E14905"/>
    <w:rsid w:val="00E1518A"/>
    <w:rsid w:val="00E163E4"/>
    <w:rsid w:val="00E16658"/>
    <w:rsid w:val="00E16B19"/>
    <w:rsid w:val="00E17BBB"/>
    <w:rsid w:val="00E17D29"/>
    <w:rsid w:val="00E205F5"/>
    <w:rsid w:val="00E21098"/>
    <w:rsid w:val="00E21B52"/>
    <w:rsid w:val="00E229F8"/>
    <w:rsid w:val="00E24549"/>
    <w:rsid w:val="00E24A57"/>
    <w:rsid w:val="00E25FA3"/>
    <w:rsid w:val="00E26C31"/>
    <w:rsid w:val="00E2715E"/>
    <w:rsid w:val="00E27B06"/>
    <w:rsid w:val="00E3066E"/>
    <w:rsid w:val="00E30B82"/>
    <w:rsid w:val="00E31EFF"/>
    <w:rsid w:val="00E31F97"/>
    <w:rsid w:val="00E32883"/>
    <w:rsid w:val="00E35868"/>
    <w:rsid w:val="00E35B38"/>
    <w:rsid w:val="00E35C3E"/>
    <w:rsid w:val="00E36098"/>
    <w:rsid w:val="00E36C46"/>
    <w:rsid w:val="00E375C7"/>
    <w:rsid w:val="00E37DDB"/>
    <w:rsid w:val="00E4018C"/>
    <w:rsid w:val="00E40643"/>
    <w:rsid w:val="00E41114"/>
    <w:rsid w:val="00E437DD"/>
    <w:rsid w:val="00E43E44"/>
    <w:rsid w:val="00E44247"/>
    <w:rsid w:val="00E442B8"/>
    <w:rsid w:val="00E44A8E"/>
    <w:rsid w:val="00E45E28"/>
    <w:rsid w:val="00E45FD8"/>
    <w:rsid w:val="00E46143"/>
    <w:rsid w:val="00E467DE"/>
    <w:rsid w:val="00E5031F"/>
    <w:rsid w:val="00E50A85"/>
    <w:rsid w:val="00E50C74"/>
    <w:rsid w:val="00E5150D"/>
    <w:rsid w:val="00E518C0"/>
    <w:rsid w:val="00E52826"/>
    <w:rsid w:val="00E53C4B"/>
    <w:rsid w:val="00E54067"/>
    <w:rsid w:val="00E54CB5"/>
    <w:rsid w:val="00E566D7"/>
    <w:rsid w:val="00E5767D"/>
    <w:rsid w:val="00E57DBB"/>
    <w:rsid w:val="00E57ECB"/>
    <w:rsid w:val="00E60390"/>
    <w:rsid w:val="00E60679"/>
    <w:rsid w:val="00E60816"/>
    <w:rsid w:val="00E618D2"/>
    <w:rsid w:val="00E61919"/>
    <w:rsid w:val="00E61A48"/>
    <w:rsid w:val="00E61CB2"/>
    <w:rsid w:val="00E61F7A"/>
    <w:rsid w:val="00E636FD"/>
    <w:rsid w:val="00E6432A"/>
    <w:rsid w:val="00E64454"/>
    <w:rsid w:val="00E650B3"/>
    <w:rsid w:val="00E6601F"/>
    <w:rsid w:val="00E6615A"/>
    <w:rsid w:val="00E66D28"/>
    <w:rsid w:val="00E6749C"/>
    <w:rsid w:val="00E67BB4"/>
    <w:rsid w:val="00E67D55"/>
    <w:rsid w:val="00E701D4"/>
    <w:rsid w:val="00E70815"/>
    <w:rsid w:val="00E7130D"/>
    <w:rsid w:val="00E7155B"/>
    <w:rsid w:val="00E741F5"/>
    <w:rsid w:val="00E74D08"/>
    <w:rsid w:val="00E758EC"/>
    <w:rsid w:val="00E760EC"/>
    <w:rsid w:val="00E77834"/>
    <w:rsid w:val="00E7793D"/>
    <w:rsid w:val="00E80E98"/>
    <w:rsid w:val="00E81273"/>
    <w:rsid w:val="00E8149D"/>
    <w:rsid w:val="00E8165F"/>
    <w:rsid w:val="00E824FC"/>
    <w:rsid w:val="00E82BDF"/>
    <w:rsid w:val="00E83878"/>
    <w:rsid w:val="00E83A88"/>
    <w:rsid w:val="00E83BE0"/>
    <w:rsid w:val="00E84ACF"/>
    <w:rsid w:val="00E84BE4"/>
    <w:rsid w:val="00E84E98"/>
    <w:rsid w:val="00E864AD"/>
    <w:rsid w:val="00E8669F"/>
    <w:rsid w:val="00E87176"/>
    <w:rsid w:val="00E87692"/>
    <w:rsid w:val="00E901A8"/>
    <w:rsid w:val="00E90656"/>
    <w:rsid w:val="00E9104C"/>
    <w:rsid w:val="00E913DC"/>
    <w:rsid w:val="00E9317D"/>
    <w:rsid w:val="00E941A0"/>
    <w:rsid w:val="00E95219"/>
    <w:rsid w:val="00E9568F"/>
    <w:rsid w:val="00E97061"/>
    <w:rsid w:val="00E9793D"/>
    <w:rsid w:val="00EA0F85"/>
    <w:rsid w:val="00EA11B6"/>
    <w:rsid w:val="00EA19C2"/>
    <w:rsid w:val="00EA1F7E"/>
    <w:rsid w:val="00EA236B"/>
    <w:rsid w:val="00EA25E8"/>
    <w:rsid w:val="00EA3D63"/>
    <w:rsid w:val="00EA493A"/>
    <w:rsid w:val="00EA5131"/>
    <w:rsid w:val="00EA5599"/>
    <w:rsid w:val="00EA6355"/>
    <w:rsid w:val="00EA63D7"/>
    <w:rsid w:val="00EA6591"/>
    <w:rsid w:val="00EA6F92"/>
    <w:rsid w:val="00EA7381"/>
    <w:rsid w:val="00EA755E"/>
    <w:rsid w:val="00EA7601"/>
    <w:rsid w:val="00EB1F6E"/>
    <w:rsid w:val="00EB2425"/>
    <w:rsid w:val="00EB2DCB"/>
    <w:rsid w:val="00EB48F5"/>
    <w:rsid w:val="00EB4F7E"/>
    <w:rsid w:val="00EB52E5"/>
    <w:rsid w:val="00EB55EE"/>
    <w:rsid w:val="00EB5DBC"/>
    <w:rsid w:val="00EB6071"/>
    <w:rsid w:val="00EB6746"/>
    <w:rsid w:val="00EB716B"/>
    <w:rsid w:val="00EB7214"/>
    <w:rsid w:val="00EB7BF5"/>
    <w:rsid w:val="00EC0609"/>
    <w:rsid w:val="00EC0859"/>
    <w:rsid w:val="00EC188B"/>
    <w:rsid w:val="00EC1926"/>
    <w:rsid w:val="00EC19C3"/>
    <w:rsid w:val="00EC2581"/>
    <w:rsid w:val="00EC25A9"/>
    <w:rsid w:val="00EC3159"/>
    <w:rsid w:val="00EC3192"/>
    <w:rsid w:val="00EC3A52"/>
    <w:rsid w:val="00EC4888"/>
    <w:rsid w:val="00EC520B"/>
    <w:rsid w:val="00EC56A5"/>
    <w:rsid w:val="00EC5995"/>
    <w:rsid w:val="00ED0426"/>
    <w:rsid w:val="00ED0547"/>
    <w:rsid w:val="00ED0D43"/>
    <w:rsid w:val="00ED0D87"/>
    <w:rsid w:val="00ED1542"/>
    <w:rsid w:val="00ED23F7"/>
    <w:rsid w:val="00ED2443"/>
    <w:rsid w:val="00ED294C"/>
    <w:rsid w:val="00ED2B0C"/>
    <w:rsid w:val="00ED3B0A"/>
    <w:rsid w:val="00ED4633"/>
    <w:rsid w:val="00ED55F2"/>
    <w:rsid w:val="00ED6124"/>
    <w:rsid w:val="00ED6560"/>
    <w:rsid w:val="00ED696D"/>
    <w:rsid w:val="00ED6DD5"/>
    <w:rsid w:val="00ED7902"/>
    <w:rsid w:val="00ED7CD1"/>
    <w:rsid w:val="00EE38C8"/>
    <w:rsid w:val="00EE3C29"/>
    <w:rsid w:val="00EE4906"/>
    <w:rsid w:val="00EE497F"/>
    <w:rsid w:val="00EE65B4"/>
    <w:rsid w:val="00EE6611"/>
    <w:rsid w:val="00EF00E7"/>
    <w:rsid w:val="00EF0112"/>
    <w:rsid w:val="00EF1B28"/>
    <w:rsid w:val="00EF406B"/>
    <w:rsid w:val="00EF484A"/>
    <w:rsid w:val="00EF48E5"/>
    <w:rsid w:val="00EF4CE5"/>
    <w:rsid w:val="00EF5F80"/>
    <w:rsid w:val="00EF7AB0"/>
    <w:rsid w:val="00EF7D69"/>
    <w:rsid w:val="00EF7FBB"/>
    <w:rsid w:val="00F00EEF"/>
    <w:rsid w:val="00F015E2"/>
    <w:rsid w:val="00F02410"/>
    <w:rsid w:val="00F02B17"/>
    <w:rsid w:val="00F043CB"/>
    <w:rsid w:val="00F046C5"/>
    <w:rsid w:val="00F04B72"/>
    <w:rsid w:val="00F05972"/>
    <w:rsid w:val="00F05A7C"/>
    <w:rsid w:val="00F05DEF"/>
    <w:rsid w:val="00F0646D"/>
    <w:rsid w:val="00F07218"/>
    <w:rsid w:val="00F0762D"/>
    <w:rsid w:val="00F07C73"/>
    <w:rsid w:val="00F10DB9"/>
    <w:rsid w:val="00F1135D"/>
    <w:rsid w:val="00F12E07"/>
    <w:rsid w:val="00F13349"/>
    <w:rsid w:val="00F135B0"/>
    <w:rsid w:val="00F13627"/>
    <w:rsid w:val="00F13675"/>
    <w:rsid w:val="00F13762"/>
    <w:rsid w:val="00F13C58"/>
    <w:rsid w:val="00F161D0"/>
    <w:rsid w:val="00F16746"/>
    <w:rsid w:val="00F16B9F"/>
    <w:rsid w:val="00F16C41"/>
    <w:rsid w:val="00F16FA5"/>
    <w:rsid w:val="00F21917"/>
    <w:rsid w:val="00F21B60"/>
    <w:rsid w:val="00F223A5"/>
    <w:rsid w:val="00F23475"/>
    <w:rsid w:val="00F25691"/>
    <w:rsid w:val="00F25FB8"/>
    <w:rsid w:val="00F26147"/>
    <w:rsid w:val="00F26606"/>
    <w:rsid w:val="00F27A47"/>
    <w:rsid w:val="00F30E37"/>
    <w:rsid w:val="00F31F21"/>
    <w:rsid w:val="00F321EB"/>
    <w:rsid w:val="00F33413"/>
    <w:rsid w:val="00F33DA8"/>
    <w:rsid w:val="00F33EED"/>
    <w:rsid w:val="00F349AF"/>
    <w:rsid w:val="00F34BC6"/>
    <w:rsid w:val="00F35D4B"/>
    <w:rsid w:val="00F363B1"/>
    <w:rsid w:val="00F36D6D"/>
    <w:rsid w:val="00F376C8"/>
    <w:rsid w:val="00F37827"/>
    <w:rsid w:val="00F37FA3"/>
    <w:rsid w:val="00F40517"/>
    <w:rsid w:val="00F40548"/>
    <w:rsid w:val="00F40D16"/>
    <w:rsid w:val="00F40E8C"/>
    <w:rsid w:val="00F4399F"/>
    <w:rsid w:val="00F445F0"/>
    <w:rsid w:val="00F44A4E"/>
    <w:rsid w:val="00F44D9C"/>
    <w:rsid w:val="00F45576"/>
    <w:rsid w:val="00F458E3"/>
    <w:rsid w:val="00F45D35"/>
    <w:rsid w:val="00F50281"/>
    <w:rsid w:val="00F519F4"/>
    <w:rsid w:val="00F51DC5"/>
    <w:rsid w:val="00F52A2F"/>
    <w:rsid w:val="00F53E46"/>
    <w:rsid w:val="00F55BCF"/>
    <w:rsid w:val="00F56395"/>
    <w:rsid w:val="00F56556"/>
    <w:rsid w:val="00F56ADC"/>
    <w:rsid w:val="00F6023D"/>
    <w:rsid w:val="00F60271"/>
    <w:rsid w:val="00F6067B"/>
    <w:rsid w:val="00F60725"/>
    <w:rsid w:val="00F607C3"/>
    <w:rsid w:val="00F610B2"/>
    <w:rsid w:val="00F612C2"/>
    <w:rsid w:val="00F626CC"/>
    <w:rsid w:val="00F62CD8"/>
    <w:rsid w:val="00F6307F"/>
    <w:rsid w:val="00F6336F"/>
    <w:rsid w:val="00F6370A"/>
    <w:rsid w:val="00F6438D"/>
    <w:rsid w:val="00F64A35"/>
    <w:rsid w:val="00F659D9"/>
    <w:rsid w:val="00F706ED"/>
    <w:rsid w:val="00F70E88"/>
    <w:rsid w:val="00F7279C"/>
    <w:rsid w:val="00F733BA"/>
    <w:rsid w:val="00F739A2"/>
    <w:rsid w:val="00F747B6"/>
    <w:rsid w:val="00F752D4"/>
    <w:rsid w:val="00F77637"/>
    <w:rsid w:val="00F80778"/>
    <w:rsid w:val="00F80C10"/>
    <w:rsid w:val="00F810DC"/>
    <w:rsid w:val="00F81905"/>
    <w:rsid w:val="00F821DD"/>
    <w:rsid w:val="00F82B30"/>
    <w:rsid w:val="00F82FA0"/>
    <w:rsid w:val="00F83898"/>
    <w:rsid w:val="00F83ADC"/>
    <w:rsid w:val="00F83E5B"/>
    <w:rsid w:val="00F844D2"/>
    <w:rsid w:val="00F84678"/>
    <w:rsid w:val="00F85F7E"/>
    <w:rsid w:val="00F863D1"/>
    <w:rsid w:val="00F87DE4"/>
    <w:rsid w:val="00F87EFC"/>
    <w:rsid w:val="00F901D9"/>
    <w:rsid w:val="00F90B9A"/>
    <w:rsid w:val="00F92AF7"/>
    <w:rsid w:val="00F9425E"/>
    <w:rsid w:val="00F94856"/>
    <w:rsid w:val="00F9582E"/>
    <w:rsid w:val="00F960CD"/>
    <w:rsid w:val="00F97D2C"/>
    <w:rsid w:val="00FA05D7"/>
    <w:rsid w:val="00FA0898"/>
    <w:rsid w:val="00FA08B5"/>
    <w:rsid w:val="00FA0DC0"/>
    <w:rsid w:val="00FA218F"/>
    <w:rsid w:val="00FA30D0"/>
    <w:rsid w:val="00FA3463"/>
    <w:rsid w:val="00FA39D2"/>
    <w:rsid w:val="00FA3ADE"/>
    <w:rsid w:val="00FA4572"/>
    <w:rsid w:val="00FA4729"/>
    <w:rsid w:val="00FA5351"/>
    <w:rsid w:val="00FA5EA3"/>
    <w:rsid w:val="00FA6824"/>
    <w:rsid w:val="00FA70B7"/>
    <w:rsid w:val="00FA737C"/>
    <w:rsid w:val="00FA7F68"/>
    <w:rsid w:val="00FB0262"/>
    <w:rsid w:val="00FB09DD"/>
    <w:rsid w:val="00FB1449"/>
    <w:rsid w:val="00FB1EA7"/>
    <w:rsid w:val="00FB1FB6"/>
    <w:rsid w:val="00FB237B"/>
    <w:rsid w:val="00FB4F44"/>
    <w:rsid w:val="00FB5118"/>
    <w:rsid w:val="00FB56DB"/>
    <w:rsid w:val="00FB6377"/>
    <w:rsid w:val="00FB652D"/>
    <w:rsid w:val="00FB6AB8"/>
    <w:rsid w:val="00FB6E48"/>
    <w:rsid w:val="00FB70A1"/>
    <w:rsid w:val="00FB7384"/>
    <w:rsid w:val="00FB73C2"/>
    <w:rsid w:val="00FB7D42"/>
    <w:rsid w:val="00FC13D4"/>
    <w:rsid w:val="00FC242A"/>
    <w:rsid w:val="00FC29FE"/>
    <w:rsid w:val="00FC3F21"/>
    <w:rsid w:val="00FC49C2"/>
    <w:rsid w:val="00FC4A1E"/>
    <w:rsid w:val="00FC511A"/>
    <w:rsid w:val="00FC548E"/>
    <w:rsid w:val="00FC5C7E"/>
    <w:rsid w:val="00FC6911"/>
    <w:rsid w:val="00FC6D28"/>
    <w:rsid w:val="00FC7B58"/>
    <w:rsid w:val="00FC7C41"/>
    <w:rsid w:val="00FD1E27"/>
    <w:rsid w:val="00FD26C5"/>
    <w:rsid w:val="00FD2BC3"/>
    <w:rsid w:val="00FD37CB"/>
    <w:rsid w:val="00FD5397"/>
    <w:rsid w:val="00FD5C22"/>
    <w:rsid w:val="00FD65B3"/>
    <w:rsid w:val="00FD7747"/>
    <w:rsid w:val="00FD7EDB"/>
    <w:rsid w:val="00FE159E"/>
    <w:rsid w:val="00FE2A7F"/>
    <w:rsid w:val="00FE2D08"/>
    <w:rsid w:val="00FE3295"/>
    <w:rsid w:val="00FE3A12"/>
    <w:rsid w:val="00FE4B39"/>
    <w:rsid w:val="00FE529D"/>
    <w:rsid w:val="00FE5B83"/>
    <w:rsid w:val="00FE7911"/>
    <w:rsid w:val="00FF027D"/>
    <w:rsid w:val="00FF17D9"/>
    <w:rsid w:val="00FF31BA"/>
    <w:rsid w:val="00FF3373"/>
    <w:rsid w:val="00FF35AD"/>
    <w:rsid w:val="00FF3A38"/>
    <w:rsid w:val="00FF3C00"/>
    <w:rsid w:val="00FF3EF5"/>
    <w:rsid w:val="00FF5666"/>
    <w:rsid w:val="00FF6151"/>
    <w:rsid w:val="00FF6E2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uiPriority="10"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B3C"/>
    <w:rPr>
      <w:b/>
      <w:bCs/>
      <w:sz w:val="24"/>
      <w:szCs w:val="24"/>
    </w:rPr>
  </w:style>
  <w:style w:type="paragraph" w:styleId="Titre1">
    <w:name w:val="heading 1"/>
    <w:basedOn w:val="Normal"/>
    <w:next w:val="Normal"/>
    <w:link w:val="Titre1Car1"/>
    <w:qFormat/>
    <w:rsid w:val="00605B3C"/>
    <w:pPr>
      <w:keepNext/>
      <w:spacing w:before="240" w:after="60"/>
      <w:outlineLvl w:val="0"/>
    </w:pPr>
    <w:rPr>
      <w:rFonts w:ascii="Arial" w:hAnsi="Arial" w:cs="Arial"/>
      <w:kern w:val="32"/>
      <w:sz w:val="32"/>
      <w:szCs w:val="32"/>
    </w:rPr>
  </w:style>
  <w:style w:type="paragraph" w:styleId="Titre3">
    <w:name w:val="heading 3"/>
    <w:basedOn w:val="Normal"/>
    <w:next w:val="Normal"/>
    <w:link w:val="Titre3Car"/>
    <w:qFormat/>
    <w:rsid w:val="005E47B3"/>
    <w:pPr>
      <w:keepNext/>
      <w:spacing w:before="240" w:after="60"/>
      <w:outlineLvl w:val="2"/>
    </w:pPr>
    <w:rPr>
      <w:rFonts w:ascii="Cambria" w:hAnsi="Cambria"/>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605B3C"/>
    <w:pPr>
      <w:tabs>
        <w:tab w:val="center" w:pos="4536"/>
        <w:tab w:val="right" w:pos="9072"/>
      </w:tabs>
    </w:pPr>
    <w:rPr>
      <w:b w:val="0"/>
      <w:bCs w:val="0"/>
    </w:rPr>
  </w:style>
  <w:style w:type="paragraph" w:styleId="Notedebasdepage">
    <w:name w:val="footnote text"/>
    <w:basedOn w:val="Normal"/>
    <w:link w:val="NotedebasdepageCar"/>
    <w:uiPriority w:val="99"/>
    <w:semiHidden/>
    <w:rsid w:val="00605B3C"/>
    <w:rPr>
      <w:b w:val="0"/>
      <w:bCs w:val="0"/>
      <w:sz w:val="20"/>
      <w:szCs w:val="20"/>
    </w:rPr>
  </w:style>
  <w:style w:type="character" w:styleId="Appelnotedebasdep">
    <w:name w:val="footnote reference"/>
    <w:basedOn w:val="Policepardfaut"/>
    <w:uiPriority w:val="99"/>
    <w:semiHidden/>
    <w:rsid w:val="00605B3C"/>
    <w:rPr>
      <w:vertAlign w:val="superscript"/>
    </w:rPr>
  </w:style>
  <w:style w:type="character" w:styleId="Numrodepage">
    <w:name w:val="page number"/>
    <w:basedOn w:val="Policepardfaut"/>
    <w:rsid w:val="00605B3C"/>
  </w:style>
  <w:style w:type="paragraph" w:styleId="Titre">
    <w:name w:val="Title"/>
    <w:basedOn w:val="Normal"/>
    <w:link w:val="TitreCar"/>
    <w:uiPriority w:val="10"/>
    <w:qFormat/>
    <w:rsid w:val="00605B3C"/>
    <w:pPr>
      <w:jc w:val="center"/>
    </w:pPr>
    <w:rPr>
      <w:sz w:val="28"/>
      <w:szCs w:val="28"/>
    </w:rPr>
  </w:style>
  <w:style w:type="character" w:customStyle="1" w:styleId="Titre1Car1">
    <w:name w:val="Titre 1 Car1"/>
    <w:basedOn w:val="Policepardfaut"/>
    <w:link w:val="Titre1"/>
    <w:locked/>
    <w:rsid w:val="00605B3C"/>
    <w:rPr>
      <w:rFonts w:ascii="Arial" w:hAnsi="Arial" w:cs="Arial"/>
      <w:b/>
      <w:bCs/>
      <w:kern w:val="32"/>
      <w:sz w:val="32"/>
      <w:szCs w:val="32"/>
      <w:lang w:val="fr-FR" w:eastAsia="fr-FR" w:bidi="ar-SA"/>
    </w:rPr>
  </w:style>
  <w:style w:type="character" w:customStyle="1" w:styleId="PieddepageCar">
    <w:name w:val="Pied de page Car"/>
    <w:basedOn w:val="Policepardfaut"/>
    <w:link w:val="Pieddepage"/>
    <w:locked/>
    <w:rsid w:val="00605B3C"/>
    <w:rPr>
      <w:sz w:val="24"/>
      <w:szCs w:val="24"/>
      <w:lang w:val="fr-FR" w:eastAsia="fr-FR" w:bidi="ar-SA"/>
    </w:rPr>
  </w:style>
  <w:style w:type="character" w:customStyle="1" w:styleId="NotedebasdepageCar">
    <w:name w:val="Note de bas de page Car"/>
    <w:basedOn w:val="Policepardfaut"/>
    <w:link w:val="Notedebasdepage"/>
    <w:uiPriority w:val="99"/>
    <w:semiHidden/>
    <w:locked/>
    <w:rsid w:val="00605B3C"/>
    <w:rPr>
      <w:lang w:val="fr-FR" w:eastAsia="fr-FR" w:bidi="ar-SA"/>
    </w:rPr>
  </w:style>
  <w:style w:type="character" w:customStyle="1" w:styleId="TitreCar">
    <w:name w:val="Titre Car"/>
    <w:basedOn w:val="Policepardfaut"/>
    <w:link w:val="Titre"/>
    <w:uiPriority w:val="10"/>
    <w:locked/>
    <w:rsid w:val="00605B3C"/>
    <w:rPr>
      <w:b/>
      <w:bCs/>
      <w:sz w:val="28"/>
      <w:szCs w:val="28"/>
      <w:lang w:val="fr-FR" w:eastAsia="fr-FR" w:bidi="ar-SA"/>
    </w:rPr>
  </w:style>
  <w:style w:type="paragraph" w:styleId="En-tte">
    <w:name w:val="header"/>
    <w:basedOn w:val="Normal"/>
    <w:rsid w:val="00605B3C"/>
    <w:pPr>
      <w:tabs>
        <w:tab w:val="center" w:pos="4536"/>
        <w:tab w:val="right" w:pos="9072"/>
      </w:tabs>
    </w:pPr>
  </w:style>
  <w:style w:type="character" w:customStyle="1" w:styleId="Titre1Car">
    <w:name w:val="Titre 1 Car"/>
    <w:basedOn w:val="Policepardfaut"/>
    <w:rsid w:val="00CB3743"/>
    <w:rPr>
      <w:rFonts w:ascii="Arial" w:hAnsi="Arial" w:cs="Arial"/>
      <w:b/>
      <w:bCs/>
      <w:kern w:val="32"/>
      <w:sz w:val="32"/>
      <w:szCs w:val="32"/>
      <w:lang w:val="fr-FR" w:eastAsia="fr-FR" w:bidi="ar-SA"/>
    </w:rPr>
  </w:style>
  <w:style w:type="character" w:customStyle="1" w:styleId="CarCar1">
    <w:name w:val="Car Car1"/>
    <w:basedOn w:val="Policepardfaut"/>
    <w:semiHidden/>
    <w:locked/>
    <w:rsid w:val="005E47B3"/>
    <w:rPr>
      <w:lang w:val="fr-FR" w:eastAsia="fr-FR" w:bidi="ar-SA"/>
    </w:rPr>
  </w:style>
  <w:style w:type="character" w:customStyle="1" w:styleId="Titre3Car">
    <w:name w:val="Titre 3 Car"/>
    <w:basedOn w:val="Policepardfaut"/>
    <w:link w:val="Titre3"/>
    <w:semiHidden/>
    <w:rsid w:val="005E47B3"/>
    <w:rPr>
      <w:rFonts w:ascii="Cambria" w:hAnsi="Cambria"/>
      <w:b/>
      <w:bCs/>
      <w:sz w:val="26"/>
      <w:szCs w:val="26"/>
      <w:lang w:val="fr-FR" w:eastAsia="fr-FR" w:bidi="ar-SA"/>
    </w:rPr>
  </w:style>
  <w:style w:type="paragraph" w:styleId="NormalWeb">
    <w:name w:val="Normal (Web)"/>
    <w:basedOn w:val="Normal"/>
    <w:uiPriority w:val="99"/>
    <w:unhideWhenUsed/>
    <w:rsid w:val="009639C6"/>
    <w:pPr>
      <w:spacing w:before="100" w:beforeAutospacing="1" w:after="100" w:afterAutospacing="1"/>
    </w:pPr>
    <w:rPr>
      <w:b w:val="0"/>
      <w:bCs w:val="0"/>
    </w:rPr>
  </w:style>
  <w:style w:type="paragraph" w:styleId="Paragraphedeliste">
    <w:name w:val="List Paragraph"/>
    <w:basedOn w:val="Normal"/>
    <w:uiPriority w:val="34"/>
    <w:qFormat/>
    <w:rsid w:val="00143E1F"/>
    <w:pPr>
      <w:spacing w:after="200" w:line="276" w:lineRule="auto"/>
      <w:ind w:left="720"/>
      <w:contextualSpacing/>
    </w:pPr>
    <w:rPr>
      <w:rFonts w:ascii="Calibri" w:hAnsi="Calibri" w:cs="Arial"/>
      <w:b w:val="0"/>
      <w:bCs w:val="0"/>
      <w:sz w:val="22"/>
      <w:szCs w:val="22"/>
    </w:rPr>
  </w:style>
  <w:style w:type="paragraph" w:styleId="Textedebulles">
    <w:name w:val="Balloon Text"/>
    <w:basedOn w:val="Normal"/>
    <w:link w:val="TextedebullesCar"/>
    <w:rsid w:val="008D2A41"/>
    <w:rPr>
      <w:rFonts w:ascii="Tahoma" w:hAnsi="Tahoma" w:cs="Tahoma"/>
      <w:sz w:val="16"/>
      <w:szCs w:val="16"/>
    </w:rPr>
  </w:style>
  <w:style w:type="character" w:customStyle="1" w:styleId="TextedebullesCar">
    <w:name w:val="Texte de bulles Car"/>
    <w:basedOn w:val="Policepardfaut"/>
    <w:link w:val="Textedebulles"/>
    <w:rsid w:val="008D2A41"/>
    <w:rPr>
      <w:rFonts w:ascii="Tahoma" w:hAnsi="Tahoma" w:cs="Tahoma"/>
      <w:b/>
      <w:bCs/>
      <w:sz w:val="16"/>
      <w:szCs w:val="16"/>
    </w:rPr>
  </w:style>
  <w:style w:type="character" w:customStyle="1" w:styleId="apple-converted-space">
    <w:name w:val="apple-converted-space"/>
    <w:basedOn w:val="Policepardfaut"/>
    <w:rsid w:val="00B04C69"/>
  </w:style>
  <w:style w:type="character" w:styleId="Accentuation">
    <w:name w:val="Emphasis"/>
    <w:basedOn w:val="Policepardfaut"/>
    <w:uiPriority w:val="20"/>
    <w:qFormat/>
    <w:rsid w:val="00B04C69"/>
    <w:rPr>
      <w:i/>
      <w:iCs/>
    </w:rPr>
  </w:style>
  <w:style w:type="character" w:styleId="Lienhypertexte">
    <w:name w:val="Hyperlink"/>
    <w:basedOn w:val="Policepardfaut"/>
    <w:rsid w:val="00B04C69"/>
    <w:rPr>
      <w:color w:val="0000FF" w:themeColor="hyperlink"/>
      <w:u w:val="single"/>
    </w:rPr>
  </w:style>
  <w:style w:type="paragraph" w:styleId="Corpsdetexte">
    <w:name w:val="Body Text"/>
    <w:basedOn w:val="Normal"/>
    <w:link w:val="CorpsdetexteCar"/>
    <w:rsid w:val="001A2924"/>
    <w:pPr>
      <w:jc w:val="both"/>
    </w:pPr>
    <w:rPr>
      <w:rFonts w:ascii="Comic Sans MS" w:hAnsi="Comic Sans MS"/>
      <w:b w:val="0"/>
      <w:bCs w:val="0"/>
      <w:sz w:val="28"/>
      <w:szCs w:val="28"/>
    </w:rPr>
  </w:style>
  <w:style w:type="character" w:customStyle="1" w:styleId="CorpsdetexteCar">
    <w:name w:val="Corps de texte Car"/>
    <w:basedOn w:val="Policepardfaut"/>
    <w:link w:val="Corpsdetexte"/>
    <w:rsid w:val="001A2924"/>
    <w:rPr>
      <w:rFonts w:ascii="Comic Sans MS" w:hAnsi="Comic Sans MS"/>
      <w:sz w:val="28"/>
      <w:szCs w:val="28"/>
    </w:rPr>
  </w:style>
  <w:style w:type="paragraph" w:customStyle="1" w:styleId="Titre21">
    <w:name w:val="Titre 21"/>
    <w:basedOn w:val="Normal"/>
    <w:uiPriority w:val="1"/>
    <w:qFormat/>
    <w:rsid w:val="00C1379E"/>
    <w:pPr>
      <w:widowControl w:val="0"/>
      <w:ind w:left="682" w:hanging="566"/>
      <w:jc w:val="both"/>
      <w:outlineLvl w:val="2"/>
    </w:pPr>
    <w:rPr>
      <w:rFonts w:ascii="Trebuchet MS" w:eastAsia="Trebuchet MS" w:hAnsi="Trebuchet MS" w:cs="Trebuchet MS"/>
      <w:lang w:val="en-US" w:eastAsia="en-US"/>
    </w:rPr>
  </w:style>
  <w:style w:type="paragraph" w:styleId="Sous-titre">
    <w:name w:val="Subtitle"/>
    <w:basedOn w:val="Normal"/>
    <w:link w:val="Sous-titreCar"/>
    <w:qFormat/>
    <w:rsid w:val="0052462F"/>
    <w:rPr>
      <w:lang w:bidi="ar-MA"/>
    </w:rPr>
  </w:style>
  <w:style w:type="character" w:customStyle="1" w:styleId="Sous-titreCar">
    <w:name w:val="Sous-titre Car"/>
    <w:basedOn w:val="Policepardfaut"/>
    <w:link w:val="Sous-titre"/>
    <w:rsid w:val="0052462F"/>
    <w:rPr>
      <w:b/>
      <w:bCs/>
      <w:sz w:val="24"/>
      <w:szCs w:val="24"/>
      <w:lang w:bidi="ar-MA"/>
    </w:rPr>
  </w:style>
  <w:style w:type="paragraph" w:customStyle="1" w:styleId="Style1">
    <w:name w:val="Style1"/>
    <w:basedOn w:val="Titre1"/>
    <w:rsid w:val="00AF7BE5"/>
    <w:pPr>
      <w:bidi/>
      <w:spacing w:before="120"/>
    </w:pPr>
    <w:rPr>
      <w:rFonts w:ascii="Simplified Arabic" w:eastAsia="SimSun" w:hAnsi="Simplified Arabic" w:cs="Times New Roman"/>
      <w:b w:val="0"/>
      <w:i/>
      <w:iCs/>
      <w:sz w:val="36"/>
      <w:szCs w:val="36"/>
      <w:lang w:eastAsia="zh-CN"/>
    </w:rPr>
  </w:style>
  <w:style w:type="character" w:customStyle="1" w:styleId="BodytextItalicSpacing0pt">
    <w:name w:val="Body text + Italic;Spacing 0 pt"/>
    <w:basedOn w:val="Policepardfaut"/>
    <w:rsid w:val="00083592"/>
    <w:rPr>
      <w:rFonts w:ascii="Book Antiqua" w:eastAsia="Book Antiqua" w:hAnsi="Book Antiqua" w:cs="Book Antiqua"/>
      <w:b w:val="0"/>
      <w:bCs w:val="0"/>
      <w:i/>
      <w:iCs/>
      <w:smallCaps w:val="0"/>
      <w:strike w:val="0"/>
      <w:color w:val="000000"/>
      <w:spacing w:val="-10"/>
      <w:w w:val="100"/>
      <w:position w:val="0"/>
      <w:sz w:val="17"/>
      <w:szCs w:val="17"/>
      <w:u w:val="none"/>
      <w:lang w:val="fr-FR"/>
    </w:rPr>
  </w:style>
  <w:style w:type="character" w:customStyle="1" w:styleId="Bodytext">
    <w:name w:val="Body text_"/>
    <w:basedOn w:val="Policepardfaut"/>
    <w:link w:val="Bodytext0"/>
    <w:rsid w:val="00083592"/>
    <w:rPr>
      <w:rFonts w:ascii="Book Antiqua" w:eastAsia="Book Antiqua" w:hAnsi="Book Antiqua" w:cs="Book Antiqua"/>
      <w:sz w:val="17"/>
      <w:szCs w:val="17"/>
      <w:shd w:val="clear" w:color="auto" w:fill="FFFFFF"/>
    </w:rPr>
  </w:style>
  <w:style w:type="paragraph" w:customStyle="1" w:styleId="Bodytext0">
    <w:name w:val="Body text"/>
    <w:basedOn w:val="Normal"/>
    <w:link w:val="Bodytext"/>
    <w:rsid w:val="00083592"/>
    <w:pPr>
      <w:widowControl w:val="0"/>
      <w:shd w:val="clear" w:color="auto" w:fill="FFFFFF"/>
      <w:spacing w:line="259" w:lineRule="exact"/>
      <w:ind w:hanging="200"/>
    </w:pPr>
    <w:rPr>
      <w:rFonts w:ascii="Book Antiqua" w:eastAsia="Book Antiqua" w:hAnsi="Book Antiqua" w:cs="Book Antiqua"/>
      <w:b w:val="0"/>
      <w:bCs w:val="0"/>
      <w:sz w:val="17"/>
      <w:szCs w:val="17"/>
    </w:rPr>
  </w:style>
  <w:style w:type="character" w:customStyle="1" w:styleId="Bodytext14">
    <w:name w:val="Body text (14)"/>
    <w:basedOn w:val="Policepardfaut"/>
    <w:rsid w:val="00083592"/>
    <w:rPr>
      <w:rFonts w:ascii="Times New Roman" w:eastAsia="Times New Roman" w:hAnsi="Times New Roman" w:cs="Times New Roman"/>
      <w:b/>
      <w:bCs/>
      <w:i/>
      <w:iCs/>
      <w:smallCaps w:val="0"/>
      <w:strike w:val="0"/>
      <w:color w:val="000000"/>
      <w:spacing w:val="0"/>
      <w:w w:val="100"/>
      <w:position w:val="0"/>
      <w:sz w:val="17"/>
      <w:szCs w:val="17"/>
      <w:u w:val="none"/>
      <w:lang w:val="fr-FR"/>
    </w:rPr>
  </w:style>
  <w:style w:type="paragraph" w:customStyle="1" w:styleId="marker">
    <w:name w:val="marker"/>
    <w:basedOn w:val="Normal"/>
    <w:rsid w:val="00083592"/>
    <w:pPr>
      <w:spacing w:before="100" w:beforeAutospacing="1" w:after="100" w:afterAutospacing="1"/>
    </w:pPr>
    <w:rPr>
      <w:b w:val="0"/>
      <w:bCs w:val="0"/>
    </w:rPr>
  </w:style>
  <w:style w:type="paragraph" w:customStyle="1" w:styleId="m5064850193103259754gmail-msonormal">
    <w:name w:val="m_5064850193103259754gmail-msonormal"/>
    <w:basedOn w:val="Normal"/>
    <w:rsid w:val="005C199F"/>
    <w:pPr>
      <w:spacing w:before="100" w:beforeAutospacing="1" w:after="100" w:afterAutospacing="1"/>
    </w:pPr>
    <w:rPr>
      <w:b w:val="0"/>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uiPriority="10"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B3C"/>
    <w:rPr>
      <w:b/>
      <w:bCs/>
      <w:sz w:val="24"/>
      <w:szCs w:val="24"/>
    </w:rPr>
  </w:style>
  <w:style w:type="paragraph" w:styleId="Titre1">
    <w:name w:val="heading 1"/>
    <w:basedOn w:val="Normal"/>
    <w:next w:val="Normal"/>
    <w:link w:val="Titre1Car1"/>
    <w:qFormat/>
    <w:rsid w:val="00605B3C"/>
    <w:pPr>
      <w:keepNext/>
      <w:spacing w:before="240" w:after="60"/>
      <w:outlineLvl w:val="0"/>
    </w:pPr>
    <w:rPr>
      <w:rFonts w:ascii="Arial" w:hAnsi="Arial" w:cs="Arial"/>
      <w:kern w:val="32"/>
      <w:sz w:val="32"/>
      <w:szCs w:val="32"/>
    </w:rPr>
  </w:style>
  <w:style w:type="paragraph" w:styleId="Titre3">
    <w:name w:val="heading 3"/>
    <w:basedOn w:val="Normal"/>
    <w:next w:val="Normal"/>
    <w:link w:val="Titre3Car"/>
    <w:qFormat/>
    <w:rsid w:val="005E47B3"/>
    <w:pPr>
      <w:keepNext/>
      <w:spacing w:before="240" w:after="60"/>
      <w:outlineLvl w:val="2"/>
    </w:pPr>
    <w:rPr>
      <w:rFonts w:ascii="Cambria" w:hAnsi="Cambria"/>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605B3C"/>
    <w:pPr>
      <w:tabs>
        <w:tab w:val="center" w:pos="4536"/>
        <w:tab w:val="right" w:pos="9072"/>
      </w:tabs>
    </w:pPr>
    <w:rPr>
      <w:b w:val="0"/>
      <w:bCs w:val="0"/>
    </w:rPr>
  </w:style>
  <w:style w:type="paragraph" w:styleId="Notedebasdepage">
    <w:name w:val="footnote text"/>
    <w:basedOn w:val="Normal"/>
    <w:link w:val="NotedebasdepageCar"/>
    <w:uiPriority w:val="99"/>
    <w:semiHidden/>
    <w:rsid w:val="00605B3C"/>
    <w:rPr>
      <w:b w:val="0"/>
      <w:bCs w:val="0"/>
      <w:sz w:val="20"/>
      <w:szCs w:val="20"/>
    </w:rPr>
  </w:style>
  <w:style w:type="character" w:styleId="Appelnotedebasdep">
    <w:name w:val="footnote reference"/>
    <w:basedOn w:val="Policepardfaut"/>
    <w:uiPriority w:val="99"/>
    <w:semiHidden/>
    <w:rsid w:val="00605B3C"/>
    <w:rPr>
      <w:vertAlign w:val="superscript"/>
    </w:rPr>
  </w:style>
  <w:style w:type="character" w:styleId="Numrodepage">
    <w:name w:val="page number"/>
    <w:basedOn w:val="Policepardfaut"/>
    <w:rsid w:val="00605B3C"/>
  </w:style>
  <w:style w:type="paragraph" w:styleId="Titre">
    <w:name w:val="Title"/>
    <w:basedOn w:val="Normal"/>
    <w:link w:val="TitreCar"/>
    <w:uiPriority w:val="10"/>
    <w:qFormat/>
    <w:rsid w:val="00605B3C"/>
    <w:pPr>
      <w:jc w:val="center"/>
    </w:pPr>
    <w:rPr>
      <w:sz w:val="28"/>
      <w:szCs w:val="28"/>
    </w:rPr>
  </w:style>
  <w:style w:type="character" w:customStyle="1" w:styleId="Titre1Car1">
    <w:name w:val="Titre 1 Car1"/>
    <w:basedOn w:val="Policepardfaut"/>
    <w:link w:val="Titre1"/>
    <w:locked/>
    <w:rsid w:val="00605B3C"/>
    <w:rPr>
      <w:rFonts w:ascii="Arial" w:hAnsi="Arial" w:cs="Arial"/>
      <w:b/>
      <w:bCs/>
      <w:kern w:val="32"/>
      <w:sz w:val="32"/>
      <w:szCs w:val="32"/>
      <w:lang w:val="fr-FR" w:eastAsia="fr-FR" w:bidi="ar-SA"/>
    </w:rPr>
  </w:style>
  <w:style w:type="character" w:customStyle="1" w:styleId="PieddepageCar">
    <w:name w:val="Pied de page Car"/>
    <w:basedOn w:val="Policepardfaut"/>
    <w:link w:val="Pieddepage"/>
    <w:locked/>
    <w:rsid w:val="00605B3C"/>
    <w:rPr>
      <w:sz w:val="24"/>
      <w:szCs w:val="24"/>
      <w:lang w:val="fr-FR" w:eastAsia="fr-FR" w:bidi="ar-SA"/>
    </w:rPr>
  </w:style>
  <w:style w:type="character" w:customStyle="1" w:styleId="NotedebasdepageCar">
    <w:name w:val="Note de bas de page Car"/>
    <w:basedOn w:val="Policepardfaut"/>
    <w:link w:val="Notedebasdepage"/>
    <w:uiPriority w:val="99"/>
    <w:semiHidden/>
    <w:locked/>
    <w:rsid w:val="00605B3C"/>
    <w:rPr>
      <w:lang w:val="fr-FR" w:eastAsia="fr-FR" w:bidi="ar-SA"/>
    </w:rPr>
  </w:style>
  <w:style w:type="character" w:customStyle="1" w:styleId="TitreCar">
    <w:name w:val="Titre Car"/>
    <w:basedOn w:val="Policepardfaut"/>
    <w:link w:val="Titre"/>
    <w:uiPriority w:val="10"/>
    <w:locked/>
    <w:rsid w:val="00605B3C"/>
    <w:rPr>
      <w:b/>
      <w:bCs/>
      <w:sz w:val="28"/>
      <w:szCs w:val="28"/>
      <w:lang w:val="fr-FR" w:eastAsia="fr-FR" w:bidi="ar-SA"/>
    </w:rPr>
  </w:style>
  <w:style w:type="paragraph" w:styleId="En-tte">
    <w:name w:val="header"/>
    <w:basedOn w:val="Normal"/>
    <w:rsid w:val="00605B3C"/>
    <w:pPr>
      <w:tabs>
        <w:tab w:val="center" w:pos="4536"/>
        <w:tab w:val="right" w:pos="9072"/>
      </w:tabs>
    </w:pPr>
  </w:style>
  <w:style w:type="character" w:customStyle="1" w:styleId="Titre1Car">
    <w:name w:val="Titre 1 Car"/>
    <w:basedOn w:val="Policepardfaut"/>
    <w:rsid w:val="00CB3743"/>
    <w:rPr>
      <w:rFonts w:ascii="Arial" w:hAnsi="Arial" w:cs="Arial"/>
      <w:b/>
      <w:bCs/>
      <w:kern w:val="32"/>
      <w:sz w:val="32"/>
      <w:szCs w:val="32"/>
      <w:lang w:val="fr-FR" w:eastAsia="fr-FR" w:bidi="ar-SA"/>
    </w:rPr>
  </w:style>
  <w:style w:type="character" w:customStyle="1" w:styleId="CarCar1">
    <w:name w:val="Car Car1"/>
    <w:basedOn w:val="Policepardfaut"/>
    <w:semiHidden/>
    <w:locked/>
    <w:rsid w:val="005E47B3"/>
    <w:rPr>
      <w:lang w:val="fr-FR" w:eastAsia="fr-FR" w:bidi="ar-SA"/>
    </w:rPr>
  </w:style>
  <w:style w:type="character" w:customStyle="1" w:styleId="Titre3Car">
    <w:name w:val="Titre 3 Car"/>
    <w:basedOn w:val="Policepardfaut"/>
    <w:link w:val="Titre3"/>
    <w:semiHidden/>
    <w:rsid w:val="005E47B3"/>
    <w:rPr>
      <w:rFonts w:ascii="Cambria" w:hAnsi="Cambria"/>
      <w:b/>
      <w:bCs/>
      <w:sz w:val="26"/>
      <w:szCs w:val="26"/>
      <w:lang w:val="fr-FR" w:eastAsia="fr-FR" w:bidi="ar-SA"/>
    </w:rPr>
  </w:style>
  <w:style w:type="paragraph" w:styleId="NormalWeb">
    <w:name w:val="Normal (Web)"/>
    <w:basedOn w:val="Normal"/>
    <w:uiPriority w:val="99"/>
    <w:unhideWhenUsed/>
    <w:rsid w:val="009639C6"/>
    <w:pPr>
      <w:spacing w:before="100" w:beforeAutospacing="1" w:after="100" w:afterAutospacing="1"/>
    </w:pPr>
    <w:rPr>
      <w:b w:val="0"/>
      <w:bCs w:val="0"/>
    </w:rPr>
  </w:style>
  <w:style w:type="paragraph" w:styleId="Paragraphedeliste">
    <w:name w:val="List Paragraph"/>
    <w:basedOn w:val="Normal"/>
    <w:uiPriority w:val="34"/>
    <w:qFormat/>
    <w:rsid w:val="00143E1F"/>
    <w:pPr>
      <w:spacing w:after="200" w:line="276" w:lineRule="auto"/>
      <w:ind w:left="720"/>
      <w:contextualSpacing/>
    </w:pPr>
    <w:rPr>
      <w:rFonts w:ascii="Calibri" w:hAnsi="Calibri" w:cs="Arial"/>
      <w:b w:val="0"/>
      <w:bCs w:val="0"/>
      <w:sz w:val="22"/>
      <w:szCs w:val="22"/>
    </w:rPr>
  </w:style>
  <w:style w:type="paragraph" w:styleId="Textedebulles">
    <w:name w:val="Balloon Text"/>
    <w:basedOn w:val="Normal"/>
    <w:link w:val="TextedebullesCar"/>
    <w:rsid w:val="008D2A41"/>
    <w:rPr>
      <w:rFonts w:ascii="Tahoma" w:hAnsi="Tahoma" w:cs="Tahoma"/>
      <w:sz w:val="16"/>
      <w:szCs w:val="16"/>
    </w:rPr>
  </w:style>
  <w:style w:type="character" w:customStyle="1" w:styleId="TextedebullesCar">
    <w:name w:val="Texte de bulles Car"/>
    <w:basedOn w:val="Policepardfaut"/>
    <w:link w:val="Textedebulles"/>
    <w:rsid w:val="008D2A41"/>
    <w:rPr>
      <w:rFonts w:ascii="Tahoma" w:hAnsi="Tahoma" w:cs="Tahoma"/>
      <w:b/>
      <w:bCs/>
      <w:sz w:val="16"/>
      <w:szCs w:val="16"/>
    </w:rPr>
  </w:style>
  <w:style w:type="character" w:customStyle="1" w:styleId="apple-converted-space">
    <w:name w:val="apple-converted-space"/>
    <w:basedOn w:val="Policepardfaut"/>
    <w:rsid w:val="00B04C69"/>
  </w:style>
  <w:style w:type="character" w:styleId="Accentuation">
    <w:name w:val="Emphasis"/>
    <w:basedOn w:val="Policepardfaut"/>
    <w:uiPriority w:val="20"/>
    <w:qFormat/>
    <w:rsid w:val="00B04C69"/>
    <w:rPr>
      <w:i/>
      <w:iCs/>
    </w:rPr>
  </w:style>
  <w:style w:type="character" w:styleId="Lienhypertexte">
    <w:name w:val="Hyperlink"/>
    <w:basedOn w:val="Policepardfaut"/>
    <w:rsid w:val="00B04C69"/>
    <w:rPr>
      <w:color w:val="0000FF" w:themeColor="hyperlink"/>
      <w:u w:val="single"/>
    </w:rPr>
  </w:style>
  <w:style w:type="paragraph" w:styleId="Corpsdetexte">
    <w:name w:val="Body Text"/>
    <w:basedOn w:val="Normal"/>
    <w:link w:val="CorpsdetexteCar"/>
    <w:rsid w:val="001A2924"/>
    <w:pPr>
      <w:jc w:val="both"/>
    </w:pPr>
    <w:rPr>
      <w:rFonts w:ascii="Comic Sans MS" w:hAnsi="Comic Sans MS"/>
      <w:b w:val="0"/>
      <w:bCs w:val="0"/>
      <w:sz w:val="28"/>
      <w:szCs w:val="28"/>
    </w:rPr>
  </w:style>
  <w:style w:type="character" w:customStyle="1" w:styleId="CorpsdetexteCar">
    <w:name w:val="Corps de texte Car"/>
    <w:basedOn w:val="Policepardfaut"/>
    <w:link w:val="Corpsdetexte"/>
    <w:rsid w:val="001A2924"/>
    <w:rPr>
      <w:rFonts w:ascii="Comic Sans MS" w:hAnsi="Comic Sans MS"/>
      <w:sz w:val="28"/>
      <w:szCs w:val="28"/>
    </w:rPr>
  </w:style>
  <w:style w:type="paragraph" w:customStyle="1" w:styleId="Titre21">
    <w:name w:val="Titre 21"/>
    <w:basedOn w:val="Normal"/>
    <w:uiPriority w:val="1"/>
    <w:qFormat/>
    <w:rsid w:val="00C1379E"/>
    <w:pPr>
      <w:widowControl w:val="0"/>
      <w:ind w:left="682" w:hanging="566"/>
      <w:jc w:val="both"/>
      <w:outlineLvl w:val="2"/>
    </w:pPr>
    <w:rPr>
      <w:rFonts w:ascii="Trebuchet MS" w:eastAsia="Trebuchet MS" w:hAnsi="Trebuchet MS" w:cs="Trebuchet MS"/>
      <w:lang w:val="en-US" w:eastAsia="en-US"/>
    </w:rPr>
  </w:style>
  <w:style w:type="paragraph" w:styleId="Sous-titre">
    <w:name w:val="Subtitle"/>
    <w:basedOn w:val="Normal"/>
    <w:link w:val="Sous-titreCar"/>
    <w:qFormat/>
    <w:rsid w:val="0052462F"/>
    <w:rPr>
      <w:lang w:bidi="ar-MA"/>
    </w:rPr>
  </w:style>
  <w:style w:type="character" w:customStyle="1" w:styleId="Sous-titreCar">
    <w:name w:val="Sous-titre Car"/>
    <w:basedOn w:val="Policepardfaut"/>
    <w:link w:val="Sous-titre"/>
    <w:rsid w:val="0052462F"/>
    <w:rPr>
      <w:b/>
      <w:bCs/>
      <w:sz w:val="24"/>
      <w:szCs w:val="24"/>
      <w:lang w:bidi="ar-MA"/>
    </w:rPr>
  </w:style>
</w:styles>
</file>

<file path=word/webSettings.xml><?xml version="1.0" encoding="utf-8"?>
<w:webSettings xmlns:r="http://schemas.openxmlformats.org/officeDocument/2006/relationships" xmlns:w="http://schemas.openxmlformats.org/wordprocessingml/2006/main">
  <w:divs>
    <w:div w:id="142352479">
      <w:bodyDiv w:val="1"/>
      <w:marLeft w:val="0"/>
      <w:marRight w:val="0"/>
      <w:marTop w:val="0"/>
      <w:marBottom w:val="0"/>
      <w:divBdr>
        <w:top w:val="none" w:sz="0" w:space="0" w:color="auto"/>
        <w:left w:val="none" w:sz="0" w:space="0" w:color="auto"/>
        <w:bottom w:val="none" w:sz="0" w:space="0" w:color="auto"/>
        <w:right w:val="none" w:sz="0" w:space="0" w:color="auto"/>
      </w:divBdr>
      <w:divsChild>
        <w:div w:id="1036849393">
          <w:marLeft w:val="0"/>
          <w:marRight w:val="0"/>
          <w:marTop w:val="0"/>
          <w:marBottom w:val="0"/>
          <w:divBdr>
            <w:top w:val="none" w:sz="0" w:space="0" w:color="auto"/>
            <w:left w:val="none" w:sz="0" w:space="0" w:color="auto"/>
            <w:bottom w:val="none" w:sz="0" w:space="0" w:color="auto"/>
            <w:right w:val="none" w:sz="0" w:space="0" w:color="auto"/>
          </w:divBdr>
        </w:div>
      </w:divsChild>
    </w:div>
    <w:div w:id="335422849">
      <w:bodyDiv w:val="1"/>
      <w:marLeft w:val="0"/>
      <w:marRight w:val="0"/>
      <w:marTop w:val="0"/>
      <w:marBottom w:val="0"/>
      <w:divBdr>
        <w:top w:val="none" w:sz="0" w:space="0" w:color="auto"/>
        <w:left w:val="none" w:sz="0" w:space="0" w:color="auto"/>
        <w:bottom w:val="none" w:sz="0" w:space="0" w:color="auto"/>
        <w:right w:val="none" w:sz="0" w:space="0" w:color="auto"/>
      </w:divBdr>
    </w:div>
    <w:div w:id="398864884">
      <w:bodyDiv w:val="1"/>
      <w:marLeft w:val="0"/>
      <w:marRight w:val="0"/>
      <w:marTop w:val="0"/>
      <w:marBottom w:val="0"/>
      <w:divBdr>
        <w:top w:val="none" w:sz="0" w:space="0" w:color="auto"/>
        <w:left w:val="none" w:sz="0" w:space="0" w:color="auto"/>
        <w:bottom w:val="none" w:sz="0" w:space="0" w:color="auto"/>
        <w:right w:val="none" w:sz="0" w:space="0" w:color="auto"/>
      </w:divBdr>
    </w:div>
    <w:div w:id="445738984">
      <w:bodyDiv w:val="1"/>
      <w:marLeft w:val="0"/>
      <w:marRight w:val="0"/>
      <w:marTop w:val="0"/>
      <w:marBottom w:val="0"/>
      <w:divBdr>
        <w:top w:val="none" w:sz="0" w:space="0" w:color="auto"/>
        <w:left w:val="none" w:sz="0" w:space="0" w:color="auto"/>
        <w:bottom w:val="none" w:sz="0" w:space="0" w:color="auto"/>
        <w:right w:val="none" w:sz="0" w:space="0" w:color="auto"/>
      </w:divBdr>
    </w:div>
    <w:div w:id="661156666">
      <w:bodyDiv w:val="1"/>
      <w:marLeft w:val="0"/>
      <w:marRight w:val="0"/>
      <w:marTop w:val="0"/>
      <w:marBottom w:val="0"/>
      <w:divBdr>
        <w:top w:val="none" w:sz="0" w:space="0" w:color="auto"/>
        <w:left w:val="none" w:sz="0" w:space="0" w:color="auto"/>
        <w:bottom w:val="none" w:sz="0" w:space="0" w:color="auto"/>
        <w:right w:val="none" w:sz="0" w:space="0" w:color="auto"/>
      </w:divBdr>
    </w:div>
    <w:div w:id="869538591">
      <w:bodyDiv w:val="1"/>
      <w:marLeft w:val="0"/>
      <w:marRight w:val="0"/>
      <w:marTop w:val="0"/>
      <w:marBottom w:val="0"/>
      <w:divBdr>
        <w:top w:val="none" w:sz="0" w:space="0" w:color="auto"/>
        <w:left w:val="none" w:sz="0" w:space="0" w:color="auto"/>
        <w:bottom w:val="none" w:sz="0" w:space="0" w:color="auto"/>
        <w:right w:val="none" w:sz="0" w:space="0" w:color="auto"/>
      </w:divBdr>
    </w:div>
    <w:div w:id="903686277">
      <w:bodyDiv w:val="1"/>
      <w:marLeft w:val="0"/>
      <w:marRight w:val="0"/>
      <w:marTop w:val="0"/>
      <w:marBottom w:val="0"/>
      <w:divBdr>
        <w:top w:val="none" w:sz="0" w:space="0" w:color="auto"/>
        <w:left w:val="none" w:sz="0" w:space="0" w:color="auto"/>
        <w:bottom w:val="none" w:sz="0" w:space="0" w:color="auto"/>
        <w:right w:val="none" w:sz="0" w:space="0" w:color="auto"/>
      </w:divBdr>
    </w:div>
    <w:div w:id="904532409">
      <w:bodyDiv w:val="1"/>
      <w:marLeft w:val="0"/>
      <w:marRight w:val="0"/>
      <w:marTop w:val="0"/>
      <w:marBottom w:val="0"/>
      <w:divBdr>
        <w:top w:val="none" w:sz="0" w:space="0" w:color="auto"/>
        <w:left w:val="none" w:sz="0" w:space="0" w:color="auto"/>
        <w:bottom w:val="none" w:sz="0" w:space="0" w:color="auto"/>
        <w:right w:val="none" w:sz="0" w:space="0" w:color="auto"/>
      </w:divBdr>
    </w:div>
    <w:div w:id="948699713">
      <w:bodyDiv w:val="1"/>
      <w:marLeft w:val="0"/>
      <w:marRight w:val="0"/>
      <w:marTop w:val="0"/>
      <w:marBottom w:val="0"/>
      <w:divBdr>
        <w:top w:val="none" w:sz="0" w:space="0" w:color="auto"/>
        <w:left w:val="none" w:sz="0" w:space="0" w:color="auto"/>
        <w:bottom w:val="none" w:sz="0" w:space="0" w:color="auto"/>
        <w:right w:val="none" w:sz="0" w:space="0" w:color="auto"/>
      </w:divBdr>
      <w:divsChild>
        <w:div w:id="1518737274">
          <w:marLeft w:val="0"/>
          <w:marRight w:val="0"/>
          <w:marTop w:val="0"/>
          <w:marBottom w:val="0"/>
          <w:divBdr>
            <w:top w:val="none" w:sz="0" w:space="0" w:color="auto"/>
            <w:left w:val="none" w:sz="0" w:space="0" w:color="auto"/>
            <w:bottom w:val="none" w:sz="0" w:space="0" w:color="auto"/>
            <w:right w:val="none" w:sz="0" w:space="0" w:color="auto"/>
          </w:divBdr>
          <w:divsChild>
            <w:div w:id="99881427">
              <w:marLeft w:val="0"/>
              <w:marRight w:val="0"/>
              <w:marTop w:val="0"/>
              <w:marBottom w:val="0"/>
              <w:divBdr>
                <w:top w:val="none" w:sz="0" w:space="0" w:color="auto"/>
                <w:left w:val="none" w:sz="0" w:space="0" w:color="auto"/>
                <w:bottom w:val="none" w:sz="0" w:space="0" w:color="auto"/>
                <w:right w:val="none" w:sz="0" w:space="0" w:color="auto"/>
              </w:divBdr>
            </w:div>
            <w:div w:id="356473208">
              <w:marLeft w:val="0"/>
              <w:marRight w:val="0"/>
              <w:marTop w:val="0"/>
              <w:marBottom w:val="0"/>
              <w:divBdr>
                <w:top w:val="none" w:sz="0" w:space="0" w:color="auto"/>
                <w:left w:val="none" w:sz="0" w:space="0" w:color="auto"/>
                <w:bottom w:val="none" w:sz="0" w:space="0" w:color="auto"/>
                <w:right w:val="none" w:sz="0" w:space="0" w:color="auto"/>
              </w:divBdr>
            </w:div>
            <w:div w:id="671377469">
              <w:marLeft w:val="0"/>
              <w:marRight w:val="0"/>
              <w:marTop w:val="0"/>
              <w:marBottom w:val="0"/>
              <w:divBdr>
                <w:top w:val="none" w:sz="0" w:space="0" w:color="auto"/>
                <w:left w:val="none" w:sz="0" w:space="0" w:color="auto"/>
                <w:bottom w:val="none" w:sz="0" w:space="0" w:color="auto"/>
                <w:right w:val="none" w:sz="0" w:space="0" w:color="auto"/>
              </w:divBdr>
            </w:div>
            <w:div w:id="1861972229">
              <w:marLeft w:val="0"/>
              <w:marRight w:val="0"/>
              <w:marTop w:val="0"/>
              <w:marBottom w:val="0"/>
              <w:divBdr>
                <w:top w:val="none" w:sz="0" w:space="0" w:color="auto"/>
                <w:left w:val="none" w:sz="0" w:space="0" w:color="auto"/>
                <w:bottom w:val="none" w:sz="0" w:space="0" w:color="auto"/>
                <w:right w:val="none" w:sz="0" w:space="0" w:color="auto"/>
              </w:divBdr>
            </w:div>
            <w:div w:id="197304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35951">
      <w:bodyDiv w:val="1"/>
      <w:marLeft w:val="0"/>
      <w:marRight w:val="0"/>
      <w:marTop w:val="0"/>
      <w:marBottom w:val="0"/>
      <w:divBdr>
        <w:top w:val="none" w:sz="0" w:space="0" w:color="auto"/>
        <w:left w:val="none" w:sz="0" w:space="0" w:color="auto"/>
        <w:bottom w:val="none" w:sz="0" w:space="0" w:color="auto"/>
        <w:right w:val="none" w:sz="0" w:space="0" w:color="auto"/>
      </w:divBdr>
    </w:div>
    <w:div w:id="1309558247">
      <w:bodyDiv w:val="1"/>
      <w:marLeft w:val="0"/>
      <w:marRight w:val="0"/>
      <w:marTop w:val="0"/>
      <w:marBottom w:val="0"/>
      <w:divBdr>
        <w:top w:val="none" w:sz="0" w:space="0" w:color="auto"/>
        <w:left w:val="none" w:sz="0" w:space="0" w:color="auto"/>
        <w:bottom w:val="none" w:sz="0" w:space="0" w:color="auto"/>
        <w:right w:val="none" w:sz="0" w:space="0" w:color="auto"/>
      </w:divBdr>
    </w:div>
    <w:div w:id="1558391726">
      <w:bodyDiv w:val="1"/>
      <w:marLeft w:val="0"/>
      <w:marRight w:val="0"/>
      <w:marTop w:val="0"/>
      <w:marBottom w:val="0"/>
      <w:divBdr>
        <w:top w:val="none" w:sz="0" w:space="0" w:color="auto"/>
        <w:left w:val="none" w:sz="0" w:space="0" w:color="auto"/>
        <w:bottom w:val="none" w:sz="0" w:space="0" w:color="auto"/>
        <w:right w:val="none" w:sz="0" w:space="0" w:color="auto"/>
      </w:divBdr>
    </w:div>
    <w:div w:id="1562016299">
      <w:bodyDiv w:val="1"/>
      <w:marLeft w:val="0"/>
      <w:marRight w:val="0"/>
      <w:marTop w:val="0"/>
      <w:marBottom w:val="0"/>
      <w:divBdr>
        <w:top w:val="none" w:sz="0" w:space="0" w:color="auto"/>
        <w:left w:val="none" w:sz="0" w:space="0" w:color="auto"/>
        <w:bottom w:val="none" w:sz="0" w:space="0" w:color="auto"/>
        <w:right w:val="none" w:sz="0" w:space="0" w:color="auto"/>
      </w:divBdr>
    </w:div>
    <w:div w:id="1612323197">
      <w:bodyDiv w:val="1"/>
      <w:marLeft w:val="0"/>
      <w:marRight w:val="0"/>
      <w:marTop w:val="0"/>
      <w:marBottom w:val="0"/>
      <w:divBdr>
        <w:top w:val="none" w:sz="0" w:space="0" w:color="auto"/>
        <w:left w:val="none" w:sz="0" w:space="0" w:color="auto"/>
        <w:bottom w:val="none" w:sz="0" w:space="0" w:color="auto"/>
        <w:right w:val="none" w:sz="0" w:space="0" w:color="auto"/>
      </w:divBdr>
    </w:div>
    <w:div w:id="1675841810">
      <w:bodyDiv w:val="1"/>
      <w:marLeft w:val="0"/>
      <w:marRight w:val="0"/>
      <w:marTop w:val="0"/>
      <w:marBottom w:val="0"/>
      <w:divBdr>
        <w:top w:val="none" w:sz="0" w:space="0" w:color="auto"/>
        <w:left w:val="none" w:sz="0" w:space="0" w:color="auto"/>
        <w:bottom w:val="none" w:sz="0" w:space="0" w:color="auto"/>
        <w:right w:val="none" w:sz="0" w:space="0" w:color="auto"/>
      </w:divBdr>
    </w:div>
    <w:div w:id="1935018467">
      <w:bodyDiv w:val="1"/>
      <w:marLeft w:val="0"/>
      <w:marRight w:val="0"/>
      <w:marTop w:val="0"/>
      <w:marBottom w:val="0"/>
      <w:divBdr>
        <w:top w:val="none" w:sz="0" w:space="0" w:color="auto"/>
        <w:left w:val="none" w:sz="0" w:space="0" w:color="auto"/>
        <w:bottom w:val="none" w:sz="0" w:space="0" w:color="auto"/>
        <w:right w:val="none" w:sz="0" w:space="0" w:color="auto"/>
      </w:divBdr>
    </w:div>
    <w:div w:id="199657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44D20-EF0D-48ED-950B-E770C52EC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3915</Words>
  <Characters>21537</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Rabat, le 3 février 2009</vt:lpstr>
    </vt:vector>
  </TitlesOfParts>
  <Company>HCP</Company>
  <LinksUpToDate>false</LinksUpToDate>
  <CharactersWithSpaces>25402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Rabat, le 3 février 2009</dc:title>
  <dc:creator>Elhousni</dc:creator>
  <cp:lastModifiedBy>User</cp:lastModifiedBy>
  <cp:revision>2</cp:revision>
  <cp:lastPrinted>2017-07-05T08:48:00Z</cp:lastPrinted>
  <dcterms:created xsi:type="dcterms:W3CDTF">2017-12-20T18:37:00Z</dcterms:created>
  <dcterms:modified xsi:type="dcterms:W3CDTF">2017-12-20T18:37:00Z</dcterms:modified>
</cp:coreProperties>
</file>