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A52" w:rsidRDefault="00FE10A9" w:rsidP="000C1A52">
      <w:pPr>
        <w:bidi/>
        <w:jc w:val="center"/>
        <w:outlineLvl w:val="0"/>
        <w:rPr>
          <w:rFonts w:cs="Simplified Arabic"/>
          <w:b/>
          <w:bCs/>
          <w:sz w:val="28"/>
          <w:szCs w:val="28"/>
          <w:rtl/>
          <w:lang w:bidi="ar-MA"/>
        </w:rPr>
      </w:pPr>
      <w:r w:rsidRPr="000C1A52">
        <w:t xml:space="preserve"> </w:t>
      </w:r>
      <w:r w:rsidR="000C1A52">
        <w:rPr>
          <w:rFonts w:cs="Simplified Arabic"/>
          <w:b/>
          <w:bCs/>
          <w:sz w:val="28"/>
          <w:szCs w:val="28"/>
          <w:lang w:bidi="ar-MA"/>
        </w:rPr>
        <w:t xml:space="preserve"> </w:t>
      </w:r>
    </w:p>
    <w:p w:rsidR="000C1A52" w:rsidRDefault="000C1A52" w:rsidP="000C1A52">
      <w:pPr>
        <w:bidi/>
        <w:jc w:val="center"/>
        <w:outlineLvl w:val="0"/>
        <w:rPr>
          <w:rFonts w:cs="Simplified Arabic"/>
          <w:b/>
          <w:bCs/>
          <w:sz w:val="28"/>
          <w:szCs w:val="28"/>
          <w:rtl/>
          <w:lang w:bidi="ar-MA"/>
        </w:rPr>
      </w:pPr>
    </w:p>
    <w:p w:rsidR="000C1A52" w:rsidRDefault="000C1A52" w:rsidP="000C1A52">
      <w:pPr>
        <w:bidi/>
        <w:jc w:val="center"/>
        <w:outlineLvl w:val="0"/>
        <w:rPr>
          <w:rFonts w:cs="Simplified Arabic"/>
          <w:b/>
          <w:bCs/>
          <w:sz w:val="28"/>
          <w:szCs w:val="28"/>
          <w:lang w:bidi="ar-MA"/>
        </w:rPr>
      </w:pPr>
    </w:p>
    <w:p w:rsidR="00FE10A9" w:rsidRDefault="00FE10A9" w:rsidP="000C1A52">
      <w:pPr>
        <w:rPr>
          <w:rtl/>
        </w:rPr>
      </w:pPr>
    </w:p>
    <w:p w:rsidR="00D34048" w:rsidRDefault="00D34048" w:rsidP="000C1A52">
      <w:pPr>
        <w:rPr>
          <w:rtl/>
        </w:rPr>
      </w:pPr>
    </w:p>
    <w:p w:rsidR="00D34048" w:rsidRDefault="00D34048" w:rsidP="000C1A52">
      <w:pPr>
        <w:rPr>
          <w:rtl/>
        </w:rPr>
      </w:pPr>
    </w:p>
    <w:p w:rsidR="00D34048" w:rsidRDefault="00D34048" w:rsidP="000C1A52">
      <w:pPr>
        <w:rPr>
          <w:rtl/>
        </w:rPr>
      </w:pPr>
    </w:p>
    <w:p w:rsidR="00D34048" w:rsidRDefault="00D34048" w:rsidP="000C1A52">
      <w:pPr>
        <w:rPr>
          <w:rtl/>
        </w:rPr>
      </w:pPr>
    </w:p>
    <w:p w:rsidR="00D34048" w:rsidRDefault="00D34048" w:rsidP="000C1A52">
      <w:pPr>
        <w:rPr>
          <w:rtl/>
        </w:rPr>
      </w:pPr>
    </w:p>
    <w:p w:rsidR="00D34048" w:rsidRDefault="00D34048" w:rsidP="000C1A52">
      <w:pPr>
        <w:rPr>
          <w:rtl/>
        </w:rPr>
      </w:pPr>
    </w:p>
    <w:p w:rsidR="00D34048" w:rsidRPr="00EE4CBF" w:rsidRDefault="00D34048" w:rsidP="00D34048">
      <w:pPr>
        <w:spacing w:after="120"/>
        <w:jc w:val="center"/>
        <w:rPr>
          <w:rFonts w:ascii="Book Antiqua" w:eastAsia="Calibri" w:hAnsi="Book Antiqua"/>
          <w:b/>
          <w:bCs/>
          <w:color w:val="984806"/>
          <w:sz w:val="40"/>
          <w:szCs w:val="40"/>
          <w:lang w:eastAsia="en-US"/>
        </w:rPr>
      </w:pPr>
      <w:r w:rsidRPr="00EE4CBF">
        <w:rPr>
          <w:rFonts w:ascii="Book Antiqua" w:eastAsia="Calibri" w:hAnsi="Book Antiqua"/>
          <w:b/>
          <w:bCs/>
          <w:color w:val="984806"/>
          <w:sz w:val="40"/>
          <w:szCs w:val="40"/>
          <w:lang w:eastAsia="en-US"/>
        </w:rPr>
        <w:t>Changement de la base des comptes nationaux</w:t>
      </w:r>
    </w:p>
    <w:p w:rsidR="00D34048" w:rsidRPr="00EE4CBF" w:rsidRDefault="00D34048" w:rsidP="00D34048">
      <w:pPr>
        <w:spacing w:after="120"/>
        <w:jc w:val="center"/>
        <w:rPr>
          <w:rFonts w:ascii="Book Antiqua" w:eastAsia="Calibri" w:hAnsi="Book Antiqua" w:cs="Calibri"/>
          <w:sz w:val="40"/>
          <w:szCs w:val="40"/>
        </w:rPr>
      </w:pPr>
      <w:r w:rsidRPr="00EE4CBF">
        <w:rPr>
          <w:rFonts w:ascii="Book Antiqua" w:eastAsia="Calibri" w:hAnsi="Book Antiqua"/>
          <w:b/>
          <w:bCs/>
          <w:color w:val="984806"/>
          <w:sz w:val="40"/>
          <w:szCs w:val="40"/>
          <w:lang w:eastAsia="en-US"/>
        </w:rPr>
        <w:t>2007 au lieu de 1998</w:t>
      </w:r>
    </w:p>
    <w:p w:rsidR="00D34048" w:rsidRDefault="00D34048" w:rsidP="000C1A52">
      <w:pPr>
        <w:rPr>
          <w:rtl/>
        </w:rPr>
      </w:pPr>
    </w:p>
    <w:p w:rsidR="00D34048" w:rsidRDefault="00D34048" w:rsidP="000C1A52">
      <w:pPr>
        <w:rPr>
          <w:rtl/>
        </w:rPr>
      </w:pPr>
    </w:p>
    <w:p w:rsidR="00D34048" w:rsidRDefault="00D34048" w:rsidP="000C1A52">
      <w:pPr>
        <w:rPr>
          <w:rtl/>
        </w:rPr>
      </w:pPr>
    </w:p>
    <w:p w:rsidR="00D34048" w:rsidRDefault="00D34048" w:rsidP="000C1A52"/>
    <w:p w:rsidR="00EE4CBF" w:rsidRDefault="00EE4CBF" w:rsidP="000C1A52">
      <w:pPr>
        <w:rPr>
          <w:rtl/>
        </w:rPr>
      </w:pPr>
    </w:p>
    <w:p w:rsidR="00D34048" w:rsidRDefault="00D34048" w:rsidP="000C1A52">
      <w:pPr>
        <w:rPr>
          <w:rtl/>
        </w:rPr>
      </w:pPr>
    </w:p>
    <w:p w:rsidR="00D34048" w:rsidRDefault="00D34048" w:rsidP="000C1A52">
      <w:pPr>
        <w:rPr>
          <w:rtl/>
        </w:rPr>
      </w:pPr>
    </w:p>
    <w:p w:rsidR="00D34048" w:rsidRDefault="00D34048" w:rsidP="000C1A52">
      <w:pPr>
        <w:rPr>
          <w:rtl/>
        </w:rPr>
      </w:pPr>
    </w:p>
    <w:p w:rsidR="00D34048" w:rsidRDefault="00D34048" w:rsidP="000C1A52">
      <w:pPr>
        <w:rPr>
          <w:rtl/>
        </w:rPr>
      </w:pPr>
    </w:p>
    <w:p w:rsidR="00EE4CBF" w:rsidRDefault="00272A85" w:rsidP="00EE4CBF">
      <w:pPr>
        <w:spacing w:line="360" w:lineRule="auto"/>
        <w:jc w:val="center"/>
        <w:rPr>
          <w:rFonts w:ascii="Book Antiqua" w:eastAsia="Calibri" w:hAnsi="Book Antiqua"/>
          <w:b/>
          <w:bCs/>
          <w:i/>
          <w:iCs/>
          <w:sz w:val="32"/>
          <w:szCs w:val="32"/>
          <w:lang w:eastAsia="en-US"/>
        </w:rPr>
      </w:pPr>
      <w:r w:rsidRPr="00EE4CBF">
        <w:rPr>
          <w:rFonts w:ascii="Book Antiqua" w:eastAsia="Calibri" w:hAnsi="Book Antiqua"/>
          <w:b/>
          <w:bCs/>
          <w:i/>
          <w:iCs/>
          <w:sz w:val="32"/>
          <w:szCs w:val="32"/>
          <w:lang w:eastAsia="en-US"/>
        </w:rPr>
        <w:t xml:space="preserve">Rencontre en partenariat avec la CGEM </w:t>
      </w:r>
    </w:p>
    <w:p w:rsidR="00D34048" w:rsidRPr="00EE4CBF" w:rsidRDefault="00272A85" w:rsidP="00EE4CBF">
      <w:pPr>
        <w:spacing w:line="360" w:lineRule="auto"/>
        <w:jc w:val="center"/>
        <w:rPr>
          <w:rFonts w:ascii="Book Antiqua" w:eastAsia="Calibri" w:hAnsi="Book Antiqua"/>
          <w:b/>
          <w:bCs/>
          <w:i/>
          <w:iCs/>
          <w:sz w:val="32"/>
          <w:szCs w:val="32"/>
          <w:lang w:eastAsia="en-US"/>
        </w:rPr>
      </w:pPr>
      <w:r w:rsidRPr="00EE4CBF">
        <w:rPr>
          <w:rFonts w:ascii="Book Antiqua" w:eastAsia="Calibri" w:hAnsi="Book Antiqua"/>
          <w:b/>
          <w:bCs/>
          <w:i/>
          <w:iCs/>
          <w:sz w:val="32"/>
          <w:szCs w:val="32"/>
          <w:lang w:eastAsia="en-US"/>
        </w:rPr>
        <w:t>pour le lancement de l’ENSE 2015</w:t>
      </w:r>
    </w:p>
    <w:p w:rsidR="00EE4CBF" w:rsidRDefault="00EE4CBF" w:rsidP="00272A85">
      <w:pPr>
        <w:jc w:val="center"/>
        <w:rPr>
          <w:rFonts w:ascii="Book Antiqua" w:eastAsia="Calibri" w:hAnsi="Book Antiqua"/>
          <w:b/>
          <w:bCs/>
          <w:color w:val="984806"/>
          <w:sz w:val="32"/>
          <w:szCs w:val="32"/>
          <w:lang w:eastAsia="en-US"/>
        </w:rPr>
      </w:pPr>
    </w:p>
    <w:p w:rsidR="00EE4CBF" w:rsidRDefault="00EE4CBF" w:rsidP="00272A85">
      <w:pPr>
        <w:jc w:val="center"/>
        <w:rPr>
          <w:rFonts w:ascii="Book Antiqua" w:eastAsia="Calibri" w:hAnsi="Book Antiqua"/>
          <w:b/>
          <w:bCs/>
          <w:color w:val="984806"/>
          <w:sz w:val="32"/>
          <w:szCs w:val="32"/>
          <w:lang w:eastAsia="en-US"/>
        </w:rPr>
      </w:pPr>
    </w:p>
    <w:p w:rsidR="00EE4CBF" w:rsidRDefault="00EE4CBF" w:rsidP="00272A85">
      <w:pPr>
        <w:jc w:val="center"/>
        <w:rPr>
          <w:rFonts w:ascii="Book Antiqua" w:eastAsia="Calibri" w:hAnsi="Book Antiqua"/>
          <w:b/>
          <w:bCs/>
          <w:color w:val="984806"/>
          <w:sz w:val="32"/>
          <w:szCs w:val="32"/>
          <w:lang w:eastAsia="en-US"/>
        </w:rPr>
      </w:pPr>
    </w:p>
    <w:p w:rsidR="00EE4CBF" w:rsidRDefault="00EE4CBF" w:rsidP="00272A85">
      <w:pPr>
        <w:jc w:val="center"/>
        <w:rPr>
          <w:rFonts w:ascii="Book Antiqua" w:eastAsia="Calibri" w:hAnsi="Book Antiqua"/>
          <w:b/>
          <w:bCs/>
          <w:color w:val="984806"/>
          <w:sz w:val="32"/>
          <w:szCs w:val="32"/>
          <w:lang w:eastAsia="en-US"/>
        </w:rPr>
      </w:pPr>
    </w:p>
    <w:p w:rsidR="00EE4CBF" w:rsidRDefault="0089392B" w:rsidP="00272A85">
      <w:pPr>
        <w:jc w:val="center"/>
        <w:rPr>
          <w:rFonts w:ascii="Book Antiqua" w:eastAsia="Calibri" w:hAnsi="Book Antiqua"/>
          <w:b/>
          <w:bCs/>
          <w:color w:val="984806"/>
          <w:sz w:val="32"/>
          <w:szCs w:val="32"/>
          <w:lang w:eastAsia="en-US"/>
        </w:rPr>
      </w:pPr>
      <w:r>
        <w:rPr>
          <w:rFonts w:ascii="Book Antiqua" w:eastAsia="Calibri" w:hAnsi="Book Antiqua"/>
          <w:b/>
          <w:bCs/>
          <w:color w:val="984806"/>
          <w:sz w:val="32"/>
          <w:szCs w:val="32"/>
          <w:lang w:eastAsia="en-US"/>
        </w:rPr>
        <w:t xml:space="preserve">    </w:t>
      </w:r>
    </w:p>
    <w:p w:rsidR="00EE4CBF" w:rsidRDefault="00EE4CBF" w:rsidP="00272A85">
      <w:pPr>
        <w:jc w:val="center"/>
        <w:rPr>
          <w:rFonts w:ascii="Book Antiqua" w:eastAsia="Calibri" w:hAnsi="Book Antiqua"/>
          <w:b/>
          <w:bCs/>
          <w:color w:val="984806"/>
          <w:sz w:val="32"/>
          <w:szCs w:val="32"/>
          <w:lang w:eastAsia="en-US"/>
        </w:rPr>
      </w:pPr>
    </w:p>
    <w:p w:rsidR="00EE4CBF" w:rsidRDefault="00EE4CBF" w:rsidP="00272A85">
      <w:pPr>
        <w:jc w:val="center"/>
        <w:rPr>
          <w:rFonts w:ascii="Book Antiqua" w:eastAsia="Calibri" w:hAnsi="Book Antiqua"/>
          <w:b/>
          <w:bCs/>
          <w:color w:val="984806"/>
          <w:sz w:val="32"/>
          <w:szCs w:val="32"/>
          <w:lang w:eastAsia="en-US"/>
        </w:rPr>
      </w:pPr>
    </w:p>
    <w:p w:rsidR="00EE4CBF" w:rsidRDefault="00EE4CBF" w:rsidP="00272A85">
      <w:pPr>
        <w:jc w:val="center"/>
        <w:rPr>
          <w:rFonts w:ascii="Book Antiqua" w:eastAsia="Calibri" w:hAnsi="Book Antiqua"/>
          <w:b/>
          <w:bCs/>
          <w:color w:val="984806"/>
          <w:sz w:val="32"/>
          <w:szCs w:val="32"/>
          <w:lang w:eastAsia="en-US"/>
        </w:rPr>
      </w:pPr>
    </w:p>
    <w:p w:rsidR="00EE4CBF" w:rsidRDefault="00EE4CBF" w:rsidP="00272A85">
      <w:pPr>
        <w:jc w:val="center"/>
        <w:rPr>
          <w:rFonts w:ascii="Book Antiqua" w:eastAsia="Calibri" w:hAnsi="Book Antiqua"/>
          <w:b/>
          <w:bCs/>
          <w:color w:val="984806"/>
          <w:sz w:val="32"/>
          <w:szCs w:val="32"/>
          <w:lang w:eastAsia="en-US"/>
        </w:rPr>
      </w:pPr>
    </w:p>
    <w:p w:rsidR="00EE4CBF" w:rsidRDefault="00EE4CBF" w:rsidP="00272A85">
      <w:pPr>
        <w:jc w:val="center"/>
        <w:rPr>
          <w:rFonts w:ascii="Book Antiqua" w:eastAsia="Calibri" w:hAnsi="Book Antiqua"/>
          <w:b/>
          <w:bCs/>
          <w:color w:val="984806"/>
          <w:sz w:val="32"/>
          <w:szCs w:val="32"/>
          <w:lang w:eastAsia="en-US"/>
        </w:rPr>
      </w:pPr>
    </w:p>
    <w:p w:rsidR="00EE4CBF" w:rsidRDefault="00EE4CBF" w:rsidP="00272A85">
      <w:pPr>
        <w:jc w:val="center"/>
        <w:rPr>
          <w:rFonts w:ascii="Book Antiqua" w:eastAsia="Calibri" w:hAnsi="Book Antiqua"/>
          <w:b/>
          <w:bCs/>
          <w:color w:val="984806"/>
          <w:sz w:val="32"/>
          <w:szCs w:val="32"/>
          <w:lang w:eastAsia="en-US"/>
        </w:rPr>
      </w:pPr>
    </w:p>
    <w:p w:rsidR="00EE4CBF" w:rsidRDefault="00EE4CBF" w:rsidP="00272A85">
      <w:pPr>
        <w:jc w:val="center"/>
        <w:rPr>
          <w:rFonts w:ascii="Book Antiqua" w:eastAsia="Calibri" w:hAnsi="Book Antiqua"/>
          <w:b/>
          <w:bCs/>
          <w:color w:val="984806"/>
          <w:sz w:val="32"/>
          <w:szCs w:val="32"/>
          <w:lang w:eastAsia="en-US"/>
        </w:rPr>
      </w:pPr>
    </w:p>
    <w:p w:rsidR="00EE4CBF" w:rsidRDefault="00EE4CBF" w:rsidP="00272A85">
      <w:pPr>
        <w:jc w:val="center"/>
        <w:rPr>
          <w:rFonts w:ascii="Book Antiqua" w:eastAsia="Calibri" w:hAnsi="Book Antiqua"/>
          <w:b/>
          <w:bCs/>
          <w:color w:val="984806"/>
          <w:sz w:val="32"/>
          <w:szCs w:val="32"/>
          <w:lang w:eastAsia="en-US"/>
        </w:rPr>
      </w:pPr>
    </w:p>
    <w:p w:rsidR="00EE4CBF" w:rsidRDefault="00EE4CBF" w:rsidP="00F9394F">
      <w:pPr>
        <w:jc w:val="center"/>
        <w:rPr>
          <w:rFonts w:ascii="Book Antiqua" w:eastAsia="Calibri" w:hAnsi="Book Antiqua"/>
          <w:b/>
          <w:bCs/>
          <w:color w:val="984806"/>
          <w:sz w:val="32"/>
          <w:szCs w:val="32"/>
          <w:lang w:eastAsia="en-US"/>
        </w:rPr>
      </w:pPr>
      <w:r>
        <w:rPr>
          <w:rFonts w:ascii="Book Antiqua" w:eastAsia="Calibri" w:hAnsi="Book Antiqua"/>
          <w:b/>
          <w:bCs/>
          <w:color w:val="984806"/>
          <w:sz w:val="32"/>
          <w:szCs w:val="32"/>
          <w:lang w:eastAsia="en-US"/>
        </w:rPr>
        <w:t>Casablanca 30 Avril 2015</w:t>
      </w:r>
    </w:p>
    <w:p w:rsidR="00EE4CBF" w:rsidRDefault="00EE4CBF" w:rsidP="00EE4CBF">
      <w:pPr>
        <w:jc w:val="right"/>
        <w:rPr>
          <w:rFonts w:ascii="Book Antiqua" w:eastAsia="Calibri" w:hAnsi="Book Antiqua"/>
          <w:b/>
          <w:bCs/>
          <w:color w:val="984806"/>
          <w:sz w:val="32"/>
          <w:szCs w:val="32"/>
          <w:lang w:eastAsia="en-US"/>
        </w:rPr>
      </w:pPr>
    </w:p>
    <w:p w:rsidR="00EE4CBF" w:rsidRPr="00540EB2" w:rsidRDefault="00EE4CBF" w:rsidP="00EE4CBF">
      <w:pPr>
        <w:spacing w:after="120"/>
        <w:jc w:val="center"/>
        <w:rPr>
          <w:rFonts w:ascii="Book Antiqua" w:eastAsia="Calibri" w:hAnsi="Book Antiqua"/>
          <w:b/>
          <w:bCs/>
          <w:color w:val="984806"/>
          <w:sz w:val="40"/>
          <w:szCs w:val="40"/>
          <w:lang w:eastAsia="en-US"/>
        </w:rPr>
      </w:pPr>
      <w:r w:rsidRPr="00540EB2">
        <w:rPr>
          <w:rFonts w:ascii="Book Antiqua" w:eastAsia="Calibri" w:hAnsi="Book Antiqua"/>
          <w:b/>
          <w:bCs/>
          <w:color w:val="984806"/>
          <w:sz w:val="40"/>
          <w:szCs w:val="40"/>
          <w:lang w:eastAsia="en-US"/>
        </w:rPr>
        <w:lastRenderedPageBreak/>
        <w:t>Changement de la base des comptes nationaux</w:t>
      </w:r>
    </w:p>
    <w:p w:rsidR="00EE4CBF" w:rsidRPr="00540EB2" w:rsidRDefault="00EE4CBF" w:rsidP="00EE4CBF">
      <w:pPr>
        <w:spacing w:after="120"/>
        <w:jc w:val="center"/>
        <w:rPr>
          <w:rFonts w:ascii="Book Antiqua" w:eastAsia="Calibri" w:hAnsi="Book Antiqua" w:cs="Calibri"/>
        </w:rPr>
      </w:pPr>
      <w:r w:rsidRPr="00540EB2">
        <w:rPr>
          <w:rFonts w:ascii="Book Antiqua" w:eastAsia="Calibri" w:hAnsi="Book Antiqua"/>
          <w:b/>
          <w:bCs/>
          <w:color w:val="984806"/>
          <w:sz w:val="40"/>
          <w:szCs w:val="40"/>
          <w:lang w:eastAsia="en-US"/>
        </w:rPr>
        <w:t>2007 au lieu de</w:t>
      </w:r>
      <w:r>
        <w:rPr>
          <w:rFonts w:ascii="Book Antiqua" w:eastAsia="Calibri" w:hAnsi="Book Antiqua"/>
          <w:b/>
          <w:bCs/>
          <w:color w:val="984806"/>
          <w:sz w:val="40"/>
          <w:szCs w:val="40"/>
          <w:lang w:eastAsia="en-US"/>
        </w:rPr>
        <w:t xml:space="preserve"> </w:t>
      </w:r>
      <w:r w:rsidRPr="00540EB2">
        <w:rPr>
          <w:rFonts w:ascii="Book Antiqua" w:eastAsia="Calibri" w:hAnsi="Book Antiqua"/>
          <w:b/>
          <w:bCs/>
          <w:color w:val="984806"/>
          <w:sz w:val="40"/>
          <w:szCs w:val="40"/>
          <w:lang w:eastAsia="en-US"/>
        </w:rPr>
        <w:t>1998</w:t>
      </w:r>
    </w:p>
    <w:p w:rsidR="00EE4CBF" w:rsidRPr="00540EB2" w:rsidRDefault="00EE4CBF" w:rsidP="00EE4CBF">
      <w:pPr>
        <w:spacing w:line="360" w:lineRule="exact"/>
        <w:jc w:val="both"/>
        <w:rPr>
          <w:rFonts w:ascii="Book Antiqua" w:eastAsia="Calibri" w:hAnsi="Book Antiqua" w:cs="Calibri"/>
        </w:rPr>
      </w:pPr>
    </w:p>
    <w:p w:rsidR="00EE4CBF" w:rsidRPr="00540EB2" w:rsidRDefault="00EE4CBF" w:rsidP="00EE4CBF">
      <w:pPr>
        <w:spacing w:line="360" w:lineRule="exact"/>
        <w:jc w:val="both"/>
        <w:rPr>
          <w:rFonts w:ascii="Book Antiqua" w:eastAsia="Calibri" w:hAnsi="Book Antiqua" w:cs="Calibri"/>
        </w:rPr>
      </w:pPr>
    </w:p>
    <w:p w:rsidR="00EE4CBF" w:rsidRPr="00843ADD" w:rsidRDefault="00EE4CBF" w:rsidP="00EE4CBF">
      <w:pPr>
        <w:spacing w:before="160" w:after="120" w:line="360" w:lineRule="exact"/>
        <w:jc w:val="both"/>
        <w:rPr>
          <w:rFonts w:ascii="Book Antiqua" w:eastAsia="Calibri" w:hAnsi="Book Antiqua" w:cs="Calibri"/>
          <w:sz w:val="26"/>
          <w:szCs w:val="26"/>
        </w:rPr>
      </w:pPr>
      <w:r w:rsidRPr="00843ADD">
        <w:rPr>
          <w:rFonts w:ascii="Book Antiqua" w:eastAsia="Calibri" w:hAnsi="Book Antiqua" w:cs="Calibri"/>
          <w:sz w:val="26"/>
          <w:szCs w:val="26"/>
        </w:rPr>
        <w:t>Les comptes nationaux constituent une des composantes essentielles du système national d’information statistique. Leur mise en œuvre se fait en référence à une norme mondialement reconnue. Il s’agit du système de comptabilité nationale (SCN), adopté par la commission statistique des Nations Unies, qui fixe les concepts et définitions, les nomenclatures, les modes de valorisation ainsi que les comptes à compiler.</w:t>
      </w:r>
    </w:p>
    <w:p w:rsidR="00EE4CBF" w:rsidRPr="00843ADD" w:rsidRDefault="00EE4CBF" w:rsidP="00EE4CBF">
      <w:pPr>
        <w:spacing w:before="160" w:after="120" w:line="360" w:lineRule="exact"/>
        <w:jc w:val="both"/>
        <w:rPr>
          <w:rFonts w:ascii="Book Antiqua" w:eastAsia="Calibri" w:hAnsi="Book Antiqua" w:cs="Calibri"/>
          <w:sz w:val="26"/>
          <w:szCs w:val="26"/>
        </w:rPr>
      </w:pPr>
      <w:r w:rsidRPr="00843ADD">
        <w:rPr>
          <w:rFonts w:ascii="Book Antiqua" w:eastAsia="Calibri" w:hAnsi="Book Antiqua" w:cs="Calibri"/>
          <w:sz w:val="26"/>
          <w:szCs w:val="26"/>
        </w:rPr>
        <w:t xml:space="preserve">Les comptes nationaux sont établis, avec une année de base, qui constitue en général l'année de référence des agrégats macroéconomiques. Cependant, au fur et à mesure que l’on s’éloigne de l’année de base, la qualité des comptes se dégrade. Il devient, ainsi, impératif de la renouveler pour appréhender, avec plus de précision, les changements qui affectent les structures de l’économie. </w:t>
      </w:r>
    </w:p>
    <w:p w:rsidR="00EE4CBF" w:rsidRPr="00843ADD" w:rsidRDefault="00EE4CBF" w:rsidP="00EE4CBF">
      <w:pPr>
        <w:spacing w:before="100" w:beforeAutospacing="1" w:after="120" w:line="360" w:lineRule="exact"/>
        <w:jc w:val="both"/>
        <w:rPr>
          <w:rFonts w:ascii="Book Antiqua" w:eastAsia="Calibri" w:hAnsi="Book Antiqua" w:cs="Calibri"/>
          <w:sz w:val="26"/>
          <w:szCs w:val="26"/>
        </w:rPr>
      </w:pPr>
      <w:r w:rsidRPr="00843ADD">
        <w:rPr>
          <w:rFonts w:ascii="Book Antiqua" w:eastAsia="Calibri" w:hAnsi="Book Antiqua" w:cs="Calibri"/>
          <w:sz w:val="26"/>
          <w:szCs w:val="26"/>
        </w:rPr>
        <w:t xml:space="preserve">Plusieurs raisons incitent au changement de l’année base des comptes nationaux : </w:t>
      </w:r>
    </w:p>
    <w:p w:rsidR="00EE4CBF" w:rsidRPr="00843ADD" w:rsidRDefault="00EE4CBF" w:rsidP="00EE4CBF">
      <w:pPr>
        <w:pStyle w:val="Paragraphedeliste"/>
        <w:numPr>
          <w:ilvl w:val="0"/>
          <w:numId w:val="6"/>
        </w:numPr>
        <w:spacing w:before="100" w:beforeAutospacing="1" w:after="120" w:line="360" w:lineRule="exact"/>
        <w:ind w:left="284" w:hanging="284"/>
        <w:jc w:val="both"/>
        <w:rPr>
          <w:rFonts w:ascii="Book Antiqua" w:eastAsia="Calibri" w:hAnsi="Book Antiqua" w:cs="Calibri"/>
          <w:sz w:val="26"/>
          <w:szCs w:val="26"/>
        </w:rPr>
      </w:pPr>
      <w:r w:rsidRPr="00843ADD">
        <w:rPr>
          <w:rFonts w:ascii="Book Antiqua" w:eastAsia="Calibri" w:hAnsi="Book Antiqua" w:cs="Calibri"/>
          <w:sz w:val="26"/>
          <w:szCs w:val="26"/>
        </w:rPr>
        <w:t xml:space="preserve">La première raison est d’ordre méthodologique. En effet, la décision d’introduire dans les comptes nationaux les innovations recommandées par le nouveau SCN des Nations Unies et </w:t>
      </w:r>
      <w:r w:rsidRPr="00843ADD">
        <w:rPr>
          <w:rFonts w:ascii="Book Antiqua" w:hAnsi="Book Antiqua"/>
          <w:sz w:val="26"/>
          <w:szCs w:val="26"/>
        </w:rPr>
        <w:t xml:space="preserve">de prendre en compte les nouvelles classifications nationales et internationales, </w:t>
      </w:r>
      <w:r w:rsidRPr="00843ADD">
        <w:rPr>
          <w:rFonts w:ascii="Book Antiqua" w:eastAsia="Calibri" w:hAnsi="Book Antiqua" w:cs="Calibri"/>
          <w:sz w:val="26"/>
          <w:szCs w:val="26"/>
        </w:rPr>
        <w:t xml:space="preserve">implique la reconstitution d’une série des comptes différente de l’ancienne. </w:t>
      </w:r>
    </w:p>
    <w:p w:rsidR="00EE4CBF" w:rsidRPr="00843ADD" w:rsidRDefault="00EE4CBF" w:rsidP="00EE4CBF">
      <w:pPr>
        <w:spacing w:line="240" w:lineRule="exact"/>
        <w:ind w:left="284" w:hanging="284"/>
        <w:jc w:val="both"/>
        <w:rPr>
          <w:rFonts w:ascii="Book Antiqua" w:eastAsia="Calibri" w:hAnsi="Book Antiqua" w:cs="Calibri"/>
          <w:sz w:val="26"/>
          <w:szCs w:val="26"/>
        </w:rPr>
      </w:pPr>
    </w:p>
    <w:p w:rsidR="00EE4CBF" w:rsidRPr="00843ADD" w:rsidRDefault="00EE4CBF" w:rsidP="00EE4CBF">
      <w:pPr>
        <w:pStyle w:val="Paragraphedeliste"/>
        <w:numPr>
          <w:ilvl w:val="0"/>
          <w:numId w:val="6"/>
        </w:numPr>
        <w:spacing w:line="360" w:lineRule="exact"/>
        <w:ind w:left="284" w:hanging="284"/>
        <w:jc w:val="both"/>
        <w:rPr>
          <w:rFonts w:ascii="Book Antiqua" w:eastAsia="Calibri" w:hAnsi="Book Antiqua" w:cs="Calibri"/>
          <w:sz w:val="26"/>
          <w:szCs w:val="26"/>
        </w:rPr>
      </w:pPr>
      <w:r w:rsidRPr="00843ADD">
        <w:rPr>
          <w:rFonts w:ascii="Book Antiqua" w:eastAsia="Calibri" w:hAnsi="Book Antiqua" w:cs="Calibri"/>
          <w:sz w:val="26"/>
          <w:szCs w:val="26"/>
        </w:rPr>
        <w:t xml:space="preserve">La deuxième raison est l’évolution structurelle de l’activité économique. Elle serait due à l’apparition de nouvelles activités et nouveaux produits ou la disparition d’autres, au changement dans les habitudes de consommation, de production et de commercialisation et à la modification sensibles de la qualité des produits. </w:t>
      </w:r>
    </w:p>
    <w:p w:rsidR="00EE4CBF" w:rsidRPr="00843ADD" w:rsidRDefault="00EE4CBF" w:rsidP="00EE4CBF">
      <w:pPr>
        <w:spacing w:line="240" w:lineRule="exact"/>
        <w:jc w:val="both"/>
        <w:rPr>
          <w:rFonts w:ascii="Book Antiqua" w:eastAsia="Calibri" w:hAnsi="Book Antiqua" w:cs="Calibri"/>
          <w:sz w:val="26"/>
          <w:szCs w:val="26"/>
        </w:rPr>
      </w:pPr>
    </w:p>
    <w:p w:rsidR="00EE4CBF" w:rsidRPr="00843ADD" w:rsidRDefault="00EE4CBF" w:rsidP="00EE4CBF">
      <w:pPr>
        <w:pStyle w:val="Paragraphedeliste"/>
        <w:numPr>
          <w:ilvl w:val="0"/>
          <w:numId w:val="6"/>
        </w:numPr>
        <w:spacing w:line="360" w:lineRule="exact"/>
        <w:ind w:left="284" w:hanging="284"/>
        <w:jc w:val="both"/>
        <w:rPr>
          <w:rFonts w:ascii="Book Antiqua" w:eastAsia="Calibri" w:hAnsi="Book Antiqua" w:cs="Calibri"/>
          <w:sz w:val="26"/>
          <w:szCs w:val="26"/>
        </w:rPr>
      </w:pPr>
      <w:r w:rsidRPr="00843ADD">
        <w:rPr>
          <w:rFonts w:ascii="Book Antiqua" w:eastAsia="Calibri" w:hAnsi="Book Antiqua" w:cs="Calibri"/>
          <w:sz w:val="26"/>
          <w:szCs w:val="26"/>
        </w:rPr>
        <w:t>La troisième raison est le souci d’améliorer la qualité des comptes qui peut être dégradée par l’éloignement de l’année de base. En effet, les erreurs sur les évolutions annuelles peuvent se cumuler et les choix méthodologiques ou les arbitrages opérés sur l’année de base peuvent se révéler inappropriés et moins pertinents pour les années courantes, ce qui peut contribuer à altérer la série des comptes.</w:t>
      </w:r>
    </w:p>
    <w:p w:rsidR="00EE4CBF" w:rsidRPr="00843ADD" w:rsidRDefault="00EE4CBF" w:rsidP="00EE4CBF">
      <w:pPr>
        <w:spacing w:before="160" w:after="120" w:line="360" w:lineRule="exact"/>
        <w:jc w:val="both"/>
        <w:rPr>
          <w:rFonts w:ascii="Book Antiqua" w:eastAsia="Calibri" w:hAnsi="Book Antiqua" w:cs="Calibri"/>
          <w:sz w:val="26"/>
          <w:szCs w:val="26"/>
        </w:rPr>
      </w:pPr>
      <w:r w:rsidRPr="00843ADD">
        <w:rPr>
          <w:rFonts w:ascii="Book Antiqua" w:eastAsia="Calibri" w:hAnsi="Book Antiqua" w:cs="Calibri"/>
          <w:sz w:val="26"/>
          <w:szCs w:val="26"/>
        </w:rPr>
        <w:t xml:space="preserve">Dans ce contexte et en application des recommandations du SCN, le Maroc, à l’instar des autres pays, procède régulièrement à des changements des années de base de ses comptes nationaux. </w:t>
      </w:r>
    </w:p>
    <w:p w:rsidR="00EE4CBF" w:rsidRPr="00843ADD" w:rsidRDefault="00EE4CBF" w:rsidP="00EE4CBF">
      <w:pPr>
        <w:spacing w:before="160" w:after="120" w:line="360" w:lineRule="exact"/>
        <w:jc w:val="both"/>
        <w:rPr>
          <w:rFonts w:ascii="Book Antiqua" w:eastAsia="Calibri" w:hAnsi="Book Antiqua" w:cs="Calibri"/>
          <w:sz w:val="26"/>
          <w:szCs w:val="26"/>
        </w:rPr>
      </w:pPr>
      <w:r w:rsidRPr="00843ADD">
        <w:rPr>
          <w:rFonts w:ascii="Book Antiqua" w:eastAsia="Calibri" w:hAnsi="Book Antiqua" w:cs="Calibri"/>
          <w:sz w:val="26"/>
          <w:szCs w:val="26"/>
        </w:rPr>
        <w:t xml:space="preserve">C’est ainsi qu’il a établi les comptes de la base 1998, en se référant au SCN 1993. Ces derniers présentent des différences importantes par rapport aux anciens comptes établis en base 1980 et selon le SCN 1968. Ceci est dû aux modifications apportées par le SCN 1993, à l'intégration de nouvelles sources d'informations et à certains aspects méthodologiques dans la production des comptes. </w:t>
      </w:r>
    </w:p>
    <w:p w:rsidR="00EE4CBF" w:rsidRPr="00843ADD" w:rsidRDefault="00EE4CBF" w:rsidP="00EE4CBF">
      <w:pPr>
        <w:spacing w:before="160" w:after="120" w:line="360" w:lineRule="exact"/>
        <w:jc w:val="both"/>
        <w:rPr>
          <w:rFonts w:ascii="Book Antiqua" w:eastAsia="Calibri" w:hAnsi="Book Antiqua" w:cs="Calibri"/>
          <w:sz w:val="26"/>
          <w:szCs w:val="26"/>
        </w:rPr>
      </w:pPr>
      <w:r w:rsidRPr="00843ADD">
        <w:rPr>
          <w:rFonts w:ascii="Book Antiqua" w:eastAsia="Calibri" w:hAnsi="Book Antiqua" w:cs="Calibri"/>
          <w:sz w:val="26"/>
          <w:szCs w:val="26"/>
        </w:rPr>
        <w:t>Les modifications ont concerné principalement les concepts, les nomenclatures, le mode de valorisation des productions et des valeurs ajoutées et la mesure des variations annuelles en volume.</w:t>
      </w:r>
    </w:p>
    <w:p w:rsidR="00EE4CBF" w:rsidRPr="00843ADD" w:rsidRDefault="00EE4CBF" w:rsidP="00EE4CBF">
      <w:pPr>
        <w:spacing w:before="160" w:after="120" w:line="360" w:lineRule="exact"/>
        <w:jc w:val="both"/>
        <w:rPr>
          <w:rFonts w:ascii="Book Antiqua" w:eastAsia="Calibri" w:hAnsi="Book Antiqua" w:cs="Calibri"/>
          <w:sz w:val="26"/>
          <w:szCs w:val="26"/>
        </w:rPr>
      </w:pPr>
      <w:r w:rsidRPr="00843ADD">
        <w:rPr>
          <w:rFonts w:ascii="Book Antiqua" w:eastAsia="Calibri" w:hAnsi="Book Antiqua" w:cs="Calibri"/>
          <w:sz w:val="26"/>
          <w:szCs w:val="26"/>
        </w:rPr>
        <w:t>La base 1998 se caractérise, également, par une structure de comptes plus développée qui permet d'approfondir, en particulier, l'analyse des revenus et de leur répartition entre secteurs et sous secteurs institutionnels. Le calcul du PIB qui était, en outre, établi, uniquement selon l'optique de production dans l’ancienne base, est obtenu dans la base 1998 selon les trois optiques (production, demande et revenu).</w:t>
      </w:r>
    </w:p>
    <w:p w:rsidR="00EE4CBF" w:rsidRPr="00843ADD" w:rsidRDefault="00EE4CBF" w:rsidP="00EE4CBF">
      <w:pPr>
        <w:spacing w:before="160" w:after="120" w:line="360" w:lineRule="exact"/>
        <w:jc w:val="both"/>
        <w:rPr>
          <w:rFonts w:ascii="Book Antiqua" w:eastAsia="Calibri" w:hAnsi="Book Antiqua" w:cs="Calibri"/>
          <w:sz w:val="26"/>
          <w:szCs w:val="26"/>
        </w:rPr>
      </w:pPr>
      <w:r w:rsidRPr="00843ADD">
        <w:rPr>
          <w:rFonts w:ascii="Book Antiqua" w:eastAsia="Calibri" w:hAnsi="Book Antiqua" w:cs="Calibri"/>
          <w:sz w:val="26"/>
          <w:szCs w:val="26"/>
        </w:rPr>
        <w:t>Neuf ans après, une nouvelle année de base des comptes nationaux, en l’occurrence 2007, est mise en place. Le passage à cette année de base a été l’occasion de consolider l’expérience de la comptabilité nationale marocaine, d’intégrer des innovations du nouveau système de comptabilité nationale des Nations Unies (SCN 2008) et d’introduire de nouvelles sources de données.</w:t>
      </w:r>
    </w:p>
    <w:p w:rsidR="00EE4CBF" w:rsidRPr="00843ADD" w:rsidRDefault="00EE4CBF" w:rsidP="00EE4CBF">
      <w:pPr>
        <w:spacing w:before="160" w:after="120" w:line="360" w:lineRule="exact"/>
        <w:jc w:val="both"/>
        <w:rPr>
          <w:rFonts w:ascii="Book Antiqua" w:eastAsia="Calibri" w:hAnsi="Book Antiqua" w:cs="Calibri"/>
          <w:sz w:val="26"/>
          <w:szCs w:val="26"/>
        </w:rPr>
      </w:pPr>
      <w:r w:rsidRPr="00843ADD">
        <w:rPr>
          <w:rFonts w:ascii="Book Antiqua" w:eastAsia="Calibri" w:hAnsi="Book Antiqua" w:cs="Calibri"/>
          <w:sz w:val="26"/>
          <w:szCs w:val="26"/>
        </w:rPr>
        <w:t>Le SCN2008 conserve le cadre fondamental du SCN1993 et apporte des légères précisions dans certains compartiments de la comptabilité nationale. Il vise particulièrement à préciser le traitement des aspects économiques qui ont gagné en importance ces dernières années et attiré l'attention des analystes. Il s’agit, notamment, du traitement et de la classification des actifs, des administrations, du secteur public et du secteur financier ainsi que des questions liées à la mondialisation des échanges.</w:t>
      </w:r>
    </w:p>
    <w:p w:rsidR="00EE4CBF" w:rsidRPr="00843ADD" w:rsidRDefault="00EE4CBF" w:rsidP="00EE4CBF">
      <w:pPr>
        <w:spacing w:before="160" w:after="120" w:line="360" w:lineRule="exact"/>
        <w:jc w:val="both"/>
        <w:rPr>
          <w:rFonts w:ascii="Book Antiqua" w:eastAsia="Calibri" w:hAnsi="Book Antiqua" w:cs="Calibri"/>
          <w:sz w:val="26"/>
          <w:szCs w:val="26"/>
        </w:rPr>
      </w:pPr>
      <w:r w:rsidRPr="00843ADD">
        <w:rPr>
          <w:rFonts w:ascii="Book Antiqua" w:eastAsia="Calibri" w:hAnsi="Book Antiqua" w:cs="Calibri"/>
          <w:sz w:val="26"/>
          <w:szCs w:val="26"/>
        </w:rPr>
        <w:t>Les sections qui suivent mettent en exergue les principaux changements conceptuels du SCN2008 retenus dans la base 2007 et leur impact sur les agrégats des comptes nationaux.</w:t>
      </w:r>
    </w:p>
    <w:p w:rsidR="00EE4CBF" w:rsidRPr="00843ADD" w:rsidRDefault="00EE4CBF" w:rsidP="00EE4CBF">
      <w:pPr>
        <w:spacing w:before="160" w:after="120" w:line="240" w:lineRule="exact"/>
        <w:jc w:val="both"/>
        <w:rPr>
          <w:rFonts w:ascii="Book Antiqua" w:eastAsia="Calibri" w:hAnsi="Book Antiqua" w:cs="Calibri"/>
          <w:sz w:val="26"/>
          <w:szCs w:val="26"/>
        </w:rPr>
      </w:pPr>
    </w:p>
    <w:p w:rsidR="00EE4CBF" w:rsidRPr="0086541B" w:rsidRDefault="00EE4CBF" w:rsidP="00EE4CBF">
      <w:pPr>
        <w:pStyle w:val="TNiv1"/>
        <w:keepNext/>
        <w:keepLines/>
        <w:spacing w:before="160" w:after="120"/>
        <w:rPr>
          <w:rFonts w:ascii="Book Antiqua" w:hAnsi="Book Antiqua"/>
        </w:rPr>
      </w:pPr>
      <w:bookmarkStart w:id="0" w:name="_Toc416769702"/>
      <w:r w:rsidRPr="0086541B">
        <w:rPr>
          <w:rFonts w:ascii="Book Antiqua" w:hAnsi="Book Antiqua"/>
        </w:rPr>
        <w:t>A - Introduction de recommandations du SCN2008</w:t>
      </w:r>
      <w:bookmarkEnd w:id="0"/>
    </w:p>
    <w:p w:rsidR="00EE4CBF" w:rsidRPr="00843ADD" w:rsidRDefault="00EE4CBF" w:rsidP="00EE4CBF">
      <w:pPr>
        <w:spacing w:before="160" w:after="120" w:line="360" w:lineRule="exact"/>
        <w:jc w:val="both"/>
        <w:rPr>
          <w:rFonts w:ascii="Book Antiqua" w:eastAsia="Calibri" w:hAnsi="Book Antiqua" w:cs="Calibri"/>
          <w:sz w:val="26"/>
          <w:szCs w:val="26"/>
        </w:rPr>
      </w:pPr>
      <w:r w:rsidRPr="00843ADD">
        <w:rPr>
          <w:rFonts w:ascii="Book Antiqua" w:eastAsia="Calibri" w:hAnsi="Book Antiqua" w:cs="Calibri"/>
          <w:sz w:val="26"/>
          <w:szCs w:val="26"/>
        </w:rPr>
        <w:t>Les nouvelles méthodes de comptabilisation, édictées par le SCN2008, portent spécialement sur:</w:t>
      </w:r>
    </w:p>
    <w:p w:rsidR="00EE4CBF" w:rsidRPr="00843ADD" w:rsidRDefault="00EE4CBF" w:rsidP="00EE4CBF">
      <w:pPr>
        <w:pStyle w:val="Paragraphedeliste"/>
        <w:numPr>
          <w:ilvl w:val="0"/>
          <w:numId w:val="7"/>
        </w:numPr>
        <w:spacing w:before="160" w:after="120" w:line="360" w:lineRule="exact"/>
        <w:ind w:left="426"/>
        <w:jc w:val="both"/>
        <w:rPr>
          <w:rFonts w:ascii="Book Antiqua" w:eastAsia="Calibri" w:hAnsi="Book Antiqua" w:cs="Calibri"/>
          <w:sz w:val="26"/>
          <w:szCs w:val="26"/>
        </w:rPr>
      </w:pPr>
      <w:r w:rsidRPr="00843ADD">
        <w:rPr>
          <w:rFonts w:ascii="Book Antiqua" w:eastAsia="Calibri" w:hAnsi="Book Antiqua" w:cs="Calibri"/>
          <w:sz w:val="26"/>
          <w:szCs w:val="26"/>
        </w:rPr>
        <w:t>Le  contour  des actifs produits à travers le classement en investissement des dépenses de Recherche et Développement (R&amp;D) et des bases de données et la capitalisation des dépenses engagées pour acquérir  des équipements à usage exclusivement militaire.</w:t>
      </w:r>
    </w:p>
    <w:p w:rsidR="00EE4CBF" w:rsidRPr="00843ADD" w:rsidRDefault="00EE4CBF" w:rsidP="00EE4CBF">
      <w:pPr>
        <w:pStyle w:val="Paragraphedeliste"/>
        <w:numPr>
          <w:ilvl w:val="0"/>
          <w:numId w:val="7"/>
        </w:numPr>
        <w:spacing w:before="160" w:after="120" w:line="360" w:lineRule="exact"/>
        <w:ind w:left="426"/>
        <w:jc w:val="both"/>
        <w:rPr>
          <w:rFonts w:ascii="Book Antiqua" w:eastAsia="Calibri" w:hAnsi="Book Antiqua" w:cs="Calibri"/>
          <w:sz w:val="26"/>
          <w:szCs w:val="26"/>
        </w:rPr>
      </w:pPr>
      <w:r w:rsidRPr="00843ADD">
        <w:rPr>
          <w:rFonts w:ascii="Book Antiqua" w:eastAsia="Calibri" w:hAnsi="Book Antiqua" w:cs="Calibri"/>
          <w:sz w:val="26"/>
          <w:szCs w:val="26"/>
        </w:rPr>
        <w:t>La méthode de calcul du service d’intermédiation financière indirectement mesuré (SIFIM)  et sa ventilation entre les différents emplois du PIB: consommation intermédiaire, consommation finale et exportations ;</w:t>
      </w:r>
    </w:p>
    <w:p w:rsidR="00EE4CBF" w:rsidRPr="00843ADD" w:rsidRDefault="00EE4CBF" w:rsidP="00EE4CBF">
      <w:pPr>
        <w:pStyle w:val="Paragraphedeliste"/>
        <w:numPr>
          <w:ilvl w:val="0"/>
          <w:numId w:val="7"/>
        </w:numPr>
        <w:spacing w:before="160" w:after="120" w:line="360" w:lineRule="exact"/>
        <w:ind w:left="426"/>
        <w:jc w:val="both"/>
        <w:rPr>
          <w:rFonts w:ascii="Book Antiqua" w:eastAsia="Calibri" w:hAnsi="Book Antiqua" w:cs="Calibri"/>
          <w:sz w:val="26"/>
          <w:szCs w:val="26"/>
        </w:rPr>
      </w:pPr>
      <w:r w:rsidRPr="00843ADD">
        <w:rPr>
          <w:rFonts w:ascii="Book Antiqua" w:eastAsia="Calibri" w:hAnsi="Book Antiqua" w:cs="Calibri"/>
          <w:sz w:val="26"/>
          <w:szCs w:val="26"/>
        </w:rPr>
        <w:t xml:space="preserve">Le traitement de la production de Bank Al Maghrib et la méthode de calcul de la production de la réassurance. </w:t>
      </w:r>
    </w:p>
    <w:p w:rsidR="00EE4CBF" w:rsidRPr="00843ADD" w:rsidRDefault="00EE4CBF" w:rsidP="00EE4CBF">
      <w:pPr>
        <w:pStyle w:val="TNiv1"/>
        <w:keepNext/>
        <w:keepLines/>
        <w:spacing w:after="120" w:line="240" w:lineRule="exact"/>
        <w:rPr>
          <w:rFonts w:ascii="Book Antiqua" w:hAnsi="Book Antiqua"/>
          <w:sz w:val="26"/>
          <w:szCs w:val="26"/>
        </w:rPr>
      </w:pPr>
    </w:p>
    <w:p w:rsidR="00EE4CBF" w:rsidRPr="00843ADD" w:rsidRDefault="00EE4CBF" w:rsidP="00EE4CBF">
      <w:pPr>
        <w:pStyle w:val="TNiv2"/>
        <w:keepNext/>
        <w:keepLines/>
        <w:spacing w:before="160" w:after="120"/>
        <w:rPr>
          <w:rFonts w:ascii="Book Antiqua" w:hAnsi="Book Antiqua"/>
        </w:rPr>
      </w:pPr>
      <w:r w:rsidRPr="00843ADD">
        <w:rPr>
          <w:rFonts w:ascii="Book Antiqua" w:hAnsi="Book Antiqua"/>
        </w:rPr>
        <w:t>1. Extension du contour des actifs produits</w:t>
      </w:r>
    </w:p>
    <w:p w:rsidR="00EE4CBF" w:rsidRPr="00843ADD" w:rsidRDefault="00EE4CBF" w:rsidP="00EE4CBF">
      <w:pPr>
        <w:keepNext/>
        <w:keepLines/>
        <w:spacing w:before="160" w:after="120" w:line="360" w:lineRule="exact"/>
        <w:jc w:val="both"/>
        <w:rPr>
          <w:rFonts w:ascii="Book Antiqua" w:hAnsi="Book Antiqua"/>
          <w:color w:val="000000"/>
          <w:sz w:val="26"/>
          <w:szCs w:val="26"/>
        </w:rPr>
      </w:pPr>
      <w:r w:rsidRPr="00843ADD">
        <w:rPr>
          <w:rFonts w:ascii="Book Antiqua" w:hAnsi="Book Antiqua"/>
          <w:color w:val="000000"/>
          <w:sz w:val="26"/>
          <w:szCs w:val="26"/>
        </w:rPr>
        <w:t>Le domaine des actifs a été étendu pour inclure les dépenses en recherche et développement réalisées par les sociétés non financières et les administrations publiques et les dépenses en équipement militaire.</w:t>
      </w:r>
    </w:p>
    <w:p w:rsidR="00EE4CBF" w:rsidRPr="00843ADD" w:rsidRDefault="00EE4CBF" w:rsidP="00EE4CBF">
      <w:pPr>
        <w:spacing w:before="160" w:after="120" w:line="360" w:lineRule="exact"/>
        <w:jc w:val="both"/>
        <w:rPr>
          <w:rFonts w:ascii="Book Antiqua" w:hAnsi="Book Antiqua"/>
          <w:color w:val="000000"/>
          <w:sz w:val="26"/>
          <w:szCs w:val="26"/>
        </w:rPr>
      </w:pPr>
      <w:r w:rsidRPr="00843ADD">
        <w:rPr>
          <w:rFonts w:ascii="Book Antiqua" w:hAnsi="Book Antiqua"/>
          <w:color w:val="000000"/>
          <w:sz w:val="26"/>
          <w:szCs w:val="26"/>
        </w:rPr>
        <w:t>La recherche et développement(R&amp;D) a été comptabilisée comme un actif produit</w:t>
      </w:r>
      <w:r>
        <w:rPr>
          <w:rFonts w:ascii="Book Antiqua" w:hAnsi="Book Antiqua"/>
          <w:color w:val="000000"/>
          <w:sz w:val="26"/>
          <w:szCs w:val="26"/>
        </w:rPr>
        <w:t>,</w:t>
      </w:r>
      <w:r w:rsidRPr="00843ADD">
        <w:rPr>
          <w:rFonts w:ascii="Book Antiqua" w:hAnsi="Book Antiqua"/>
          <w:color w:val="000000"/>
          <w:sz w:val="26"/>
          <w:szCs w:val="26"/>
        </w:rPr>
        <w:t xml:space="preserve"> tel qu’il a été recommandé par le SCN 2008</w:t>
      </w:r>
      <w:r>
        <w:rPr>
          <w:rFonts w:ascii="Book Antiqua" w:hAnsi="Book Antiqua"/>
          <w:color w:val="000000"/>
          <w:sz w:val="26"/>
          <w:szCs w:val="26"/>
        </w:rPr>
        <w:t>,</w:t>
      </w:r>
      <w:r w:rsidRPr="00843ADD">
        <w:rPr>
          <w:rFonts w:ascii="Book Antiqua" w:hAnsi="Book Antiqua"/>
          <w:color w:val="000000"/>
          <w:sz w:val="26"/>
          <w:szCs w:val="26"/>
        </w:rPr>
        <w:t xml:space="preserve"> et donc les frais correspondants ne sont plus traitées comme consommation intermédiaire (CI), mais plutôt de la formation brute de capital fixe (FBCF). Les dépenses en R&amp;D sont évaluées aux prix du marché pour la partie achetée sur le marché, et par le total des coûts pour la partie produite par l’entité pour son propre compte.</w:t>
      </w:r>
    </w:p>
    <w:p w:rsidR="00EE4CBF" w:rsidRPr="00843ADD" w:rsidRDefault="00EE4CBF" w:rsidP="00EE4CBF">
      <w:pPr>
        <w:spacing w:before="160" w:after="120" w:line="360" w:lineRule="exact"/>
        <w:jc w:val="both"/>
        <w:rPr>
          <w:rFonts w:ascii="Book Antiqua" w:hAnsi="Book Antiqua"/>
          <w:color w:val="000000"/>
          <w:sz w:val="26"/>
          <w:szCs w:val="26"/>
        </w:rPr>
      </w:pPr>
      <w:r w:rsidRPr="00843ADD">
        <w:rPr>
          <w:rFonts w:ascii="Book Antiqua" w:hAnsi="Book Antiqua"/>
          <w:color w:val="000000"/>
          <w:sz w:val="26"/>
          <w:szCs w:val="26"/>
        </w:rPr>
        <w:t>Le nouveau traitement de la R&amp;D préconisé par le SCN 2008 a pour effet de réévaluer à la hausse la valeur ajoutée (VA) des unités engageant des dépenses en R&amp;D, mais à travers des mécanismes différents selon qu’il s’agit d’unités de production marchandes ou non marchandes.</w:t>
      </w:r>
    </w:p>
    <w:p w:rsidR="00EE4CBF" w:rsidRPr="00843ADD" w:rsidRDefault="00EE4CBF" w:rsidP="00EE4CBF">
      <w:pPr>
        <w:spacing w:before="160" w:after="120" w:line="360" w:lineRule="exact"/>
        <w:jc w:val="both"/>
        <w:rPr>
          <w:rFonts w:ascii="Book Antiqua" w:hAnsi="Book Antiqua"/>
          <w:color w:val="000000"/>
          <w:sz w:val="26"/>
          <w:szCs w:val="26"/>
        </w:rPr>
      </w:pPr>
      <w:r w:rsidRPr="00843ADD">
        <w:rPr>
          <w:rFonts w:ascii="Book Antiqua" w:hAnsi="Book Antiqua"/>
          <w:color w:val="000000"/>
          <w:sz w:val="26"/>
          <w:szCs w:val="26"/>
        </w:rPr>
        <w:t>Pour les unités marchandes, la valeur ajoutée est relevée d’un montant égal à leurs dépenses en R&amp;D qui ne sont plus des CI, mais de la FBCF, étant donné que leur production ne change pas</w:t>
      </w:r>
      <w:r>
        <w:rPr>
          <w:rFonts w:ascii="Book Antiqua" w:hAnsi="Book Antiqua"/>
          <w:color w:val="000000"/>
          <w:sz w:val="26"/>
          <w:szCs w:val="26"/>
        </w:rPr>
        <w:t>,</w:t>
      </w:r>
      <w:r w:rsidRPr="00843ADD">
        <w:rPr>
          <w:rFonts w:ascii="Book Antiqua" w:hAnsi="Book Antiqua"/>
          <w:color w:val="000000"/>
          <w:sz w:val="26"/>
          <w:szCs w:val="26"/>
        </w:rPr>
        <w:t xml:space="preserve"> mais leur CI diminue.</w:t>
      </w:r>
    </w:p>
    <w:p w:rsidR="00EE4CBF" w:rsidRPr="00843ADD" w:rsidRDefault="00EE4CBF" w:rsidP="00EE4CBF">
      <w:pPr>
        <w:spacing w:before="160" w:after="120" w:line="360" w:lineRule="exact"/>
        <w:jc w:val="both"/>
        <w:rPr>
          <w:rFonts w:ascii="Book Antiqua" w:hAnsi="Book Antiqua"/>
          <w:color w:val="000000"/>
          <w:sz w:val="26"/>
          <w:szCs w:val="26"/>
        </w:rPr>
      </w:pPr>
      <w:r w:rsidRPr="00843ADD">
        <w:rPr>
          <w:rFonts w:ascii="Book Antiqua" w:hAnsi="Book Antiqua"/>
          <w:color w:val="000000"/>
          <w:sz w:val="26"/>
          <w:szCs w:val="26"/>
        </w:rPr>
        <w:t xml:space="preserve">Pour les unités non marchandes, leurs dépenses en R&amp;D acquises auprès d’unités marchandes étaient comptabilisées en CI (SCN93) et alimentaient la production non marchande de ces unités (estimée par les coûts) qui avaient comme contre partie une consommation finale des administrations publiques (APU). En outre, les dépenses internes en R&amp;D des unités non marchandes donnent lieu à une production pour compte propre estimée, également, par les coûts et dont l’emploi n’est plus une consommation finale des APU, mais une FBCF. </w:t>
      </w:r>
    </w:p>
    <w:p w:rsidR="00EE4CBF" w:rsidRPr="00843ADD" w:rsidRDefault="00EE4CBF" w:rsidP="00EE4CBF">
      <w:pPr>
        <w:spacing w:before="160" w:after="120" w:line="360" w:lineRule="exact"/>
        <w:jc w:val="both"/>
        <w:rPr>
          <w:rFonts w:ascii="Book Antiqua" w:hAnsi="Book Antiqua"/>
          <w:color w:val="000000"/>
          <w:sz w:val="26"/>
          <w:szCs w:val="26"/>
        </w:rPr>
      </w:pPr>
      <w:r w:rsidRPr="00843ADD">
        <w:rPr>
          <w:rFonts w:ascii="Book Antiqua" w:hAnsi="Book Antiqua"/>
          <w:color w:val="000000"/>
          <w:sz w:val="26"/>
          <w:szCs w:val="26"/>
        </w:rPr>
        <w:t xml:space="preserve">Ce changement du traitement des dépenses en R&amp;D des administrations publiques a un effet sur le PIB à travers l’augmentation de la consommation de capital fixe (CCF) des actifs de la R&amp;D. </w:t>
      </w:r>
    </w:p>
    <w:p w:rsidR="00EE4CBF" w:rsidRPr="00843ADD" w:rsidRDefault="00EE4CBF" w:rsidP="00EE4CBF">
      <w:pPr>
        <w:spacing w:before="160" w:after="120" w:line="360" w:lineRule="exact"/>
        <w:jc w:val="both"/>
        <w:rPr>
          <w:rFonts w:ascii="Book Antiqua" w:hAnsi="Book Antiqua"/>
          <w:color w:val="000000"/>
          <w:sz w:val="26"/>
          <w:szCs w:val="26"/>
        </w:rPr>
      </w:pPr>
      <w:r w:rsidRPr="00843ADD">
        <w:rPr>
          <w:rFonts w:ascii="Book Antiqua" w:hAnsi="Book Antiqua"/>
          <w:color w:val="000000"/>
          <w:sz w:val="26"/>
          <w:szCs w:val="26"/>
        </w:rPr>
        <w:t>Les dépenses en matériel militaire sont classées comme actifs fixes. Ce classement est basé sur les mêmes critères que les autres actifs fixes. Autrement dit</w:t>
      </w:r>
      <w:r>
        <w:rPr>
          <w:rFonts w:ascii="Book Antiqua" w:hAnsi="Book Antiqua"/>
          <w:color w:val="000000"/>
          <w:sz w:val="26"/>
          <w:szCs w:val="26"/>
        </w:rPr>
        <w:t>,</w:t>
      </w:r>
      <w:r w:rsidRPr="00843ADD">
        <w:rPr>
          <w:rFonts w:ascii="Book Antiqua" w:hAnsi="Book Antiqua"/>
          <w:color w:val="000000"/>
          <w:sz w:val="26"/>
          <w:szCs w:val="26"/>
        </w:rPr>
        <w:t xml:space="preserve"> des actifs sont utilisés de façon répétitive ou continue pendant plus d’une année</w:t>
      </w:r>
      <w:r>
        <w:rPr>
          <w:rFonts w:ascii="Book Antiqua" w:hAnsi="Book Antiqua"/>
          <w:color w:val="000000"/>
          <w:sz w:val="26"/>
          <w:szCs w:val="26"/>
        </w:rPr>
        <w:t>,</w:t>
      </w:r>
      <w:r w:rsidRPr="00843ADD">
        <w:rPr>
          <w:rFonts w:ascii="Book Antiqua" w:hAnsi="Book Antiqua"/>
          <w:color w:val="000000"/>
          <w:sz w:val="26"/>
          <w:szCs w:val="26"/>
        </w:rPr>
        <w:t xml:space="preserve"> tels que les véhicules, les bâtiments de guerre, les sous marins, les avions de combat, les véhicules blindés qui sont utilisés de façon continue dans la production de services de défense.</w:t>
      </w:r>
    </w:p>
    <w:p w:rsidR="00EE4CBF" w:rsidRPr="00843ADD" w:rsidRDefault="00EE4CBF" w:rsidP="00EE4CBF">
      <w:pPr>
        <w:spacing w:before="160" w:after="120" w:line="360" w:lineRule="exact"/>
        <w:jc w:val="both"/>
        <w:rPr>
          <w:rFonts w:ascii="Book Antiqua" w:hAnsi="Book Antiqua"/>
          <w:color w:val="000000"/>
          <w:sz w:val="26"/>
          <w:szCs w:val="26"/>
        </w:rPr>
      </w:pPr>
      <w:r w:rsidRPr="00843ADD">
        <w:rPr>
          <w:rFonts w:ascii="Book Antiqua" w:hAnsi="Book Antiqua"/>
          <w:color w:val="000000"/>
          <w:sz w:val="26"/>
          <w:szCs w:val="26"/>
        </w:rPr>
        <w:t>Le classement du matériel militaire comme actif fixe a entrainé une correction de la consommation du capital fixe par l’ajout du matériel militaire aux composantes de la FBCF. Par conséquent, la valeur ajoutée non marchande du secteur de l’Etat a été révisée vers la hausse.</w:t>
      </w:r>
    </w:p>
    <w:p w:rsidR="00EE4CBF" w:rsidRPr="00843ADD" w:rsidRDefault="00EE4CBF" w:rsidP="00EE4CBF">
      <w:pPr>
        <w:spacing w:before="240" w:after="240" w:line="360" w:lineRule="exact"/>
        <w:jc w:val="both"/>
        <w:rPr>
          <w:rFonts w:ascii="Book Antiqua" w:hAnsi="Book Antiqua"/>
          <w:color w:val="000000"/>
          <w:sz w:val="26"/>
          <w:szCs w:val="26"/>
        </w:rPr>
      </w:pPr>
      <w:r w:rsidRPr="00843ADD">
        <w:rPr>
          <w:rFonts w:ascii="Book Antiqua" w:hAnsi="Book Antiqua"/>
          <w:color w:val="000000"/>
          <w:sz w:val="26"/>
          <w:szCs w:val="26"/>
        </w:rPr>
        <w:t>Dans le SCN 93, les dépenses d’acquisition d’équipements militaires n’étaient considérées comme FBCF que si ces derniers pouvaient avoir une double utilisation : militaire et civile.</w:t>
      </w:r>
    </w:p>
    <w:p w:rsidR="00EE4CBF" w:rsidRPr="00843ADD" w:rsidRDefault="00EE4CBF" w:rsidP="00EE4CBF">
      <w:pPr>
        <w:pStyle w:val="TNiv2"/>
        <w:spacing w:before="240" w:after="240"/>
        <w:rPr>
          <w:rFonts w:ascii="Book Antiqua" w:hAnsi="Book Antiqua"/>
        </w:rPr>
      </w:pPr>
      <w:r w:rsidRPr="00843ADD">
        <w:rPr>
          <w:rFonts w:ascii="Book Antiqua" w:hAnsi="Book Antiqua"/>
        </w:rPr>
        <w:t>2.  Service d’Intermédiation Financière Indirectement Mesuré(SIFIM)</w:t>
      </w:r>
    </w:p>
    <w:p w:rsidR="00EE4CBF" w:rsidRPr="00843ADD" w:rsidRDefault="00EE4CBF" w:rsidP="00EE4CBF">
      <w:pPr>
        <w:spacing w:before="160" w:after="120" w:line="360" w:lineRule="exact"/>
        <w:jc w:val="both"/>
        <w:rPr>
          <w:rFonts w:ascii="Book Antiqua" w:hAnsi="Book Antiqua"/>
          <w:color w:val="000000"/>
          <w:sz w:val="26"/>
          <w:szCs w:val="26"/>
        </w:rPr>
      </w:pPr>
      <w:r w:rsidRPr="00843ADD">
        <w:rPr>
          <w:rFonts w:ascii="Book Antiqua" w:hAnsi="Book Antiqua"/>
          <w:color w:val="000000"/>
          <w:sz w:val="26"/>
          <w:szCs w:val="26"/>
        </w:rPr>
        <w:t>Le service d’intermédiation financière indirectement mesuré (SIFIM) est un service fourni par les intermédiaires financiers à savoir les banques et autres établissements de crédit. Il est évalué comme la marge que les intermédiaires financiers tirent de leurs relations avec leur clientèle sur leurs dépôts et leurs crédits  Ces intermédiaires financiers prêtent à leurs clients au-dessus du taux de référence auquel ils se refinancent et rémunèrent leurs dépôts à un taux inférieur.</w:t>
      </w:r>
    </w:p>
    <w:p w:rsidR="00EE4CBF" w:rsidRPr="00843ADD" w:rsidRDefault="00EE4CBF" w:rsidP="00EE4CBF">
      <w:pPr>
        <w:spacing w:before="160" w:after="120" w:line="360" w:lineRule="exact"/>
        <w:jc w:val="both"/>
        <w:rPr>
          <w:rFonts w:ascii="Book Antiqua" w:hAnsi="Book Antiqua"/>
          <w:color w:val="000000"/>
          <w:sz w:val="26"/>
          <w:szCs w:val="26"/>
        </w:rPr>
      </w:pPr>
      <w:r w:rsidRPr="00843ADD">
        <w:rPr>
          <w:rFonts w:ascii="Book Antiqua" w:hAnsi="Book Antiqua"/>
          <w:color w:val="000000"/>
          <w:sz w:val="26"/>
          <w:szCs w:val="26"/>
        </w:rPr>
        <w:t>Le SIFIM a été calculé, dans les nouveaux comptes 2007, sur la base des prêts et des dépôts des intermédiaires financiers en utilisant la méthode du taux de référence. Le calcul a été fait par sous secteur institutionnel, en se basant sur les encours de dépôts et de crédits, les intérêts reçus et versés et le taux interbancaire.</w:t>
      </w:r>
    </w:p>
    <w:p w:rsidR="00EE4CBF" w:rsidRPr="00843ADD" w:rsidRDefault="00EE4CBF" w:rsidP="00EE4CBF">
      <w:pPr>
        <w:spacing w:before="160" w:after="120" w:line="360" w:lineRule="exact"/>
        <w:jc w:val="both"/>
        <w:rPr>
          <w:rFonts w:ascii="Book Antiqua" w:hAnsi="Book Antiqua" w:cs="Calibri"/>
          <w:sz w:val="26"/>
          <w:szCs w:val="26"/>
        </w:rPr>
      </w:pPr>
      <w:r w:rsidRPr="00843ADD">
        <w:rPr>
          <w:rFonts w:ascii="Book Antiqua" w:hAnsi="Book Antiqua" w:cs="Calibri"/>
          <w:sz w:val="26"/>
          <w:szCs w:val="26"/>
        </w:rPr>
        <w:t>Les intérêts reçus des intermédiaires financiers sont diminuées de la marge réalisée sur les crédits accordés aux autres agents économiques (y compris les non résidents) pour déduire les intérêts reçus selon les normes du SCN.</w:t>
      </w:r>
    </w:p>
    <w:p w:rsidR="00EE4CBF" w:rsidRPr="00843ADD" w:rsidRDefault="00EE4CBF" w:rsidP="00EE4CBF">
      <w:pPr>
        <w:spacing w:before="160" w:after="120" w:line="360" w:lineRule="exact"/>
        <w:jc w:val="both"/>
        <w:rPr>
          <w:rFonts w:ascii="Book Antiqua" w:hAnsi="Book Antiqua" w:cs="Calibri"/>
          <w:sz w:val="26"/>
          <w:szCs w:val="26"/>
        </w:rPr>
      </w:pPr>
      <w:r w:rsidRPr="00843ADD">
        <w:rPr>
          <w:rFonts w:ascii="Book Antiqua" w:hAnsi="Book Antiqua" w:cs="Calibri"/>
          <w:sz w:val="26"/>
          <w:szCs w:val="26"/>
        </w:rPr>
        <w:t>Les intérêts versés par les intermédiaires financiers sont augmentées de la marge réalisée sur les dépôts des autres agents économiques (y compris les non résidents) pour passer aux intérêts versés du SCN.</w:t>
      </w:r>
    </w:p>
    <w:p w:rsidR="00EE4CBF" w:rsidRPr="0086541B" w:rsidRDefault="00EE4CBF" w:rsidP="00EE4CBF">
      <w:pPr>
        <w:spacing w:before="240" w:after="240" w:line="360" w:lineRule="exact"/>
        <w:jc w:val="both"/>
        <w:rPr>
          <w:rFonts w:ascii="Book Antiqua" w:hAnsi="Book Antiqua"/>
          <w:color w:val="000000"/>
          <w:sz w:val="26"/>
          <w:szCs w:val="26"/>
        </w:rPr>
      </w:pPr>
      <w:r w:rsidRPr="00843ADD">
        <w:rPr>
          <w:rFonts w:ascii="Book Antiqua" w:hAnsi="Book Antiqua" w:cs="Calibri"/>
          <w:sz w:val="26"/>
          <w:szCs w:val="26"/>
        </w:rPr>
        <w:t xml:space="preserve">Dans la base 1998, le seul emploi reconnu du SIFIM consistait en une consommation intermédiaire de l’économie totale inscrite au niveau d’une branche fictive. Alors que dans la nouvelle base 2007 la production du SIFIM a été répartie entre les différents emplois : consommation intermédiaire ventilée </w:t>
      </w:r>
      <w:r w:rsidRPr="0086541B">
        <w:rPr>
          <w:rFonts w:ascii="Book Antiqua" w:hAnsi="Book Antiqua"/>
          <w:color w:val="000000"/>
          <w:sz w:val="26"/>
          <w:szCs w:val="26"/>
        </w:rPr>
        <w:t>entre les différentes branches, Consommation finale ou exportation.</w:t>
      </w:r>
    </w:p>
    <w:p w:rsidR="00EE4CBF" w:rsidRPr="0086541B" w:rsidRDefault="00EE4CBF" w:rsidP="00EE4CBF">
      <w:pPr>
        <w:pStyle w:val="TNiv2"/>
        <w:spacing w:before="240" w:after="240"/>
        <w:rPr>
          <w:rFonts w:ascii="Book Antiqua" w:hAnsi="Book Antiqua"/>
        </w:rPr>
      </w:pPr>
      <w:r w:rsidRPr="0086541B">
        <w:rPr>
          <w:rFonts w:ascii="Book Antiqua" w:hAnsi="Book Antiqua"/>
        </w:rPr>
        <w:t>3. Production de la banque centrale</w:t>
      </w:r>
    </w:p>
    <w:p w:rsidR="00EE4CBF" w:rsidRPr="00843ADD" w:rsidRDefault="00EE4CBF" w:rsidP="00EE4CBF">
      <w:pPr>
        <w:spacing w:before="160" w:after="120" w:line="360" w:lineRule="exact"/>
        <w:jc w:val="both"/>
        <w:rPr>
          <w:rFonts w:ascii="Book Antiqua" w:hAnsi="Book Antiqua" w:cs="Calibri"/>
          <w:sz w:val="26"/>
          <w:szCs w:val="26"/>
        </w:rPr>
      </w:pPr>
      <w:r w:rsidRPr="00843ADD">
        <w:rPr>
          <w:rFonts w:ascii="Book Antiqua" w:hAnsi="Book Antiqua" w:cs="Calibri"/>
          <w:sz w:val="26"/>
          <w:szCs w:val="26"/>
        </w:rPr>
        <w:t xml:space="preserve">Selon le SCN 2008, la banque centrale ne produit pas de SIFIM. Elle fournit trois grandes catégories de service, notamment les services de politique monétaire, les services d’intermédiation financière et les services de surveillance des sociétés financières. </w:t>
      </w:r>
    </w:p>
    <w:p w:rsidR="00EE4CBF" w:rsidRPr="00843ADD" w:rsidRDefault="00EE4CBF" w:rsidP="00EE4CBF">
      <w:pPr>
        <w:spacing w:before="160" w:after="120" w:line="360" w:lineRule="exact"/>
        <w:jc w:val="both"/>
        <w:rPr>
          <w:rFonts w:ascii="Book Antiqua" w:hAnsi="Book Antiqua" w:cs="Calibri"/>
          <w:sz w:val="26"/>
          <w:szCs w:val="26"/>
        </w:rPr>
      </w:pPr>
      <w:r w:rsidRPr="00843ADD">
        <w:rPr>
          <w:rFonts w:ascii="Book Antiqua" w:hAnsi="Book Antiqua" w:cs="Calibri"/>
          <w:sz w:val="26"/>
          <w:szCs w:val="26"/>
        </w:rPr>
        <w:t>Les services de politique monétaire sont collectifs et représentent donc une production non marchande. Les services d’intermédiation financière sont individuels par nature et doivent être traités comme marchands alors que les services de surveillance peuvent être traités comme marchands ou non marchands selon que les frais liés couvrent ou non les coûts de fourniture de ces services.</w:t>
      </w:r>
    </w:p>
    <w:p w:rsidR="00EE4CBF" w:rsidRPr="00843ADD" w:rsidRDefault="00EE4CBF" w:rsidP="00EE4CBF">
      <w:pPr>
        <w:spacing w:before="160" w:after="120" w:line="360" w:lineRule="exact"/>
        <w:jc w:val="both"/>
        <w:rPr>
          <w:rFonts w:ascii="Book Antiqua" w:hAnsi="Book Antiqua" w:cs="Calibri"/>
          <w:sz w:val="26"/>
          <w:szCs w:val="26"/>
        </w:rPr>
      </w:pPr>
      <w:r w:rsidRPr="00843ADD">
        <w:rPr>
          <w:rFonts w:ascii="Book Antiqua" w:hAnsi="Book Antiqua" w:cs="Calibri"/>
          <w:sz w:val="26"/>
          <w:szCs w:val="26"/>
        </w:rPr>
        <w:t>Les informations comptables de Bank Al Maghrib ne permettent pas d’identifiées, comme le recommande le SCN 2008, des établissements séparés pour les unités produisant ces différents services.</w:t>
      </w:r>
    </w:p>
    <w:p w:rsidR="00EE4CBF" w:rsidRPr="00843ADD" w:rsidRDefault="00EE4CBF" w:rsidP="00EE4CBF">
      <w:pPr>
        <w:spacing w:before="160" w:after="120" w:line="360" w:lineRule="exact"/>
        <w:jc w:val="both"/>
        <w:rPr>
          <w:rFonts w:ascii="Book Antiqua" w:hAnsi="Book Antiqua" w:cs="Calibri"/>
          <w:sz w:val="26"/>
          <w:szCs w:val="26"/>
        </w:rPr>
      </w:pPr>
      <w:r w:rsidRPr="00843ADD">
        <w:rPr>
          <w:rFonts w:ascii="Book Antiqua" w:hAnsi="Book Antiqua" w:cs="Calibri"/>
          <w:sz w:val="26"/>
          <w:szCs w:val="26"/>
        </w:rPr>
        <w:t>Ainsi, dans les travaux de la base 2007, la totalité de la production de Bank Al Maghrib a été évaluée par la somme des coûts. La différence de valeur entre cette production et celle facturée est considérée comme étant la production non marchande.</w:t>
      </w:r>
    </w:p>
    <w:p w:rsidR="00EE4CBF" w:rsidRPr="00843ADD" w:rsidRDefault="00EE4CBF" w:rsidP="00EE4CBF">
      <w:pPr>
        <w:spacing w:before="160" w:after="120" w:line="360" w:lineRule="exact"/>
        <w:jc w:val="both"/>
        <w:rPr>
          <w:rFonts w:ascii="Book Antiqua" w:hAnsi="Book Antiqua" w:cs="Calibri"/>
          <w:sz w:val="26"/>
          <w:szCs w:val="26"/>
        </w:rPr>
      </w:pPr>
      <w:r w:rsidRPr="00843ADD">
        <w:rPr>
          <w:rFonts w:ascii="Book Antiqua" w:hAnsi="Book Antiqua" w:cs="Calibri"/>
          <w:sz w:val="26"/>
          <w:szCs w:val="26"/>
        </w:rPr>
        <w:t>Cette production non marchande de Bank Al Maghrib est considérée comme une consommation finale des administrations publiques. Ainsi, un nouveau transfert correspondant à la valeur de la production non marchande de Bank Al Maghrib est à verser à l’administration publique centrale pour permettre à cette dernière de couvrir l’achat de cette production.</w:t>
      </w:r>
    </w:p>
    <w:p w:rsidR="00EE4CBF" w:rsidRPr="00843ADD" w:rsidRDefault="00EE4CBF" w:rsidP="00F9394F">
      <w:pPr>
        <w:pStyle w:val="TNiv2"/>
        <w:spacing w:after="120"/>
        <w:rPr>
          <w:rFonts w:ascii="Book Antiqua" w:hAnsi="Book Antiqua"/>
        </w:rPr>
      </w:pPr>
      <w:r w:rsidRPr="00843ADD">
        <w:rPr>
          <w:rFonts w:ascii="Book Antiqua" w:hAnsi="Book Antiqua"/>
        </w:rPr>
        <w:t>4. Production de la réassurance</w:t>
      </w:r>
    </w:p>
    <w:p w:rsidR="00EE4CBF" w:rsidRPr="00843ADD" w:rsidRDefault="00EE4CBF" w:rsidP="00EE4CBF">
      <w:pPr>
        <w:spacing w:before="160" w:after="120" w:line="360" w:lineRule="exact"/>
        <w:jc w:val="both"/>
        <w:rPr>
          <w:rFonts w:ascii="Book Antiqua" w:hAnsi="Book Antiqua" w:cs="Calibri"/>
          <w:sz w:val="26"/>
          <w:szCs w:val="26"/>
        </w:rPr>
      </w:pPr>
      <w:r w:rsidRPr="00843ADD">
        <w:rPr>
          <w:rFonts w:ascii="Book Antiqua" w:hAnsi="Book Antiqua" w:cs="Calibri"/>
          <w:sz w:val="26"/>
          <w:szCs w:val="26"/>
        </w:rPr>
        <w:t>Conformément aux recommandations du SCN 2008, la réassurance est traitée comme l’assurance directe et aucune consolidation n’est effectuée entre les opérations de l’assureur direct en tant qu’émetteur de polices en faveur de ses clients, d’une part, et en tant que titulaire de polices avec le réassureur, d’autre part. La production de la réassurance est considérée comme une consommation intermédiaire des assureurs directs.</w:t>
      </w:r>
    </w:p>
    <w:p w:rsidR="00EE4CBF" w:rsidRPr="00843ADD" w:rsidRDefault="00EE4CBF" w:rsidP="00EE4CBF">
      <w:pPr>
        <w:spacing w:before="160" w:after="120" w:line="360" w:lineRule="exact"/>
        <w:jc w:val="both"/>
        <w:rPr>
          <w:rFonts w:ascii="Book Antiqua" w:hAnsi="Book Antiqua" w:cs="Calibri"/>
          <w:sz w:val="26"/>
          <w:szCs w:val="26"/>
        </w:rPr>
      </w:pPr>
      <w:r w:rsidRPr="00843ADD">
        <w:rPr>
          <w:rFonts w:ascii="Book Antiqua" w:hAnsi="Book Antiqua" w:cs="Calibri"/>
          <w:sz w:val="26"/>
          <w:szCs w:val="26"/>
        </w:rPr>
        <w:t>Un nouveau revenu de la propriété attribué au titre de la réassurance est introduit dans les revenus de la propriété attribués aux assurés qui figurent dans le compte d’affectation des revenus primaires.</w:t>
      </w:r>
    </w:p>
    <w:p w:rsidR="00EE4CBF" w:rsidRPr="00843ADD" w:rsidRDefault="00EE4CBF" w:rsidP="00EE4CBF">
      <w:pPr>
        <w:spacing w:before="160" w:after="120" w:line="360" w:lineRule="exact"/>
        <w:jc w:val="both"/>
        <w:rPr>
          <w:rFonts w:ascii="Book Antiqua" w:hAnsi="Book Antiqua" w:cs="Calibri"/>
          <w:sz w:val="26"/>
          <w:szCs w:val="26"/>
        </w:rPr>
      </w:pPr>
      <w:r w:rsidRPr="00843ADD">
        <w:rPr>
          <w:rFonts w:ascii="Book Antiqua" w:hAnsi="Book Antiqua" w:cs="Calibri"/>
          <w:sz w:val="26"/>
          <w:szCs w:val="26"/>
        </w:rPr>
        <w:t xml:space="preserve">Les primes et les indemnités de la réassurance étaient introduites dans les primes nettes d’assurance dommage et indemnités d’assurance dommage. Les primes sont versées, pour la majeure part, par les sociétés d’assurance et le reste est versé par les non résidents. Les indemnités sont reçues, pour la grande part, par les sociétés d’assurance et le reste est reçu par les non résidents. Ce qui fait augmenter les transferts versés et les transferts reçus par les sociétés d’assurance. </w:t>
      </w:r>
    </w:p>
    <w:p w:rsidR="00EE4CBF" w:rsidRPr="00F9394F" w:rsidRDefault="00EE4CBF" w:rsidP="00F9394F">
      <w:pPr>
        <w:pStyle w:val="TNiv1"/>
        <w:spacing w:after="0" w:line="140" w:lineRule="exact"/>
        <w:rPr>
          <w:rFonts w:ascii="Book Antiqua" w:hAnsi="Book Antiqua"/>
          <w:sz w:val="10"/>
          <w:szCs w:val="10"/>
        </w:rPr>
      </w:pPr>
      <w:bookmarkStart w:id="1" w:name="_Toc416769701"/>
    </w:p>
    <w:p w:rsidR="00EE4CBF" w:rsidRPr="0086541B" w:rsidRDefault="00EE4CBF" w:rsidP="00EE4CBF">
      <w:pPr>
        <w:pStyle w:val="TNiv1"/>
        <w:spacing w:before="160" w:after="120"/>
        <w:rPr>
          <w:rFonts w:ascii="Book Antiqua" w:hAnsi="Book Antiqua"/>
        </w:rPr>
      </w:pPr>
      <w:r w:rsidRPr="0086541B">
        <w:rPr>
          <w:rFonts w:ascii="Book Antiqua" w:hAnsi="Book Antiqua"/>
        </w:rPr>
        <w:t>B- Utilisation de nouvelles sources d’information</w:t>
      </w:r>
      <w:bookmarkEnd w:id="1"/>
    </w:p>
    <w:p w:rsidR="00EE4CBF" w:rsidRPr="00843ADD" w:rsidRDefault="00EE4CBF" w:rsidP="00EE4CBF">
      <w:pPr>
        <w:spacing w:before="160" w:after="120" w:line="360" w:lineRule="exact"/>
        <w:jc w:val="both"/>
        <w:rPr>
          <w:rFonts w:ascii="Book Antiqua" w:hAnsi="Book Antiqua"/>
          <w:sz w:val="26"/>
          <w:szCs w:val="26"/>
        </w:rPr>
      </w:pPr>
      <w:r w:rsidRPr="00843ADD">
        <w:rPr>
          <w:rFonts w:ascii="Book Antiqua" w:hAnsi="Book Antiqua"/>
          <w:sz w:val="26"/>
          <w:szCs w:val="26"/>
        </w:rPr>
        <w:t>La série des comptes nationaux de 2007 a été élaborée sur la base de données provenant de nouvelles sources statistiques, notamment, les enquêtes structurelles réalisées par le HCP auprès des entreprises, des ménages, du secteur informel et des institutions privées sans but lucratif ainsi que celle portant sur l’investissement du secteur des administrations publiques. Un dispositif d’enquêtes annuelles (réalisées par le HCP ou par d’autres départements) a été utilisé, en outre, pour la mise en place des comptes nationaux des années courantes.</w:t>
      </w:r>
    </w:p>
    <w:p w:rsidR="00EE4CBF" w:rsidRPr="00F9394F" w:rsidRDefault="00EE4CBF" w:rsidP="00F9394F">
      <w:pPr>
        <w:pStyle w:val="TNiv1"/>
        <w:spacing w:before="160" w:after="120" w:line="80" w:lineRule="exact"/>
        <w:rPr>
          <w:rFonts w:ascii="Book Antiqua" w:hAnsi="Book Antiqua"/>
          <w:sz w:val="12"/>
          <w:szCs w:val="12"/>
        </w:rPr>
      </w:pPr>
    </w:p>
    <w:p w:rsidR="00EE4CBF" w:rsidRPr="00843ADD" w:rsidRDefault="00EE4CBF" w:rsidP="00EE4CBF">
      <w:pPr>
        <w:pStyle w:val="TNiv1"/>
        <w:spacing w:before="160" w:after="120"/>
        <w:rPr>
          <w:rFonts w:ascii="Book Antiqua" w:hAnsi="Book Antiqua"/>
          <w:sz w:val="26"/>
          <w:szCs w:val="26"/>
        </w:rPr>
      </w:pPr>
      <w:r w:rsidRPr="00843ADD">
        <w:rPr>
          <w:rFonts w:ascii="Book Antiqua" w:hAnsi="Book Antiqua"/>
          <w:sz w:val="26"/>
          <w:szCs w:val="26"/>
        </w:rPr>
        <w:t>C- impact du changement de l’année de base sur le PIB</w:t>
      </w:r>
    </w:p>
    <w:p w:rsidR="00EE4CBF" w:rsidRPr="00843ADD" w:rsidRDefault="00EE4CBF" w:rsidP="00EE4CBF">
      <w:pPr>
        <w:spacing w:before="160" w:after="120" w:line="360" w:lineRule="exact"/>
        <w:jc w:val="both"/>
        <w:rPr>
          <w:rFonts w:ascii="Book Antiqua" w:hAnsi="Book Antiqua"/>
          <w:sz w:val="26"/>
          <w:szCs w:val="26"/>
        </w:rPr>
      </w:pPr>
      <w:r w:rsidRPr="00843ADD">
        <w:rPr>
          <w:rFonts w:ascii="Book Antiqua" w:hAnsi="Book Antiqua"/>
          <w:sz w:val="26"/>
          <w:szCs w:val="26"/>
        </w:rPr>
        <w:t xml:space="preserve">Le passage des comptes nationaux à la base 2007 s’est traduit par une réévaluation des niveaux des grands agrégats économiques. </w:t>
      </w:r>
    </w:p>
    <w:p w:rsidR="00EE4CBF" w:rsidRPr="00843ADD" w:rsidRDefault="00EE4CBF" w:rsidP="00F9394F">
      <w:pPr>
        <w:spacing w:before="160" w:after="120" w:line="360" w:lineRule="exact"/>
        <w:jc w:val="both"/>
        <w:rPr>
          <w:rFonts w:ascii="Book Antiqua" w:hAnsi="Book Antiqua"/>
          <w:sz w:val="26"/>
          <w:szCs w:val="26"/>
        </w:rPr>
      </w:pPr>
      <w:r w:rsidRPr="00843ADD">
        <w:rPr>
          <w:rFonts w:ascii="Book Antiqua" w:hAnsi="Book Antiqua"/>
          <w:sz w:val="26"/>
          <w:szCs w:val="26"/>
        </w:rPr>
        <w:t>Ainsi, le PIB de l’année 2007 s’élève, désormais, à 647,5 milliards de DH selon la base 2007, soit une révision à la hausse de 5,1% par rapport à son niveau publié dans les comptes nationaux en base 1998. Sur l’ensemble de la période 2007-2012, le PIB aux prix courants est réévalué en moyenne de 3,1% par an par rapport à la base 1998, soit une hausse de près de 22,3 mille dirhams par an et de 704 dirhams par habitant.</w:t>
      </w:r>
      <w:r w:rsidR="00F9394F">
        <w:rPr>
          <w:rFonts w:ascii="Book Antiqua" w:hAnsi="Book Antiqua"/>
          <w:sz w:val="26"/>
          <w:szCs w:val="26"/>
        </w:rPr>
        <w:t xml:space="preserve"> </w:t>
      </w:r>
      <w:r w:rsidRPr="00843ADD">
        <w:rPr>
          <w:rFonts w:ascii="Book Antiqua" w:hAnsi="Book Antiqua"/>
          <w:sz w:val="26"/>
          <w:szCs w:val="26"/>
        </w:rPr>
        <w:t xml:space="preserve">L’impact sur les autres agrégats des comptes nationaux en base 2007 </w:t>
      </w:r>
      <w:r>
        <w:rPr>
          <w:rFonts w:ascii="Book Antiqua" w:hAnsi="Book Antiqua"/>
          <w:sz w:val="26"/>
          <w:szCs w:val="26"/>
        </w:rPr>
        <w:t xml:space="preserve">et sur la croissance économique en volume en </w:t>
      </w:r>
      <w:r w:rsidRPr="00843ADD">
        <w:rPr>
          <w:rFonts w:ascii="Book Antiqua" w:hAnsi="Book Antiqua"/>
          <w:sz w:val="26"/>
          <w:szCs w:val="26"/>
        </w:rPr>
        <w:t>est donné en annexe.</w:t>
      </w:r>
    </w:p>
    <w:p w:rsidR="00EE4CBF" w:rsidRPr="00843ADD" w:rsidRDefault="00EE4CBF" w:rsidP="00EE4CBF">
      <w:pPr>
        <w:spacing w:before="160" w:after="120" w:line="360" w:lineRule="exact"/>
        <w:jc w:val="both"/>
        <w:rPr>
          <w:rFonts w:ascii="Book Antiqua" w:hAnsi="Book Antiqua"/>
          <w:sz w:val="26"/>
          <w:szCs w:val="26"/>
        </w:rPr>
      </w:pPr>
    </w:p>
    <w:p w:rsidR="00EE4CBF" w:rsidRPr="00843ADD" w:rsidRDefault="00EE4CBF" w:rsidP="00EE4CBF">
      <w:pPr>
        <w:spacing w:before="160" w:after="120" w:line="360" w:lineRule="exact"/>
        <w:jc w:val="both"/>
        <w:rPr>
          <w:rFonts w:ascii="Book Antiqua" w:eastAsia="Calibri" w:hAnsi="Book Antiqua" w:cs="Calibri"/>
          <w:sz w:val="26"/>
          <w:szCs w:val="26"/>
        </w:rPr>
      </w:pPr>
      <w:r w:rsidRPr="00843ADD">
        <w:rPr>
          <w:rFonts w:ascii="Book Antiqua" w:hAnsi="Book Antiqua" w:cs="Arial"/>
          <w:b/>
          <w:color w:val="C00000"/>
          <w:sz w:val="26"/>
          <w:szCs w:val="26"/>
        </w:rPr>
        <w:t>En guise de conclusion</w:t>
      </w:r>
      <w:r w:rsidRPr="00843ADD">
        <w:rPr>
          <w:rFonts w:ascii="Book Antiqua" w:hAnsi="Book Antiqua"/>
          <w:sz w:val="26"/>
          <w:szCs w:val="26"/>
        </w:rPr>
        <w:t>, il est à signaler que le HCP procèdera, en application des normes</w:t>
      </w:r>
      <w:r w:rsidRPr="00843ADD">
        <w:rPr>
          <w:rFonts w:ascii="Book Antiqua" w:eastAsia="Calibri" w:hAnsi="Book Antiqua" w:cs="Calibri"/>
          <w:sz w:val="26"/>
          <w:szCs w:val="26"/>
        </w:rPr>
        <w:t xml:space="preserve"> internationales qui exigent le renouvellement de l’année de base tous les cinq ans, à l’élaboration de nouveaux comptes nationaux, ayant 2014 comme année de base. Un ensemble de sources statistiques sont nécessaires pour mener à bien ce chantier de mise à niveau statistique. L’enquête nationale sur les structures économiques 2015 constitue le noyau central de ce dispositif informationnel. </w:t>
      </w:r>
    </w:p>
    <w:p w:rsidR="00EE4CBF" w:rsidRPr="00843ADD" w:rsidRDefault="00EE4CBF" w:rsidP="00EE4CBF">
      <w:pPr>
        <w:spacing w:line="360" w:lineRule="exact"/>
        <w:jc w:val="both"/>
        <w:rPr>
          <w:rFonts w:ascii="Book Antiqua" w:eastAsia="Calibri" w:hAnsi="Book Antiqua" w:cs="Calibri"/>
          <w:sz w:val="26"/>
          <w:szCs w:val="26"/>
        </w:rPr>
      </w:pPr>
    </w:p>
    <w:p w:rsidR="00EE4CBF" w:rsidRPr="00540EB2" w:rsidRDefault="00EE4CBF" w:rsidP="00EE4CBF">
      <w:pPr>
        <w:spacing w:after="200" w:line="276" w:lineRule="auto"/>
        <w:rPr>
          <w:rFonts w:ascii="Book Antiqua" w:eastAsia="Calibri" w:hAnsi="Book Antiqua" w:cs="Calibri"/>
        </w:rPr>
      </w:pPr>
      <w:r w:rsidRPr="00540EB2">
        <w:rPr>
          <w:rFonts w:ascii="Book Antiqua" w:eastAsia="Calibri" w:hAnsi="Book Antiqua" w:cs="Calibri"/>
        </w:rPr>
        <w:br w:type="page"/>
      </w:r>
    </w:p>
    <w:p w:rsidR="00EE4CBF" w:rsidRDefault="00EE4CBF" w:rsidP="00EE4CBF">
      <w:pPr>
        <w:spacing w:line="360" w:lineRule="exact"/>
        <w:jc w:val="center"/>
        <w:rPr>
          <w:rFonts w:ascii="Book Antiqua" w:hAnsi="Book Antiqua" w:cs="Arial"/>
          <w:b/>
          <w:color w:val="C00000"/>
          <w:sz w:val="36"/>
          <w:szCs w:val="36"/>
        </w:rPr>
      </w:pPr>
      <w:r>
        <w:rPr>
          <w:rFonts w:ascii="Book Antiqua" w:hAnsi="Book Antiqua" w:cs="Arial"/>
          <w:b/>
          <w:color w:val="C00000"/>
          <w:sz w:val="36"/>
          <w:szCs w:val="36"/>
        </w:rPr>
        <w:t>ANNEXE</w:t>
      </w:r>
    </w:p>
    <w:p w:rsidR="00EE4CBF" w:rsidRDefault="00EE4CBF" w:rsidP="00EE4CBF">
      <w:pPr>
        <w:spacing w:line="360" w:lineRule="exact"/>
        <w:jc w:val="center"/>
        <w:rPr>
          <w:rFonts w:ascii="Book Antiqua" w:eastAsia="Calibri" w:hAnsi="Book Antiqua" w:cs="Calibri"/>
        </w:rPr>
      </w:pPr>
    </w:p>
    <w:p w:rsidR="00EE4CBF" w:rsidRDefault="00EE4CBF" w:rsidP="00EE4CBF">
      <w:pPr>
        <w:spacing w:line="360" w:lineRule="auto"/>
        <w:jc w:val="both"/>
        <w:rPr>
          <w:rFonts w:ascii="Book Antiqua" w:hAnsi="Book Antiqua"/>
        </w:rPr>
      </w:pPr>
    </w:p>
    <w:p w:rsidR="00EE4CBF" w:rsidRDefault="00EE4CBF" w:rsidP="00EE4CBF">
      <w:pPr>
        <w:spacing w:line="360" w:lineRule="auto"/>
        <w:jc w:val="center"/>
        <w:rPr>
          <w:rFonts w:ascii="Book Antiqua" w:hAnsi="Book Antiqua"/>
          <w:b/>
          <w:bCs/>
        </w:rPr>
      </w:pPr>
      <w:r>
        <w:rPr>
          <w:rFonts w:ascii="Book Antiqua" w:hAnsi="Book Antiqua"/>
          <w:b/>
          <w:bCs/>
        </w:rPr>
        <w:t>Tableau 1 : Réévaluations des principaux agrégats au titre de l’exercice 2007</w:t>
      </w:r>
    </w:p>
    <w:p w:rsidR="00EE4CBF" w:rsidRDefault="00EE4CBF" w:rsidP="00EE4CBF">
      <w:pPr>
        <w:spacing w:line="360" w:lineRule="auto"/>
        <w:jc w:val="center"/>
        <w:rPr>
          <w:rFonts w:ascii="Book Antiqua" w:hAnsi="Book Antiqua"/>
          <w:b/>
          <w:bCs/>
        </w:rPr>
      </w:pPr>
      <w:r>
        <w:rPr>
          <w:rFonts w:ascii="Book Antiqua" w:hAnsi="Book Antiqua"/>
          <w:b/>
          <w:bCs/>
        </w:rPr>
        <w:t>(En millions de DH)</w:t>
      </w:r>
    </w:p>
    <w:p w:rsidR="00EE4CBF" w:rsidRDefault="00EE4CBF" w:rsidP="00EE4CBF">
      <w:pPr>
        <w:spacing w:line="360" w:lineRule="auto"/>
        <w:jc w:val="both"/>
        <w:rPr>
          <w:rFonts w:ascii="Book Antiqua" w:hAnsi="Book Antiqua"/>
        </w:rPr>
      </w:pPr>
    </w:p>
    <w:tbl>
      <w:tblPr>
        <w:tblW w:w="9284" w:type="dxa"/>
        <w:tblInd w:w="-72" w:type="dxa"/>
        <w:tblCellMar>
          <w:left w:w="70" w:type="dxa"/>
          <w:right w:w="70" w:type="dxa"/>
        </w:tblCellMar>
        <w:tblLook w:val="04A0"/>
      </w:tblPr>
      <w:tblGrid>
        <w:gridCol w:w="3970"/>
        <w:gridCol w:w="1417"/>
        <w:gridCol w:w="1276"/>
        <w:gridCol w:w="1161"/>
        <w:gridCol w:w="1460"/>
      </w:tblGrid>
      <w:tr w:rsidR="00EE4CBF" w:rsidTr="0083424B">
        <w:trPr>
          <w:trHeight w:val="434"/>
        </w:trPr>
        <w:tc>
          <w:tcPr>
            <w:tcW w:w="3970" w:type="dxa"/>
            <w:tcBorders>
              <w:top w:val="single" w:sz="8" w:space="0" w:color="auto"/>
              <w:left w:val="single" w:sz="8" w:space="0" w:color="auto"/>
              <w:bottom w:val="single" w:sz="8" w:space="0" w:color="auto"/>
              <w:right w:val="nil"/>
            </w:tcBorders>
            <w:noWrap/>
            <w:vAlign w:val="center"/>
            <w:hideMark/>
          </w:tcPr>
          <w:p w:rsidR="00EE4CBF" w:rsidRDefault="00EE4CBF" w:rsidP="0083424B">
            <w:pPr>
              <w:spacing w:line="276" w:lineRule="auto"/>
              <w:jc w:val="center"/>
              <w:rPr>
                <w:rFonts w:ascii="Book Antiqua" w:hAnsi="Book Antiqua" w:cs="Arial"/>
                <w:b/>
                <w:bCs/>
              </w:rPr>
            </w:pPr>
            <w:r>
              <w:rPr>
                <w:rFonts w:ascii="Book Antiqua" w:hAnsi="Book Antiqua" w:cs="Arial"/>
                <w:b/>
                <w:bCs/>
              </w:rPr>
              <w:t>Agrégats</w:t>
            </w:r>
          </w:p>
        </w:tc>
        <w:tc>
          <w:tcPr>
            <w:tcW w:w="1417" w:type="dxa"/>
            <w:tcBorders>
              <w:top w:val="single" w:sz="8" w:space="0" w:color="auto"/>
              <w:left w:val="single" w:sz="8" w:space="0" w:color="auto"/>
              <w:bottom w:val="single" w:sz="8" w:space="0" w:color="auto"/>
              <w:right w:val="single" w:sz="8" w:space="0" w:color="auto"/>
            </w:tcBorders>
            <w:noWrap/>
            <w:vAlign w:val="center"/>
            <w:hideMark/>
          </w:tcPr>
          <w:p w:rsidR="00EE4CBF" w:rsidRDefault="00EE4CBF" w:rsidP="0083424B">
            <w:pPr>
              <w:spacing w:line="276" w:lineRule="auto"/>
              <w:jc w:val="center"/>
              <w:rPr>
                <w:rFonts w:ascii="Book Antiqua" w:hAnsi="Book Antiqua" w:cs="Arial"/>
                <w:b/>
                <w:bCs/>
              </w:rPr>
            </w:pPr>
            <w:r>
              <w:rPr>
                <w:rFonts w:ascii="Book Antiqua" w:hAnsi="Book Antiqua" w:cs="Arial"/>
                <w:b/>
                <w:bCs/>
              </w:rPr>
              <w:t>Base 2007</w:t>
            </w:r>
          </w:p>
        </w:tc>
        <w:tc>
          <w:tcPr>
            <w:tcW w:w="1276" w:type="dxa"/>
            <w:tcBorders>
              <w:top w:val="single" w:sz="8" w:space="0" w:color="auto"/>
              <w:left w:val="nil"/>
              <w:bottom w:val="single" w:sz="8" w:space="0" w:color="auto"/>
              <w:right w:val="single" w:sz="8" w:space="0" w:color="auto"/>
            </w:tcBorders>
            <w:noWrap/>
            <w:vAlign w:val="center"/>
            <w:hideMark/>
          </w:tcPr>
          <w:p w:rsidR="00EE4CBF" w:rsidRDefault="00EE4CBF" w:rsidP="0083424B">
            <w:pPr>
              <w:spacing w:line="276" w:lineRule="auto"/>
              <w:jc w:val="center"/>
              <w:rPr>
                <w:rFonts w:ascii="Book Antiqua" w:hAnsi="Book Antiqua" w:cs="Arial"/>
                <w:b/>
                <w:bCs/>
              </w:rPr>
            </w:pPr>
            <w:r>
              <w:rPr>
                <w:rFonts w:ascii="Book Antiqua" w:hAnsi="Book Antiqua" w:cs="Arial"/>
                <w:b/>
                <w:bCs/>
              </w:rPr>
              <w:t>Base 1998</w:t>
            </w:r>
          </w:p>
        </w:tc>
        <w:tc>
          <w:tcPr>
            <w:tcW w:w="1161" w:type="dxa"/>
            <w:tcBorders>
              <w:top w:val="single" w:sz="8" w:space="0" w:color="auto"/>
              <w:left w:val="nil"/>
              <w:bottom w:val="single" w:sz="8" w:space="0" w:color="auto"/>
              <w:right w:val="single" w:sz="4" w:space="0" w:color="auto"/>
            </w:tcBorders>
            <w:vAlign w:val="center"/>
            <w:hideMark/>
          </w:tcPr>
          <w:p w:rsidR="00EE4CBF" w:rsidRDefault="00EE4CBF" w:rsidP="0083424B">
            <w:pPr>
              <w:spacing w:line="276" w:lineRule="auto"/>
              <w:jc w:val="center"/>
              <w:rPr>
                <w:rFonts w:ascii="Book Antiqua" w:hAnsi="Book Antiqua" w:cs="Arial"/>
                <w:b/>
                <w:bCs/>
              </w:rPr>
            </w:pPr>
            <w:r>
              <w:rPr>
                <w:rFonts w:ascii="Book Antiqua" w:hAnsi="Book Antiqua" w:cs="Arial"/>
                <w:b/>
                <w:bCs/>
              </w:rPr>
              <w:t>Ecart</w:t>
            </w:r>
          </w:p>
        </w:tc>
        <w:tc>
          <w:tcPr>
            <w:tcW w:w="1460" w:type="dxa"/>
            <w:tcBorders>
              <w:top w:val="single" w:sz="8" w:space="0" w:color="auto"/>
              <w:left w:val="single" w:sz="4" w:space="0" w:color="auto"/>
              <w:bottom w:val="single" w:sz="8" w:space="0" w:color="auto"/>
              <w:right w:val="single" w:sz="8" w:space="0" w:color="auto"/>
            </w:tcBorders>
            <w:noWrap/>
            <w:vAlign w:val="center"/>
            <w:hideMark/>
          </w:tcPr>
          <w:p w:rsidR="00EE4CBF" w:rsidRDefault="00EE4CBF" w:rsidP="0083424B">
            <w:pPr>
              <w:spacing w:line="276" w:lineRule="auto"/>
              <w:jc w:val="center"/>
              <w:rPr>
                <w:rFonts w:ascii="Book Antiqua" w:hAnsi="Book Antiqua" w:cs="Arial"/>
                <w:b/>
                <w:bCs/>
              </w:rPr>
            </w:pPr>
            <w:r>
              <w:rPr>
                <w:rFonts w:ascii="Book Antiqua" w:hAnsi="Book Antiqua" w:cs="Arial"/>
                <w:b/>
                <w:bCs/>
              </w:rPr>
              <w:t>Ecart en %</w:t>
            </w:r>
          </w:p>
        </w:tc>
      </w:tr>
      <w:tr w:rsidR="00EE4CBF" w:rsidTr="0083424B">
        <w:trPr>
          <w:trHeight w:val="434"/>
        </w:trPr>
        <w:tc>
          <w:tcPr>
            <w:tcW w:w="3970" w:type="dxa"/>
            <w:tcBorders>
              <w:top w:val="single" w:sz="8" w:space="0" w:color="auto"/>
              <w:left w:val="single" w:sz="8" w:space="0" w:color="auto"/>
              <w:bottom w:val="nil"/>
              <w:right w:val="single" w:sz="8" w:space="0" w:color="auto"/>
            </w:tcBorders>
            <w:noWrap/>
            <w:vAlign w:val="center"/>
            <w:hideMark/>
          </w:tcPr>
          <w:p w:rsidR="00EE4CBF" w:rsidRDefault="00EE4CBF" w:rsidP="0083424B">
            <w:pPr>
              <w:spacing w:line="276" w:lineRule="auto"/>
              <w:rPr>
                <w:rFonts w:ascii="Book Antiqua" w:hAnsi="Book Antiqua" w:cs="Arial"/>
                <w:b/>
                <w:bCs/>
              </w:rPr>
            </w:pPr>
            <w:r>
              <w:rPr>
                <w:rFonts w:ascii="Book Antiqua" w:hAnsi="Book Antiqua" w:cs="Arial"/>
                <w:b/>
                <w:bCs/>
              </w:rPr>
              <w:t>Produit intérieur brut</w:t>
            </w:r>
          </w:p>
        </w:tc>
        <w:tc>
          <w:tcPr>
            <w:tcW w:w="1417" w:type="dxa"/>
            <w:tcBorders>
              <w:top w:val="nil"/>
              <w:left w:val="nil"/>
              <w:bottom w:val="nil"/>
              <w:right w:val="single" w:sz="8" w:space="0" w:color="auto"/>
            </w:tcBorders>
            <w:noWrap/>
            <w:vAlign w:val="center"/>
            <w:hideMark/>
          </w:tcPr>
          <w:p w:rsidR="00EE4CBF" w:rsidRDefault="00EE4CBF" w:rsidP="0083424B">
            <w:pPr>
              <w:spacing w:line="276" w:lineRule="auto"/>
              <w:jc w:val="center"/>
              <w:rPr>
                <w:rFonts w:ascii="Book Antiqua" w:hAnsi="Book Antiqua" w:cs="Arial"/>
                <w:b/>
                <w:bCs/>
              </w:rPr>
            </w:pPr>
            <w:r>
              <w:rPr>
                <w:rFonts w:ascii="Book Antiqua" w:hAnsi="Book Antiqua" w:cs="Arial"/>
                <w:b/>
                <w:bCs/>
              </w:rPr>
              <w:t>647 530</w:t>
            </w:r>
          </w:p>
        </w:tc>
        <w:tc>
          <w:tcPr>
            <w:tcW w:w="1276" w:type="dxa"/>
            <w:tcBorders>
              <w:top w:val="nil"/>
              <w:left w:val="nil"/>
              <w:bottom w:val="nil"/>
              <w:right w:val="single" w:sz="8" w:space="0" w:color="auto"/>
            </w:tcBorders>
            <w:noWrap/>
            <w:vAlign w:val="center"/>
            <w:hideMark/>
          </w:tcPr>
          <w:p w:rsidR="00EE4CBF" w:rsidRDefault="00EE4CBF" w:rsidP="0083424B">
            <w:pPr>
              <w:spacing w:line="276" w:lineRule="auto"/>
              <w:jc w:val="center"/>
              <w:rPr>
                <w:rFonts w:ascii="Book Antiqua" w:hAnsi="Book Antiqua" w:cs="Arial"/>
                <w:b/>
                <w:bCs/>
              </w:rPr>
            </w:pPr>
            <w:r>
              <w:rPr>
                <w:rFonts w:ascii="Book Antiqua" w:hAnsi="Book Antiqua" w:cs="Arial"/>
                <w:b/>
                <w:bCs/>
              </w:rPr>
              <w:t>616254</w:t>
            </w:r>
          </w:p>
        </w:tc>
        <w:tc>
          <w:tcPr>
            <w:tcW w:w="1161" w:type="dxa"/>
            <w:tcBorders>
              <w:top w:val="nil"/>
              <w:left w:val="nil"/>
              <w:bottom w:val="nil"/>
              <w:right w:val="single" w:sz="4" w:space="0" w:color="auto"/>
            </w:tcBorders>
            <w:vAlign w:val="center"/>
            <w:hideMark/>
          </w:tcPr>
          <w:p w:rsidR="00EE4CBF" w:rsidRDefault="00EE4CBF" w:rsidP="0083424B">
            <w:pPr>
              <w:spacing w:line="276" w:lineRule="auto"/>
              <w:jc w:val="center"/>
              <w:rPr>
                <w:rFonts w:ascii="Book Antiqua" w:hAnsi="Book Antiqua" w:cs="Arial"/>
                <w:b/>
                <w:bCs/>
              </w:rPr>
            </w:pPr>
            <w:r>
              <w:rPr>
                <w:rFonts w:ascii="Book Antiqua" w:hAnsi="Book Antiqua" w:cs="Arial"/>
                <w:b/>
                <w:bCs/>
              </w:rPr>
              <w:t>31276</w:t>
            </w:r>
          </w:p>
        </w:tc>
        <w:tc>
          <w:tcPr>
            <w:tcW w:w="1460" w:type="dxa"/>
            <w:tcBorders>
              <w:top w:val="nil"/>
              <w:left w:val="single" w:sz="4" w:space="0" w:color="auto"/>
              <w:bottom w:val="nil"/>
              <w:right w:val="single" w:sz="8" w:space="0" w:color="auto"/>
            </w:tcBorders>
            <w:noWrap/>
            <w:vAlign w:val="center"/>
            <w:hideMark/>
          </w:tcPr>
          <w:p w:rsidR="00EE4CBF" w:rsidRDefault="00EE4CBF" w:rsidP="0083424B">
            <w:pPr>
              <w:spacing w:line="276" w:lineRule="auto"/>
              <w:jc w:val="center"/>
              <w:rPr>
                <w:rFonts w:ascii="Book Antiqua" w:hAnsi="Book Antiqua" w:cs="Arial"/>
                <w:b/>
                <w:bCs/>
              </w:rPr>
            </w:pPr>
            <w:r>
              <w:rPr>
                <w:rFonts w:ascii="Book Antiqua" w:hAnsi="Book Antiqua" w:cs="Arial"/>
                <w:b/>
                <w:bCs/>
              </w:rPr>
              <w:t>5,1</w:t>
            </w:r>
          </w:p>
        </w:tc>
      </w:tr>
      <w:tr w:rsidR="00EE4CBF" w:rsidTr="0083424B">
        <w:trPr>
          <w:trHeight w:val="434"/>
        </w:trPr>
        <w:tc>
          <w:tcPr>
            <w:tcW w:w="3970" w:type="dxa"/>
            <w:tcBorders>
              <w:top w:val="nil"/>
              <w:left w:val="single" w:sz="8" w:space="0" w:color="auto"/>
              <w:bottom w:val="nil"/>
              <w:right w:val="single" w:sz="8" w:space="0" w:color="auto"/>
            </w:tcBorders>
            <w:noWrap/>
            <w:vAlign w:val="center"/>
            <w:hideMark/>
          </w:tcPr>
          <w:p w:rsidR="00EE4CBF" w:rsidRDefault="00EE4CBF" w:rsidP="0083424B">
            <w:pPr>
              <w:spacing w:line="276" w:lineRule="auto"/>
              <w:rPr>
                <w:rFonts w:ascii="Book Antiqua" w:hAnsi="Book Antiqua" w:cs="Arial"/>
                <w:b/>
                <w:bCs/>
              </w:rPr>
            </w:pPr>
            <w:r>
              <w:rPr>
                <w:rFonts w:ascii="Book Antiqua" w:hAnsi="Book Antiqua" w:cs="Arial"/>
                <w:b/>
                <w:bCs/>
              </w:rPr>
              <w:t>Dépenses de consommation finale des ménages</w:t>
            </w:r>
          </w:p>
        </w:tc>
        <w:tc>
          <w:tcPr>
            <w:tcW w:w="1417" w:type="dxa"/>
            <w:tcBorders>
              <w:top w:val="nil"/>
              <w:left w:val="nil"/>
              <w:bottom w:val="nil"/>
              <w:right w:val="single" w:sz="8" w:space="0" w:color="auto"/>
            </w:tcBorders>
            <w:noWrap/>
            <w:vAlign w:val="center"/>
            <w:hideMark/>
          </w:tcPr>
          <w:p w:rsidR="00EE4CBF" w:rsidRDefault="00EE4CBF" w:rsidP="0083424B">
            <w:pPr>
              <w:spacing w:line="276" w:lineRule="auto"/>
              <w:jc w:val="center"/>
              <w:rPr>
                <w:rFonts w:ascii="Book Antiqua" w:hAnsi="Book Antiqua" w:cs="Arial"/>
                <w:b/>
                <w:bCs/>
              </w:rPr>
            </w:pPr>
            <w:r>
              <w:rPr>
                <w:rFonts w:ascii="Book Antiqua" w:hAnsi="Book Antiqua" w:cs="Arial"/>
                <w:b/>
                <w:bCs/>
              </w:rPr>
              <w:t>372 865</w:t>
            </w:r>
          </w:p>
        </w:tc>
        <w:tc>
          <w:tcPr>
            <w:tcW w:w="1276" w:type="dxa"/>
            <w:tcBorders>
              <w:top w:val="nil"/>
              <w:left w:val="nil"/>
              <w:bottom w:val="nil"/>
              <w:right w:val="single" w:sz="8" w:space="0" w:color="auto"/>
            </w:tcBorders>
            <w:noWrap/>
            <w:vAlign w:val="center"/>
            <w:hideMark/>
          </w:tcPr>
          <w:p w:rsidR="00EE4CBF" w:rsidRDefault="00EE4CBF" w:rsidP="0083424B">
            <w:pPr>
              <w:spacing w:line="276" w:lineRule="auto"/>
              <w:jc w:val="center"/>
              <w:rPr>
                <w:rFonts w:ascii="Book Antiqua" w:hAnsi="Book Antiqua" w:cs="Arial"/>
                <w:b/>
                <w:bCs/>
              </w:rPr>
            </w:pPr>
            <w:r>
              <w:rPr>
                <w:rFonts w:ascii="Book Antiqua" w:hAnsi="Book Antiqua" w:cs="Arial"/>
                <w:b/>
                <w:bCs/>
              </w:rPr>
              <w:t>360008</w:t>
            </w:r>
          </w:p>
        </w:tc>
        <w:tc>
          <w:tcPr>
            <w:tcW w:w="1161" w:type="dxa"/>
            <w:tcBorders>
              <w:top w:val="nil"/>
              <w:left w:val="nil"/>
              <w:bottom w:val="nil"/>
              <w:right w:val="single" w:sz="4" w:space="0" w:color="auto"/>
            </w:tcBorders>
            <w:vAlign w:val="center"/>
            <w:hideMark/>
          </w:tcPr>
          <w:p w:rsidR="00EE4CBF" w:rsidRDefault="00EE4CBF" w:rsidP="0083424B">
            <w:pPr>
              <w:spacing w:line="276" w:lineRule="auto"/>
              <w:jc w:val="center"/>
              <w:rPr>
                <w:rFonts w:ascii="Book Antiqua" w:hAnsi="Book Antiqua" w:cs="Arial"/>
                <w:b/>
                <w:bCs/>
              </w:rPr>
            </w:pPr>
            <w:r>
              <w:rPr>
                <w:rFonts w:ascii="Book Antiqua" w:hAnsi="Book Antiqua" w:cs="Arial"/>
                <w:b/>
                <w:bCs/>
              </w:rPr>
              <w:t>12857</w:t>
            </w:r>
          </w:p>
        </w:tc>
        <w:tc>
          <w:tcPr>
            <w:tcW w:w="1460" w:type="dxa"/>
            <w:tcBorders>
              <w:top w:val="nil"/>
              <w:left w:val="single" w:sz="4" w:space="0" w:color="auto"/>
              <w:bottom w:val="nil"/>
              <w:right w:val="single" w:sz="8" w:space="0" w:color="auto"/>
            </w:tcBorders>
            <w:noWrap/>
            <w:vAlign w:val="center"/>
            <w:hideMark/>
          </w:tcPr>
          <w:p w:rsidR="00EE4CBF" w:rsidRDefault="00EE4CBF" w:rsidP="0083424B">
            <w:pPr>
              <w:spacing w:line="276" w:lineRule="auto"/>
              <w:jc w:val="center"/>
              <w:rPr>
                <w:rFonts w:ascii="Book Antiqua" w:hAnsi="Book Antiqua" w:cs="Arial"/>
                <w:b/>
                <w:bCs/>
              </w:rPr>
            </w:pPr>
            <w:r>
              <w:rPr>
                <w:rFonts w:ascii="Book Antiqua" w:hAnsi="Book Antiqua" w:cs="Arial"/>
                <w:b/>
                <w:bCs/>
              </w:rPr>
              <w:t>3,6</w:t>
            </w:r>
          </w:p>
        </w:tc>
      </w:tr>
      <w:tr w:rsidR="00EE4CBF" w:rsidTr="0083424B">
        <w:trPr>
          <w:trHeight w:val="434"/>
        </w:trPr>
        <w:tc>
          <w:tcPr>
            <w:tcW w:w="3970" w:type="dxa"/>
            <w:tcBorders>
              <w:top w:val="nil"/>
              <w:left w:val="single" w:sz="8" w:space="0" w:color="auto"/>
              <w:bottom w:val="nil"/>
              <w:right w:val="single" w:sz="8" w:space="0" w:color="auto"/>
            </w:tcBorders>
            <w:noWrap/>
            <w:vAlign w:val="center"/>
            <w:hideMark/>
          </w:tcPr>
          <w:p w:rsidR="00EE4CBF" w:rsidRDefault="00EE4CBF" w:rsidP="0083424B">
            <w:pPr>
              <w:spacing w:line="276" w:lineRule="auto"/>
              <w:rPr>
                <w:rFonts w:ascii="Book Antiqua" w:hAnsi="Book Antiqua" w:cs="Arial"/>
                <w:b/>
                <w:bCs/>
              </w:rPr>
            </w:pPr>
            <w:r>
              <w:rPr>
                <w:rFonts w:ascii="Book Antiqua" w:hAnsi="Book Antiqua" w:cs="Arial"/>
                <w:b/>
                <w:bCs/>
              </w:rPr>
              <w:t>Dépenses de consommation finale des Administrations pub.</w:t>
            </w:r>
          </w:p>
        </w:tc>
        <w:tc>
          <w:tcPr>
            <w:tcW w:w="1417" w:type="dxa"/>
            <w:tcBorders>
              <w:top w:val="nil"/>
              <w:left w:val="nil"/>
              <w:bottom w:val="nil"/>
              <w:right w:val="single" w:sz="8" w:space="0" w:color="auto"/>
            </w:tcBorders>
            <w:noWrap/>
            <w:vAlign w:val="center"/>
            <w:hideMark/>
          </w:tcPr>
          <w:p w:rsidR="00EE4CBF" w:rsidRDefault="00EE4CBF" w:rsidP="0083424B">
            <w:pPr>
              <w:spacing w:line="276" w:lineRule="auto"/>
              <w:jc w:val="center"/>
              <w:rPr>
                <w:rFonts w:ascii="Book Antiqua" w:hAnsi="Book Antiqua" w:cs="Arial"/>
                <w:b/>
                <w:bCs/>
              </w:rPr>
            </w:pPr>
            <w:r>
              <w:rPr>
                <w:rFonts w:ascii="Book Antiqua" w:hAnsi="Book Antiqua" w:cs="Arial"/>
                <w:b/>
                <w:bCs/>
              </w:rPr>
              <w:t>113 412</w:t>
            </w:r>
          </w:p>
        </w:tc>
        <w:tc>
          <w:tcPr>
            <w:tcW w:w="1276" w:type="dxa"/>
            <w:tcBorders>
              <w:top w:val="nil"/>
              <w:left w:val="nil"/>
              <w:bottom w:val="nil"/>
              <w:right w:val="single" w:sz="8" w:space="0" w:color="auto"/>
            </w:tcBorders>
            <w:noWrap/>
            <w:vAlign w:val="center"/>
            <w:hideMark/>
          </w:tcPr>
          <w:p w:rsidR="00EE4CBF" w:rsidRDefault="00EE4CBF" w:rsidP="0083424B">
            <w:pPr>
              <w:spacing w:line="276" w:lineRule="auto"/>
              <w:jc w:val="center"/>
              <w:rPr>
                <w:rFonts w:ascii="Book Antiqua" w:hAnsi="Book Antiqua" w:cs="Arial"/>
                <w:b/>
                <w:bCs/>
              </w:rPr>
            </w:pPr>
            <w:r>
              <w:rPr>
                <w:rFonts w:ascii="Book Antiqua" w:hAnsi="Book Antiqua" w:cs="Arial"/>
                <w:b/>
                <w:bCs/>
              </w:rPr>
              <w:t>112234</w:t>
            </w:r>
          </w:p>
        </w:tc>
        <w:tc>
          <w:tcPr>
            <w:tcW w:w="1161" w:type="dxa"/>
            <w:tcBorders>
              <w:top w:val="nil"/>
              <w:left w:val="nil"/>
              <w:bottom w:val="nil"/>
              <w:right w:val="single" w:sz="4" w:space="0" w:color="auto"/>
            </w:tcBorders>
            <w:vAlign w:val="center"/>
            <w:hideMark/>
          </w:tcPr>
          <w:p w:rsidR="00EE4CBF" w:rsidRDefault="00EE4CBF" w:rsidP="0083424B">
            <w:pPr>
              <w:spacing w:line="276" w:lineRule="auto"/>
              <w:jc w:val="center"/>
              <w:rPr>
                <w:rFonts w:ascii="Book Antiqua" w:hAnsi="Book Antiqua" w:cs="Arial"/>
                <w:b/>
                <w:bCs/>
              </w:rPr>
            </w:pPr>
            <w:r>
              <w:rPr>
                <w:rFonts w:ascii="Book Antiqua" w:hAnsi="Book Antiqua" w:cs="Arial"/>
                <w:b/>
                <w:bCs/>
              </w:rPr>
              <w:t>1178</w:t>
            </w:r>
          </w:p>
        </w:tc>
        <w:tc>
          <w:tcPr>
            <w:tcW w:w="1460" w:type="dxa"/>
            <w:tcBorders>
              <w:top w:val="nil"/>
              <w:left w:val="single" w:sz="4" w:space="0" w:color="auto"/>
              <w:bottom w:val="nil"/>
              <w:right w:val="single" w:sz="8" w:space="0" w:color="auto"/>
            </w:tcBorders>
            <w:noWrap/>
            <w:vAlign w:val="center"/>
            <w:hideMark/>
          </w:tcPr>
          <w:p w:rsidR="00EE4CBF" w:rsidRDefault="00EE4CBF" w:rsidP="0083424B">
            <w:pPr>
              <w:spacing w:line="276" w:lineRule="auto"/>
              <w:jc w:val="center"/>
              <w:rPr>
                <w:rFonts w:ascii="Book Antiqua" w:hAnsi="Book Antiqua" w:cs="Arial"/>
                <w:b/>
                <w:bCs/>
              </w:rPr>
            </w:pPr>
            <w:r>
              <w:rPr>
                <w:rFonts w:ascii="Book Antiqua" w:hAnsi="Book Antiqua" w:cs="Arial"/>
                <w:b/>
                <w:bCs/>
              </w:rPr>
              <w:t>1,0</w:t>
            </w:r>
          </w:p>
        </w:tc>
      </w:tr>
      <w:tr w:rsidR="00EE4CBF" w:rsidTr="0083424B">
        <w:trPr>
          <w:trHeight w:val="434"/>
        </w:trPr>
        <w:tc>
          <w:tcPr>
            <w:tcW w:w="3970" w:type="dxa"/>
            <w:tcBorders>
              <w:top w:val="nil"/>
              <w:left w:val="single" w:sz="8" w:space="0" w:color="auto"/>
              <w:bottom w:val="nil"/>
              <w:right w:val="single" w:sz="8" w:space="0" w:color="auto"/>
            </w:tcBorders>
            <w:noWrap/>
            <w:vAlign w:val="center"/>
            <w:hideMark/>
          </w:tcPr>
          <w:p w:rsidR="00EE4CBF" w:rsidRDefault="00EE4CBF" w:rsidP="0083424B">
            <w:pPr>
              <w:spacing w:line="276" w:lineRule="auto"/>
              <w:rPr>
                <w:rFonts w:ascii="Book Antiqua" w:hAnsi="Book Antiqua" w:cs="Arial"/>
                <w:b/>
                <w:bCs/>
              </w:rPr>
            </w:pPr>
            <w:r>
              <w:rPr>
                <w:rFonts w:ascii="Book Antiqua" w:hAnsi="Book Antiqua" w:cs="Arial"/>
                <w:b/>
                <w:bCs/>
              </w:rPr>
              <w:t>Dépenses de consommation finale des ISBL</w:t>
            </w:r>
          </w:p>
        </w:tc>
        <w:tc>
          <w:tcPr>
            <w:tcW w:w="1417" w:type="dxa"/>
            <w:tcBorders>
              <w:top w:val="nil"/>
              <w:left w:val="nil"/>
              <w:bottom w:val="nil"/>
              <w:right w:val="single" w:sz="8" w:space="0" w:color="auto"/>
            </w:tcBorders>
            <w:noWrap/>
            <w:vAlign w:val="center"/>
            <w:hideMark/>
          </w:tcPr>
          <w:p w:rsidR="00EE4CBF" w:rsidRDefault="00EE4CBF" w:rsidP="0083424B">
            <w:pPr>
              <w:spacing w:line="276" w:lineRule="auto"/>
              <w:jc w:val="center"/>
              <w:rPr>
                <w:rFonts w:ascii="Book Antiqua" w:hAnsi="Book Antiqua" w:cs="Arial"/>
                <w:b/>
                <w:bCs/>
              </w:rPr>
            </w:pPr>
            <w:r>
              <w:rPr>
                <w:rFonts w:ascii="Book Antiqua" w:hAnsi="Book Antiqua" w:cs="Arial"/>
                <w:b/>
                <w:bCs/>
              </w:rPr>
              <w:t>2 339</w:t>
            </w:r>
          </w:p>
        </w:tc>
        <w:tc>
          <w:tcPr>
            <w:tcW w:w="1276" w:type="dxa"/>
            <w:tcBorders>
              <w:top w:val="nil"/>
              <w:left w:val="nil"/>
              <w:bottom w:val="nil"/>
              <w:right w:val="single" w:sz="8" w:space="0" w:color="auto"/>
            </w:tcBorders>
            <w:noWrap/>
            <w:vAlign w:val="center"/>
            <w:hideMark/>
          </w:tcPr>
          <w:p w:rsidR="00EE4CBF" w:rsidRDefault="00EE4CBF" w:rsidP="0083424B">
            <w:pPr>
              <w:spacing w:line="276" w:lineRule="auto"/>
              <w:rPr>
                <w:rFonts w:ascii="Calibri" w:hAnsi="Calibri"/>
              </w:rPr>
            </w:pPr>
          </w:p>
        </w:tc>
        <w:tc>
          <w:tcPr>
            <w:tcW w:w="1161" w:type="dxa"/>
            <w:tcBorders>
              <w:top w:val="nil"/>
              <w:left w:val="nil"/>
              <w:bottom w:val="nil"/>
              <w:right w:val="single" w:sz="4" w:space="0" w:color="auto"/>
            </w:tcBorders>
            <w:vAlign w:val="center"/>
            <w:hideMark/>
          </w:tcPr>
          <w:p w:rsidR="00EE4CBF" w:rsidRDefault="00EE4CBF" w:rsidP="0083424B">
            <w:pPr>
              <w:spacing w:line="276" w:lineRule="auto"/>
              <w:jc w:val="center"/>
              <w:rPr>
                <w:rFonts w:ascii="Book Antiqua" w:hAnsi="Book Antiqua" w:cs="Arial"/>
                <w:b/>
                <w:bCs/>
              </w:rPr>
            </w:pPr>
            <w:r>
              <w:rPr>
                <w:rFonts w:ascii="Book Antiqua" w:hAnsi="Book Antiqua" w:cs="Arial"/>
                <w:b/>
                <w:bCs/>
              </w:rPr>
              <w:t>2339</w:t>
            </w:r>
          </w:p>
        </w:tc>
        <w:tc>
          <w:tcPr>
            <w:tcW w:w="1460" w:type="dxa"/>
            <w:tcBorders>
              <w:top w:val="nil"/>
              <w:left w:val="single" w:sz="4" w:space="0" w:color="auto"/>
              <w:bottom w:val="nil"/>
              <w:right w:val="single" w:sz="8" w:space="0" w:color="auto"/>
            </w:tcBorders>
            <w:noWrap/>
            <w:vAlign w:val="center"/>
            <w:hideMark/>
          </w:tcPr>
          <w:p w:rsidR="00EE4CBF" w:rsidRDefault="00EE4CBF" w:rsidP="0083424B">
            <w:pPr>
              <w:spacing w:line="276" w:lineRule="auto"/>
              <w:rPr>
                <w:rFonts w:ascii="Calibri" w:hAnsi="Calibri"/>
              </w:rPr>
            </w:pPr>
          </w:p>
        </w:tc>
      </w:tr>
      <w:tr w:rsidR="00EE4CBF" w:rsidTr="0083424B">
        <w:trPr>
          <w:trHeight w:val="434"/>
        </w:trPr>
        <w:tc>
          <w:tcPr>
            <w:tcW w:w="3970" w:type="dxa"/>
            <w:tcBorders>
              <w:top w:val="nil"/>
              <w:left w:val="single" w:sz="8" w:space="0" w:color="auto"/>
              <w:bottom w:val="nil"/>
              <w:right w:val="single" w:sz="8" w:space="0" w:color="auto"/>
            </w:tcBorders>
            <w:noWrap/>
            <w:vAlign w:val="center"/>
            <w:hideMark/>
          </w:tcPr>
          <w:p w:rsidR="00EE4CBF" w:rsidRDefault="00EE4CBF" w:rsidP="0083424B">
            <w:pPr>
              <w:spacing w:line="276" w:lineRule="auto"/>
              <w:rPr>
                <w:rFonts w:ascii="Book Antiqua" w:hAnsi="Book Antiqua" w:cs="Arial"/>
                <w:b/>
                <w:bCs/>
              </w:rPr>
            </w:pPr>
            <w:r>
              <w:rPr>
                <w:rFonts w:ascii="Book Antiqua" w:hAnsi="Book Antiqua" w:cs="Arial"/>
                <w:b/>
                <w:bCs/>
              </w:rPr>
              <w:t>Formation brute de capital fixe</w:t>
            </w:r>
          </w:p>
        </w:tc>
        <w:tc>
          <w:tcPr>
            <w:tcW w:w="1417" w:type="dxa"/>
            <w:tcBorders>
              <w:top w:val="nil"/>
              <w:left w:val="nil"/>
              <w:bottom w:val="nil"/>
              <w:right w:val="single" w:sz="8" w:space="0" w:color="auto"/>
            </w:tcBorders>
            <w:noWrap/>
            <w:vAlign w:val="center"/>
            <w:hideMark/>
          </w:tcPr>
          <w:p w:rsidR="00EE4CBF" w:rsidRDefault="00EE4CBF" w:rsidP="0083424B">
            <w:pPr>
              <w:spacing w:line="276" w:lineRule="auto"/>
              <w:jc w:val="center"/>
              <w:rPr>
                <w:rFonts w:ascii="Book Antiqua" w:hAnsi="Book Antiqua" w:cs="Arial"/>
                <w:b/>
                <w:bCs/>
              </w:rPr>
            </w:pPr>
            <w:r>
              <w:rPr>
                <w:rFonts w:ascii="Book Antiqua" w:hAnsi="Book Antiqua" w:cs="Arial"/>
                <w:b/>
                <w:bCs/>
              </w:rPr>
              <w:t>208 216</w:t>
            </w:r>
          </w:p>
        </w:tc>
        <w:tc>
          <w:tcPr>
            <w:tcW w:w="1276" w:type="dxa"/>
            <w:tcBorders>
              <w:top w:val="nil"/>
              <w:left w:val="nil"/>
              <w:bottom w:val="nil"/>
              <w:right w:val="single" w:sz="8" w:space="0" w:color="auto"/>
            </w:tcBorders>
            <w:noWrap/>
            <w:vAlign w:val="center"/>
            <w:hideMark/>
          </w:tcPr>
          <w:p w:rsidR="00EE4CBF" w:rsidRDefault="00EE4CBF" w:rsidP="0083424B">
            <w:pPr>
              <w:spacing w:line="276" w:lineRule="auto"/>
              <w:jc w:val="center"/>
              <w:rPr>
                <w:rFonts w:ascii="Book Antiqua" w:hAnsi="Book Antiqua" w:cs="Arial"/>
                <w:b/>
                <w:bCs/>
              </w:rPr>
            </w:pPr>
            <w:r>
              <w:rPr>
                <w:rFonts w:ascii="Book Antiqua" w:hAnsi="Book Antiqua" w:cs="Arial"/>
                <w:b/>
                <w:bCs/>
              </w:rPr>
              <w:t>192573</w:t>
            </w:r>
          </w:p>
        </w:tc>
        <w:tc>
          <w:tcPr>
            <w:tcW w:w="1161" w:type="dxa"/>
            <w:tcBorders>
              <w:top w:val="nil"/>
              <w:left w:val="nil"/>
              <w:bottom w:val="nil"/>
              <w:right w:val="single" w:sz="4" w:space="0" w:color="auto"/>
            </w:tcBorders>
            <w:vAlign w:val="center"/>
            <w:hideMark/>
          </w:tcPr>
          <w:p w:rsidR="00EE4CBF" w:rsidRDefault="00EE4CBF" w:rsidP="0083424B">
            <w:pPr>
              <w:spacing w:line="276" w:lineRule="auto"/>
              <w:jc w:val="center"/>
              <w:rPr>
                <w:rFonts w:ascii="Book Antiqua" w:hAnsi="Book Antiqua" w:cs="Arial"/>
                <w:b/>
                <w:bCs/>
              </w:rPr>
            </w:pPr>
            <w:r>
              <w:rPr>
                <w:rFonts w:ascii="Book Antiqua" w:hAnsi="Book Antiqua" w:cs="Arial"/>
                <w:b/>
                <w:bCs/>
              </w:rPr>
              <w:t>15643</w:t>
            </w:r>
          </w:p>
        </w:tc>
        <w:tc>
          <w:tcPr>
            <w:tcW w:w="1460" w:type="dxa"/>
            <w:tcBorders>
              <w:top w:val="nil"/>
              <w:left w:val="single" w:sz="4" w:space="0" w:color="auto"/>
              <w:bottom w:val="nil"/>
              <w:right w:val="single" w:sz="8" w:space="0" w:color="auto"/>
            </w:tcBorders>
            <w:noWrap/>
            <w:vAlign w:val="center"/>
            <w:hideMark/>
          </w:tcPr>
          <w:p w:rsidR="00EE4CBF" w:rsidRDefault="00EE4CBF" w:rsidP="0083424B">
            <w:pPr>
              <w:spacing w:line="276" w:lineRule="auto"/>
              <w:jc w:val="center"/>
              <w:rPr>
                <w:rFonts w:ascii="Book Antiqua" w:hAnsi="Book Antiqua" w:cs="Arial"/>
                <w:b/>
                <w:bCs/>
              </w:rPr>
            </w:pPr>
            <w:r>
              <w:rPr>
                <w:rFonts w:ascii="Book Antiqua" w:hAnsi="Book Antiqua" w:cs="Arial"/>
                <w:b/>
                <w:bCs/>
              </w:rPr>
              <w:t>8,1</w:t>
            </w:r>
          </w:p>
        </w:tc>
      </w:tr>
      <w:tr w:rsidR="00EE4CBF" w:rsidTr="0083424B">
        <w:trPr>
          <w:trHeight w:val="434"/>
        </w:trPr>
        <w:tc>
          <w:tcPr>
            <w:tcW w:w="3970" w:type="dxa"/>
            <w:tcBorders>
              <w:top w:val="nil"/>
              <w:left w:val="single" w:sz="8" w:space="0" w:color="auto"/>
              <w:bottom w:val="nil"/>
              <w:right w:val="single" w:sz="8" w:space="0" w:color="auto"/>
            </w:tcBorders>
            <w:noWrap/>
            <w:vAlign w:val="center"/>
            <w:hideMark/>
          </w:tcPr>
          <w:p w:rsidR="00EE4CBF" w:rsidRDefault="00EE4CBF" w:rsidP="0083424B">
            <w:pPr>
              <w:spacing w:line="276" w:lineRule="auto"/>
              <w:rPr>
                <w:rFonts w:ascii="Book Antiqua" w:hAnsi="Book Antiqua" w:cs="Arial"/>
                <w:b/>
                <w:bCs/>
              </w:rPr>
            </w:pPr>
            <w:r>
              <w:rPr>
                <w:rFonts w:ascii="Book Antiqua" w:hAnsi="Book Antiqua" w:cs="Arial"/>
                <w:b/>
                <w:bCs/>
              </w:rPr>
              <w:t>Exportations de biens et services</w:t>
            </w:r>
          </w:p>
        </w:tc>
        <w:tc>
          <w:tcPr>
            <w:tcW w:w="1417" w:type="dxa"/>
            <w:tcBorders>
              <w:top w:val="nil"/>
              <w:left w:val="nil"/>
              <w:bottom w:val="nil"/>
              <w:right w:val="single" w:sz="8" w:space="0" w:color="auto"/>
            </w:tcBorders>
            <w:noWrap/>
            <w:vAlign w:val="center"/>
            <w:hideMark/>
          </w:tcPr>
          <w:p w:rsidR="00EE4CBF" w:rsidRDefault="00EE4CBF" w:rsidP="0083424B">
            <w:pPr>
              <w:spacing w:line="276" w:lineRule="auto"/>
              <w:jc w:val="center"/>
              <w:rPr>
                <w:rFonts w:ascii="Book Antiqua" w:hAnsi="Book Antiqua" w:cs="Arial"/>
                <w:b/>
                <w:bCs/>
              </w:rPr>
            </w:pPr>
            <w:r>
              <w:rPr>
                <w:rFonts w:ascii="Book Antiqua" w:hAnsi="Book Antiqua" w:cs="Arial"/>
                <w:b/>
                <w:bCs/>
              </w:rPr>
              <w:t>223 862</w:t>
            </w:r>
          </w:p>
        </w:tc>
        <w:tc>
          <w:tcPr>
            <w:tcW w:w="1276" w:type="dxa"/>
            <w:tcBorders>
              <w:top w:val="nil"/>
              <w:left w:val="nil"/>
              <w:bottom w:val="nil"/>
              <w:right w:val="single" w:sz="8" w:space="0" w:color="auto"/>
            </w:tcBorders>
            <w:noWrap/>
            <w:vAlign w:val="center"/>
            <w:hideMark/>
          </w:tcPr>
          <w:p w:rsidR="00EE4CBF" w:rsidRDefault="00EE4CBF" w:rsidP="0083424B">
            <w:pPr>
              <w:spacing w:line="276" w:lineRule="auto"/>
              <w:jc w:val="center"/>
              <w:rPr>
                <w:rFonts w:ascii="Book Antiqua" w:hAnsi="Book Antiqua" w:cs="Arial"/>
                <w:b/>
                <w:bCs/>
              </w:rPr>
            </w:pPr>
            <w:r>
              <w:rPr>
                <w:rFonts w:ascii="Book Antiqua" w:hAnsi="Book Antiqua" w:cs="Arial"/>
                <w:b/>
                <w:bCs/>
              </w:rPr>
              <w:t>220302</w:t>
            </w:r>
          </w:p>
        </w:tc>
        <w:tc>
          <w:tcPr>
            <w:tcW w:w="1161" w:type="dxa"/>
            <w:tcBorders>
              <w:top w:val="nil"/>
              <w:left w:val="nil"/>
              <w:bottom w:val="nil"/>
              <w:right w:val="single" w:sz="4" w:space="0" w:color="auto"/>
            </w:tcBorders>
            <w:vAlign w:val="center"/>
            <w:hideMark/>
          </w:tcPr>
          <w:p w:rsidR="00EE4CBF" w:rsidRDefault="00EE4CBF" w:rsidP="0083424B">
            <w:pPr>
              <w:spacing w:line="276" w:lineRule="auto"/>
              <w:jc w:val="center"/>
              <w:rPr>
                <w:rFonts w:ascii="Book Antiqua" w:hAnsi="Book Antiqua" w:cs="Arial"/>
                <w:b/>
                <w:bCs/>
              </w:rPr>
            </w:pPr>
            <w:r>
              <w:rPr>
                <w:rFonts w:ascii="Book Antiqua" w:hAnsi="Book Antiqua" w:cs="Arial"/>
                <w:b/>
                <w:bCs/>
              </w:rPr>
              <w:t>3560</w:t>
            </w:r>
          </w:p>
        </w:tc>
        <w:tc>
          <w:tcPr>
            <w:tcW w:w="1460" w:type="dxa"/>
            <w:tcBorders>
              <w:top w:val="nil"/>
              <w:left w:val="single" w:sz="4" w:space="0" w:color="auto"/>
              <w:bottom w:val="nil"/>
              <w:right w:val="single" w:sz="8" w:space="0" w:color="auto"/>
            </w:tcBorders>
            <w:noWrap/>
            <w:vAlign w:val="center"/>
            <w:hideMark/>
          </w:tcPr>
          <w:p w:rsidR="00EE4CBF" w:rsidRDefault="00EE4CBF" w:rsidP="0083424B">
            <w:pPr>
              <w:spacing w:line="276" w:lineRule="auto"/>
              <w:jc w:val="center"/>
              <w:rPr>
                <w:rFonts w:ascii="Book Antiqua" w:hAnsi="Book Antiqua" w:cs="Arial"/>
                <w:b/>
                <w:bCs/>
              </w:rPr>
            </w:pPr>
            <w:r>
              <w:rPr>
                <w:rFonts w:ascii="Book Antiqua" w:hAnsi="Book Antiqua" w:cs="Arial"/>
                <w:b/>
                <w:bCs/>
              </w:rPr>
              <w:t>1,6</w:t>
            </w:r>
          </w:p>
        </w:tc>
      </w:tr>
      <w:tr w:rsidR="00EE4CBF" w:rsidTr="0083424B">
        <w:trPr>
          <w:trHeight w:val="434"/>
        </w:trPr>
        <w:tc>
          <w:tcPr>
            <w:tcW w:w="3970" w:type="dxa"/>
            <w:tcBorders>
              <w:top w:val="nil"/>
              <w:left w:val="single" w:sz="8" w:space="0" w:color="auto"/>
              <w:bottom w:val="single" w:sz="8" w:space="0" w:color="auto"/>
              <w:right w:val="single" w:sz="8" w:space="0" w:color="auto"/>
            </w:tcBorders>
            <w:noWrap/>
            <w:vAlign w:val="center"/>
            <w:hideMark/>
          </w:tcPr>
          <w:p w:rsidR="00EE4CBF" w:rsidRDefault="00EE4CBF" w:rsidP="0083424B">
            <w:pPr>
              <w:spacing w:line="276" w:lineRule="auto"/>
              <w:rPr>
                <w:rFonts w:ascii="Book Antiqua" w:hAnsi="Book Antiqua" w:cs="Arial"/>
                <w:b/>
                <w:bCs/>
              </w:rPr>
            </w:pPr>
            <w:r>
              <w:rPr>
                <w:rFonts w:ascii="Book Antiqua" w:hAnsi="Book Antiqua" w:cs="Arial"/>
                <w:b/>
                <w:bCs/>
              </w:rPr>
              <w:t>Importations de biens et services</w:t>
            </w:r>
          </w:p>
        </w:tc>
        <w:tc>
          <w:tcPr>
            <w:tcW w:w="1417" w:type="dxa"/>
            <w:tcBorders>
              <w:top w:val="nil"/>
              <w:left w:val="nil"/>
              <w:bottom w:val="single" w:sz="8" w:space="0" w:color="auto"/>
              <w:right w:val="single" w:sz="8" w:space="0" w:color="auto"/>
            </w:tcBorders>
            <w:noWrap/>
            <w:vAlign w:val="center"/>
            <w:hideMark/>
          </w:tcPr>
          <w:p w:rsidR="00EE4CBF" w:rsidRDefault="00EE4CBF" w:rsidP="0083424B">
            <w:pPr>
              <w:spacing w:line="276" w:lineRule="auto"/>
              <w:jc w:val="center"/>
              <w:rPr>
                <w:rFonts w:ascii="Book Antiqua" w:hAnsi="Book Antiqua" w:cs="Arial"/>
                <w:b/>
                <w:bCs/>
              </w:rPr>
            </w:pPr>
            <w:r>
              <w:rPr>
                <w:rFonts w:ascii="Book Antiqua" w:hAnsi="Book Antiqua" w:cs="Arial"/>
                <w:b/>
                <w:bCs/>
              </w:rPr>
              <w:t>284 366</w:t>
            </w:r>
          </w:p>
        </w:tc>
        <w:tc>
          <w:tcPr>
            <w:tcW w:w="1276" w:type="dxa"/>
            <w:tcBorders>
              <w:top w:val="nil"/>
              <w:left w:val="nil"/>
              <w:bottom w:val="single" w:sz="8" w:space="0" w:color="auto"/>
              <w:right w:val="single" w:sz="8" w:space="0" w:color="auto"/>
            </w:tcBorders>
            <w:noWrap/>
            <w:vAlign w:val="center"/>
            <w:hideMark/>
          </w:tcPr>
          <w:p w:rsidR="00EE4CBF" w:rsidRDefault="00EE4CBF" w:rsidP="0083424B">
            <w:pPr>
              <w:spacing w:line="276" w:lineRule="auto"/>
              <w:jc w:val="center"/>
              <w:rPr>
                <w:rFonts w:ascii="Book Antiqua" w:hAnsi="Book Antiqua" w:cs="Arial"/>
                <w:b/>
                <w:bCs/>
              </w:rPr>
            </w:pPr>
            <w:r>
              <w:rPr>
                <w:rFonts w:ascii="Book Antiqua" w:hAnsi="Book Antiqua" w:cs="Arial"/>
                <w:b/>
                <w:bCs/>
              </w:rPr>
              <w:t>276477</w:t>
            </w:r>
          </w:p>
        </w:tc>
        <w:tc>
          <w:tcPr>
            <w:tcW w:w="1161" w:type="dxa"/>
            <w:tcBorders>
              <w:top w:val="nil"/>
              <w:left w:val="nil"/>
              <w:bottom w:val="single" w:sz="8" w:space="0" w:color="auto"/>
              <w:right w:val="single" w:sz="4" w:space="0" w:color="auto"/>
            </w:tcBorders>
            <w:vAlign w:val="center"/>
            <w:hideMark/>
          </w:tcPr>
          <w:p w:rsidR="00EE4CBF" w:rsidRDefault="00EE4CBF" w:rsidP="0083424B">
            <w:pPr>
              <w:spacing w:line="276" w:lineRule="auto"/>
              <w:jc w:val="center"/>
              <w:rPr>
                <w:rFonts w:ascii="Book Antiqua" w:hAnsi="Book Antiqua" w:cs="Arial"/>
                <w:b/>
                <w:bCs/>
              </w:rPr>
            </w:pPr>
            <w:r>
              <w:rPr>
                <w:rFonts w:ascii="Book Antiqua" w:hAnsi="Book Antiqua" w:cs="Arial"/>
                <w:b/>
                <w:bCs/>
              </w:rPr>
              <w:t>7889</w:t>
            </w:r>
          </w:p>
        </w:tc>
        <w:tc>
          <w:tcPr>
            <w:tcW w:w="1460" w:type="dxa"/>
            <w:tcBorders>
              <w:top w:val="nil"/>
              <w:left w:val="single" w:sz="4" w:space="0" w:color="auto"/>
              <w:bottom w:val="single" w:sz="8" w:space="0" w:color="auto"/>
              <w:right w:val="single" w:sz="8" w:space="0" w:color="auto"/>
            </w:tcBorders>
            <w:noWrap/>
            <w:vAlign w:val="center"/>
            <w:hideMark/>
          </w:tcPr>
          <w:p w:rsidR="00EE4CBF" w:rsidRDefault="00EE4CBF" w:rsidP="0083424B">
            <w:pPr>
              <w:spacing w:line="276" w:lineRule="auto"/>
              <w:jc w:val="center"/>
              <w:rPr>
                <w:rFonts w:ascii="Book Antiqua" w:hAnsi="Book Antiqua" w:cs="Arial"/>
                <w:b/>
                <w:bCs/>
              </w:rPr>
            </w:pPr>
            <w:r>
              <w:rPr>
                <w:rFonts w:ascii="Book Antiqua" w:hAnsi="Book Antiqua" w:cs="Arial"/>
                <w:b/>
                <w:bCs/>
              </w:rPr>
              <w:t>2,9</w:t>
            </w:r>
          </w:p>
        </w:tc>
      </w:tr>
    </w:tbl>
    <w:p w:rsidR="00EE4CBF" w:rsidRDefault="00EE4CBF" w:rsidP="00EE4CBF">
      <w:pPr>
        <w:spacing w:line="360" w:lineRule="auto"/>
        <w:jc w:val="center"/>
        <w:rPr>
          <w:rFonts w:ascii="Book Antiqua" w:hAnsi="Book Antiqua"/>
        </w:rPr>
      </w:pPr>
    </w:p>
    <w:p w:rsidR="00EE4CBF" w:rsidRDefault="00EE4CBF" w:rsidP="00EE4CBF">
      <w:pPr>
        <w:spacing w:line="360" w:lineRule="auto"/>
        <w:jc w:val="center"/>
        <w:rPr>
          <w:rFonts w:ascii="Book Antiqua" w:hAnsi="Book Antiqua"/>
        </w:rPr>
      </w:pPr>
    </w:p>
    <w:p w:rsidR="00EE4CBF" w:rsidRDefault="00EE4CBF" w:rsidP="00EE4CBF">
      <w:pPr>
        <w:spacing w:line="360" w:lineRule="auto"/>
        <w:jc w:val="center"/>
        <w:rPr>
          <w:rFonts w:ascii="Book Antiqua" w:hAnsi="Book Antiqua"/>
        </w:rPr>
      </w:pPr>
    </w:p>
    <w:p w:rsidR="00EE4CBF" w:rsidRDefault="00EE4CBF" w:rsidP="00EE4CBF">
      <w:pPr>
        <w:spacing w:line="360" w:lineRule="auto"/>
        <w:jc w:val="center"/>
        <w:rPr>
          <w:rFonts w:ascii="Garamond" w:hAnsi="Garamond"/>
          <w:b/>
          <w:bCs/>
          <w:sz w:val="28"/>
          <w:szCs w:val="28"/>
        </w:rPr>
      </w:pPr>
      <w:r>
        <w:rPr>
          <w:rFonts w:ascii="Garamond" w:hAnsi="Garamond"/>
          <w:b/>
          <w:bCs/>
          <w:sz w:val="28"/>
          <w:szCs w:val="28"/>
        </w:rPr>
        <w:t>Tableau2 : Réévaluation de la croissance économique annuelle (En %)</w:t>
      </w:r>
    </w:p>
    <w:tbl>
      <w:tblPr>
        <w:tblW w:w="9284" w:type="dxa"/>
        <w:tblInd w:w="-72" w:type="dxa"/>
        <w:tblCellMar>
          <w:left w:w="70" w:type="dxa"/>
          <w:right w:w="70" w:type="dxa"/>
        </w:tblCellMar>
        <w:tblLook w:val="04A0"/>
      </w:tblPr>
      <w:tblGrid>
        <w:gridCol w:w="3970"/>
        <w:gridCol w:w="1417"/>
        <w:gridCol w:w="1701"/>
        <w:gridCol w:w="2196"/>
      </w:tblGrid>
      <w:tr w:rsidR="00EE4CBF" w:rsidTr="0083424B">
        <w:trPr>
          <w:trHeight w:val="315"/>
        </w:trPr>
        <w:tc>
          <w:tcPr>
            <w:tcW w:w="3970" w:type="dxa"/>
            <w:tcBorders>
              <w:top w:val="single" w:sz="8" w:space="0" w:color="auto"/>
              <w:left w:val="single" w:sz="8" w:space="0" w:color="auto"/>
              <w:bottom w:val="single" w:sz="8" w:space="0" w:color="auto"/>
              <w:right w:val="single" w:sz="8" w:space="0" w:color="auto"/>
            </w:tcBorders>
            <w:noWrap/>
            <w:vAlign w:val="bottom"/>
            <w:hideMark/>
          </w:tcPr>
          <w:p w:rsidR="00EE4CBF" w:rsidRDefault="00EE4CBF" w:rsidP="0083424B">
            <w:pPr>
              <w:spacing w:line="276" w:lineRule="auto"/>
              <w:rPr>
                <w:rFonts w:ascii="Arial" w:hAnsi="Arial" w:cs="Arial"/>
                <w:b/>
                <w:bCs/>
              </w:rPr>
            </w:pPr>
            <w:r>
              <w:rPr>
                <w:rFonts w:ascii="Arial" w:hAnsi="Arial" w:cs="Arial"/>
                <w:b/>
                <w:bCs/>
              </w:rPr>
              <w:t>Années</w:t>
            </w:r>
          </w:p>
        </w:tc>
        <w:tc>
          <w:tcPr>
            <w:tcW w:w="1417" w:type="dxa"/>
            <w:tcBorders>
              <w:top w:val="single" w:sz="8" w:space="0" w:color="auto"/>
              <w:left w:val="nil"/>
              <w:bottom w:val="single" w:sz="8" w:space="0" w:color="auto"/>
              <w:right w:val="single" w:sz="8" w:space="0" w:color="auto"/>
            </w:tcBorders>
            <w:noWrap/>
            <w:vAlign w:val="bottom"/>
            <w:hideMark/>
          </w:tcPr>
          <w:p w:rsidR="00EE4CBF" w:rsidRDefault="00EE4CBF" w:rsidP="0083424B">
            <w:pPr>
              <w:spacing w:line="276" w:lineRule="auto"/>
              <w:jc w:val="center"/>
              <w:rPr>
                <w:rFonts w:ascii="Arial" w:hAnsi="Arial" w:cs="Arial"/>
                <w:b/>
                <w:bCs/>
              </w:rPr>
            </w:pPr>
            <w:r>
              <w:rPr>
                <w:rFonts w:ascii="Arial" w:hAnsi="Arial" w:cs="Arial"/>
                <w:b/>
                <w:bCs/>
              </w:rPr>
              <w:t>Base 2007</w:t>
            </w:r>
          </w:p>
        </w:tc>
        <w:tc>
          <w:tcPr>
            <w:tcW w:w="1701" w:type="dxa"/>
            <w:tcBorders>
              <w:top w:val="single" w:sz="8" w:space="0" w:color="auto"/>
              <w:left w:val="nil"/>
              <w:bottom w:val="single" w:sz="8" w:space="0" w:color="auto"/>
              <w:right w:val="single" w:sz="8" w:space="0" w:color="auto"/>
            </w:tcBorders>
            <w:noWrap/>
            <w:vAlign w:val="bottom"/>
            <w:hideMark/>
          </w:tcPr>
          <w:p w:rsidR="00EE4CBF" w:rsidRDefault="00EE4CBF" w:rsidP="0083424B">
            <w:pPr>
              <w:spacing w:line="276" w:lineRule="auto"/>
              <w:jc w:val="center"/>
              <w:rPr>
                <w:rFonts w:ascii="Arial" w:hAnsi="Arial" w:cs="Arial"/>
                <w:b/>
                <w:bCs/>
              </w:rPr>
            </w:pPr>
            <w:r>
              <w:rPr>
                <w:rFonts w:ascii="Arial" w:hAnsi="Arial" w:cs="Arial"/>
                <w:b/>
                <w:bCs/>
              </w:rPr>
              <w:t>Base 1998</w:t>
            </w:r>
          </w:p>
        </w:tc>
        <w:tc>
          <w:tcPr>
            <w:tcW w:w="2196" w:type="dxa"/>
            <w:tcBorders>
              <w:top w:val="single" w:sz="8" w:space="0" w:color="auto"/>
              <w:left w:val="nil"/>
              <w:bottom w:val="single" w:sz="8" w:space="0" w:color="auto"/>
              <w:right w:val="single" w:sz="8" w:space="0" w:color="auto"/>
            </w:tcBorders>
            <w:hideMark/>
          </w:tcPr>
          <w:p w:rsidR="00EE4CBF" w:rsidRDefault="00EE4CBF" w:rsidP="0083424B">
            <w:pPr>
              <w:spacing w:line="276" w:lineRule="auto"/>
              <w:jc w:val="center"/>
              <w:rPr>
                <w:rFonts w:ascii="Arial" w:hAnsi="Arial" w:cs="Arial"/>
                <w:b/>
                <w:bCs/>
              </w:rPr>
            </w:pPr>
            <w:r>
              <w:rPr>
                <w:rFonts w:ascii="Arial" w:hAnsi="Arial" w:cs="Arial"/>
                <w:b/>
                <w:bCs/>
              </w:rPr>
              <w:t>Ecart</w:t>
            </w:r>
          </w:p>
        </w:tc>
      </w:tr>
      <w:tr w:rsidR="00EE4CBF" w:rsidTr="0083424B">
        <w:trPr>
          <w:trHeight w:val="255"/>
        </w:trPr>
        <w:tc>
          <w:tcPr>
            <w:tcW w:w="3970" w:type="dxa"/>
            <w:tcBorders>
              <w:top w:val="nil"/>
              <w:left w:val="single" w:sz="8" w:space="0" w:color="auto"/>
              <w:bottom w:val="nil"/>
              <w:right w:val="single" w:sz="8" w:space="0" w:color="auto"/>
            </w:tcBorders>
            <w:noWrap/>
            <w:vAlign w:val="bottom"/>
            <w:hideMark/>
          </w:tcPr>
          <w:p w:rsidR="00EE4CBF" w:rsidRDefault="00EE4CBF" w:rsidP="0083424B">
            <w:pPr>
              <w:spacing w:line="276" w:lineRule="auto"/>
              <w:rPr>
                <w:rFonts w:ascii="Arial" w:hAnsi="Arial" w:cs="Arial"/>
                <w:b/>
                <w:bCs/>
              </w:rPr>
            </w:pPr>
            <w:r>
              <w:rPr>
                <w:rFonts w:ascii="Arial" w:hAnsi="Arial" w:cs="Arial"/>
                <w:b/>
                <w:bCs/>
              </w:rPr>
              <w:t>2008</w:t>
            </w:r>
          </w:p>
        </w:tc>
        <w:tc>
          <w:tcPr>
            <w:tcW w:w="1417" w:type="dxa"/>
            <w:tcBorders>
              <w:top w:val="nil"/>
              <w:left w:val="nil"/>
              <w:bottom w:val="nil"/>
              <w:right w:val="single" w:sz="8" w:space="0" w:color="auto"/>
            </w:tcBorders>
            <w:noWrap/>
            <w:vAlign w:val="bottom"/>
            <w:hideMark/>
          </w:tcPr>
          <w:p w:rsidR="00EE4CBF" w:rsidRDefault="00EE4CBF" w:rsidP="0083424B">
            <w:pPr>
              <w:spacing w:line="276" w:lineRule="auto"/>
              <w:jc w:val="center"/>
              <w:rPr>
                <w:rFonts w:ascii="Arial" w:hAnsi="Arial" w:cs="Arial"/>
              </w:rPr>
            </w:pPr>
            <w:r>
              <w:rPr>
                <w:rFonts w:ascii="Arial" w:hAnsi="Arial" w:cs="Arial"/>
              </w:rPr>
              <w:t>5,9</w:t>
            </w:r>
          </w:p>
        </w:tc>
        <w:tc>
          <w:tcPr>
            <w:tcW w:w="1701" w:type="dxa"/>
            <w:tcBorders>
              <w:top w:val="nil"/>
              <w:left w:val="nil"/>
              <w:bottom w:val="nil"/>
              <w:right w:val="single" w:sz="8" w:space="0" w:color="auto"/>
            </w:tcBorders>
            <w:noWrap/>
            <w:vAlign w:val="bottom"/>
            <w:hideMark/>
          </w:tcPr>
          <w:p w:rsidR="00EE4CBF" w:rsidRDefault="00EE4CBF" w:rsidP="0083424B">
            <w:pPr>
              <w:spacing w:line="276" w:lineRule="auto"/>
              <w:jc w:val="center"/>
              <w:rPr>
                <w:rFonts w:ascii="Arial" w:hAnsi="Arial" w:cs="Arial"/>
              </w:rPr>
            </w:pPr>
            <w:r>
              <w:rPr>
                <w:rFonts w:ascii="Arial" w:hAnsi="Arial" w:cs="Arial"/>
              </w:rPr>
              <w:t>5,6</w:t>
            </w:r>
          </w:p>
        </w:tc>
        <w:tc>
          <w:tcPr>
            <w:tcW w:w="2196" w:type="dxa"/>
            <w:tcBorders>
              <w:top w:val="nil"/>
              <w:left w:val="nil"/>
              <w:bottom w:val="nil"/>
              <w:right w:val="single" w:sz="8" w:space="0" w:color="auto"/>
            </w:tcBorders>
            <w:hideMark/>
          </w:tcPr>
          <w:p w:rsidR="00EE4CBF" w:rsidRDefault="00EE4CBF" w:rsidP="0083424B">
            <w:pPr>
              <w:spacing w:line="276" w:lineRule="auto"/>
              <w:jc w:val="center"/>
              <w:rPr>
                <w:rFonts w:ascii="Arial" w:hAnsi="Arial" w:cs="Arial"/>
              </w:rPr>
            </w:pPr>
            <w:r>
              <w:rPr>
                <w:rFonts w:ascii="Arial" w:hAnsi="Arial" w:cs="Arial"/>
              </w:rPr>
              <w:t>0,3</w:t>
            </w:r>
          </w:p>
        </w:tc>
      </w:tr>
      <w:tr w:rsidR="00EE4CBF" w:rsidTr="0083424B">
        <w:trPr>
          <w:trHeight w:val="255"/>
        </w:trPr>
        <w:tc>
          <w:tcPr>
            <w:tcW w:w="3970" w:type="dxa"/>
            <w:tcBorders>
              <w:top w:val="nil"/>
              <w:left w:val="single" w:sz="8" w:space="0" w:color="auto"/>
              <w:bottom w:val="nil"/>
              <w:right w:val="single" w:sz="8" w:space="0" w:color="auto"/>
            </w:tcBorders>
            <w:noWrap/>
            <w:vAlign w:val="bottom"/>
            <w:hideMark/>
          </w:tcPr>
          <w:p w:rsidR="00EE4CBF" w:rsidRDefault="00EE4CBF" w:rsidP="0083424B">
            <w:pPr>
              <w:spacing w:line="276" w:lineRule="auto"/>
              <w:rPr>
                <w:rFonts w:ascii="Arial" w:hAnsi="Arial" w:cs="Arial"/>
                <w:b/>
                <w:bCs/>
              </w:rPr>
            </w:pPr>
            <w:r>
              <w:rPr>
                <w:rFonts w:ascii="Arial" w:hAnsi="Arial" w:cs="Arial"/>
                <w:b/>
                <w:bCs/>
              </w:rPr>
              <w:t>2009</w:t>
            </w:r>
          </w:p>
        </w:tc>
        <w:tc>
          <w:tcPr>
            <w:tcW w:w="1417" w:type="dxa"/>
            <w:tcBorders>
              <w:top w:val="nil"/>
              <w:left w:val="nil"/>
              <w:bottom w:val="nil"/>
              <w:right w:val="single" w:sz="8" w:space="0" w:color="auto"/>
            </w:tcBorders>
            <w:noWrap/>
            <w:vAlign w:val="bottom"/>
            <w:hideMark/>
          </w:tcPr>
          <w:p w:rsidR="00EE4CBF" w:rsidRDefault="00EE4CBF" w:rsidP="0083424B">
            <w:pPr>
              <w:spacing w:line="276" w:lineRule="auto"/>
              <w:jc w:val="center"/>
              <w:rPr>
                <w:rFonts w:ascii="Arial" w:hAnsi="Arial" w:cs="Arial"/>
              </w:rPr>
            </w:pPr>
            <w:r>
              <w:rPr>
                <w:rFonts w:ascii="Arial" w:hAnsi="Arial" w:cs="Arial"/>
              </w:rPr>
              <w:t>4,2</w:t>
            </w:r>
          </w:p>
        </w:tc>
        <w:tc>
          <w:tcPr>
            <w:tcW w:w="1701" w:type="dxa"/>
            <w:tcBorders>
              <w:top w:val="nil"/>
              <w:left w:val="nil"/>
              <w:bottom w:val="nil"/>
              <w:right w:val="single" w:sz="8" w:space="0" w:color="auto"/>
            </w:tcBorders>
            <w:noWrap/>
            <w:vAlign w:val="bottom"/>
            <w:hideMark/>
          </w:tcPr>
          <w:p w:rsidR="00EE4CBF" w:rsidRDefault="00EE4CBF" w:rsidP="0083424B">
            <w:pPr>
              <w:spacing w:line="276" w:lineRule="auto"/>
              <w:jc w:val="center"/>
              <w:rPr>
                <w:rFonts w:ascii="Arial" w:hAnsi="Arial" w:cs="Arial"/>
              </w:rPr>
            </w:pPr>
            <w:r>
              <w:rPr>
                <w:rFonts w:ascii="Arial" w:hAnsi="Arial" w:cs="Arial"/>
              </w:rPr>
              <w:t>4,8</w:t>
            </w:r>
          </w:p>
        </w:tc>
        <w:tc>
          <w:tcPr>
            <w:tcW w:w="2196" w:type="dxa"/>
            <w:tcBorders>
              <w:top w:val="nil"/>
              <w:left w:val="nil"/>
              <w:bottom w:val="nil"/>
              <w:right w:val="single" w:sz="8" w:space="0" w:color="auto"/>
            </w:tcBorders>
            <w:hideMark/>
          </w:tcPr>
          <w:p w:rsidR="00EE4CBF" w:rsidRDefault="00EE4CBF" w:rsidP="0083424B">
            <w:pPr>
              <w:spacing w:line="276" w:lineRule="auto"/>
              <w:jc w:val="center"/>
              <w:rPr>
                <w:rFonts w:ascii="Arial" w:hAnsi="Arial" w:cs="Arial"/>
              </w:rPr>
            </w:pPr>
            <w:r>
              <w:rPr>
                <w:rFonts w:ascii="Arial" w:hAnsi="Arial" w:cs="Arial"/>
              </w:rPr>
              <w:t>-0,6</w:t>
            </w:r>
          </w:p>
        </w:tc>
      </w:tr>
      <w:tr w:rsidR="00EE4CBF" w:rsidTr="0083424B">
        <w:trPr>
          <w:trHeight w:val="255"/>
        </w:trPr>
        <w:tc>
          <w:tcPr>
            <w:tcW w:w="3970" w:type="dxa"/>
            <w:tcBorders>
              <w:top w:val="nil"/>
              <w:left w:val="single" w:sz="8" w:space="0" w:color="auto"/>
              <w:bottom w:val="nil"/>
              <w:right w:val="single" w:sz="8" w:space="0" w:color="auto"/>
            </w:tcBorders>
            <w:noWrap/>
            <w:vAlign w:val="bottom"/>
            <w:hideMark/>
          </w:tcPr>
          <w:p w:rsidR="00EE4CBF" w:rsidRDefault="00EE4CBF" w:rsidP="0083424B">
            <w:pPr>
              <w:spacing w:line="276" w:lineRule="auto"/>
              <w:rPr>
                <w:rFonts w:ascii="Arial" w:hAnsi="Arial" w:cs="Arial"/>
                <w:b/>
                <w:bCs/>
              </w:rPr>
            </w:pPr>
            <w:r>
              <w:rPr>
                <w:rFonts w:ascii="Arial" w:hAnsi="Arial" w:cs="Arial"/>
                <w:b/>
                <w:bCs/>
              </w:rPr>
              <w:t>2010</w:t>
            </w:r>
          </w:p>
        </w:tc>
        <w:tc>
          <w:tcPr>
            <w:tcW w:w="1417" w:type="dxa"/>
            <w:tcBorders>
              <w:top w:val="nil"/>
              <w:left w:val="nil"/>
              <w:bottom w:val="nil"/>
              <w:right w:val="single" w:sz="8" w:space="0" w:color="auto"/>
            </w:tcBorders>
            <w:noWrap/>
            <w:vAlign w:val="bottom"/>
            <w:hideMark/>
          </w:tcPr>
          <w:p w:rsidR="00EE4CBF" w:rsidRDefault="00EE4CBF" w:rsidP="0083424B">
            <w:pPr>
              <w:spacing w:line="276" w:lineRule="auto"/>
              <w:jc w:val="center"/>
              <w:rPr>
                <w:rFonts w:ascii="Arial" w:hAnsi="Arial" w:cs="Arial"/>
              </w:rPr>
            </w:pPr>
            <w:r>
              <w:rPr>
                <w:rFonts w:ascii="Arial" w:hAnsi="Arial" w:cs="Arial"/>
              </w:rPr>
              <w:t>3,8</w:t>
            </w:r>
          </w:p>
        </w:tc>
        <w:tc>
          <w:tcPr>
            <w:tcW w:w="1701" w:type="dxa"/>
            <w:tcBorders>
              <w:top w:val="nil"/>
              <w:left w:val="nil"/>
              <w:bottom w:val="nil"/>
              <w:right w:val="single" w:sz="8" w:space="0" w:color="auto"/>
            </w:tcBorders>
            <w:noWrap/>
            <w:vAlign w:val="bottom"/>
            <w:hideMark/>
          </w:tcPr>
          <w:p w:rsidR="00EE4CBF" w:rsidRDefault="00EE4CBF" w:rsidP="0083424B">
            <w:pPr>
              <w:spacing w:line="276" w:lineRule="auto"/>
              <w:jc w:val="center"/>
              <w:rPr>
                <w:rFonts w:ascii="Arial" w:hAnsi="Arial" w:cs="Arial"/>
              </w:rPr>
            </w:pPr>
            <w:r>
              <w:rPr>
                <w:rFonts w:ascii="Arial" w:hAnsi="Arial" w:cs="Arial"/>
              </w:rPr>
              <w:t>3,6</w:t>
            </w:r>
          </w:p>
        </w:tc>
        <w:tc>
          <w:tcPr>
            <w:tcW w:w="2196" w:type="dxa"/>
            <w:tcBorders>
              <w:top w:val="nil"/>
              <w:left w:val="nil"/>
              <w:bottom w:val="nil"/>
              <w:right w:val="single" w:sz="8" w:space="0" w:color="auto"/>
            </w:tcBorders>
            <w:hideMark/>
          </w:tcPr>
          <w:p w:rsidR="00EE4CBF" w:rsidRDefault="00EE4CBF" w:rsidP="0083424B">
            <w:pPr>
              <w:spacing w:line="276" w:lineRule="auto"/>
              <w:jc w:val="center"/>
              <w:rPr>
                <w:rFonts w:ascii="Arial" w:hAnsi="Arial" w:cs="Arial"/>
              </w:rPr>
            </w:pPr>
            <w:r>
              <w:rPr>
                <w:rFonts w:ascii="Arial" w:hAnsi="Arial" w:cs="Arial"/>
              </w:rPr>
              <w:t>0,2</w:t>
            </w:r>
          </w:p>
        </w:tc>
      </w:tr>
      <w:tr w:rsidR="00EE4CBF" w:rsidTr="0083424B">
        <w:trPr>
          <w:trHeight w:val="255"/>
        </w:trPr>
        <w:tc>
          <w:tcPr>
            <w:tcW w:w="3970" w:type="dxa"/>
            <w:tcBorders>
              <w:top w:val="nil"/>
              <w:left w:val="single" w:sz="8" w:space="0" w:color="auto"/>
              <w:bottom w:val="nil"/>
              <w:right w:val="single" w:sz="8" w:space="0" w:color="auto"/>
            </w:tcBorders>
            <w:noWrap/>
            <w:vAlign w:val="bottom"/>
            <w:hideMark/>
          </w:tcPr>
          <w:p w:rsidR="00EE4CBF" w:rsidRDefault="00EE4CBF" w:rsidP="0083424B">
            <w:pPr>
              <w:spacing w:line="276" w:lineRule="auto"/>
              <w:rPr>
                <w:rFonts w:ascii="Arial" w:hAnsi="Arial" w:cs="Arial"/>
                <w:b/>
                <w:bCs/>
              </w:rPr>
            </w:pPr>
            <w:r>
              <w:rPr>
                <w:rFonts w:ascii="Arial" w:hAnsi="Arial" w:cs="Arial"/>
                <w:b/>
                <w:bCs/>
              </w:rPr>
              <w:t>2011</w:t>
            </w:r>
          </w:p>
        </w:tc>
        <w:tc>
          <w:tcPr>
            <w:tcW w:w="1417" w:type="dxa"/>
            <w:tcBorders>
              <w:top w:val="nil"/>
              <w:left w:val="nil"/>
              <w:bottom w:val="nil"/>
              <w:right w:val="single" w:sz="8" w:space="0" w:color="auto"/>
            </w:tcBorders>
            <w:noWrap/>
            <w:vAlign w:val="bottom"/>
            <w:hideMark/>
          </w:tcPr>
          <w:p w:rsidR="00EE4CBF" w:rsidRDefault="00EE4CBF" w:rsidP="0083424B">
            <w:pPr>
              <w:spacing w:line="276" w:lineRule="auto"/>
              <w:jc w:val="center"/>
              <w:rPr>
                <w:rFonts w:ascii="Arial" w:hAnsi="Arial" w:cs="Arial"/>
              </w:rPr>
            </w:pPr>
            <w:r>
              <w:rPr>
                <w:rFonts w:ascii="Arial" w:hAnsi="Arial" w:cs="Arial"/>
              </w:rPr>
              <w:t>5,6</w:t>
            </w:r>
          </w:p>
        </w:tc>
        <w:tc>
          <w:tcPr>
            <w:tcW w:w="1701" w:type="dxa"/>
            <w:tcBorders>
              <w:top w:val="nil"/>
              <w:left w:val="nil"/>
              <w:bottom w:val="nil"/>
              <w:right w:val="single" w:sz="8" w:space="0" w:color="auto"/>
            </w:tcBorders>
            <w:noWrap/>
            <w:vAlign w:val="bottom"/>
            <w:hideMark/>
          </w:tcPr>
          <w:p w:rsidR="00EE4CBF" w:rsidRDefault="00EE4CBF" w:rsidP="0083424B">
            <w:pPr>
              <w:spacing w:line="276" w:lineRule="auto"/>
              <w:jc w:val="center"/>
              <w:rPr>
                <w:rFonts w:ascii="Arial" w:hAnsi="Arial" w:cs="Arial"/>
              </w:rPr>
            </w:pPr>
            <w:r>
              <w:rPr>
                <w:rFonts w:ascii="Arial" w:hAnsi="Arial" w:cs="Arial"/>
              </w:rPr>
              <w:t>5,0</w:t>
            </w:r>
          </w:p>
        </w:tc>
        <w:tc>
          <w:tcPr>
            <w:tcW w:w="2196" w:type="dxa"/>
            <w:tcBorders>
              <w:top w:val="nil"/>
              <w:left w:val="nil"/>
              <w:bottom w:val="nil"/>
              <w:right w:val="single" w:sz="8" w:space="0" w:color="auto"/>
            </w:tcBorders>
            <w:hideMark/>
          </w:tcPr>
          <w:p w:rsidR="00EE4CBF" w:rsidRDefault="00EE4CBF" w:rsidP="0083424B">
            <w:pPr>
              <w:spacing w:line="276" w:lineRule="auto"/>
              <w:jc w:val="center"/>
              <w:rPr>
                <w:rFonts w:ascii="Arial" w:hAnsi="Arial" w:cs="Arial"/>
              </w:rPr>
            </w:pPr>
            <w:r>
              <w:rPr>
                <w:rFonts w:ascii="Arial" w:hAnsi="Arial" w:cs="Arial"/>
              </w:rPr>
              <w:t>0,6</w:t>
            </w:r>
          </w:p>
        </w:tc>
      </w:tr>
      <w:tr w:rsidR="00EE4CBF" w:rsidTr="0083424B">
        <w:trPr>
          <w:trHeight w:val="270"/>
        </w:trPr>
        <w:tc>
          <w:tcPr>
            <w:tcW w:w="3970" w:type="dxa"/>
            <w:tcBorders>
              <w:top w:val="nil"/>
              <w:left w:val="single" w:sz="8" w:space="0" w:color="auto"/>
              <w:bottom w:val="nil"/>
              <w:right w:val="single" w:sz="8" w:space="0" w:color="auto"/>
            </w:tcBorders>
            <w:noWrap/>
            <w:vAlign w:val="bottom"/>
            <w:hideMark/>
          </w:tcPr>
          <w:p w:rsidR="00EE4CBF" w:rsidRDefault="00EE4CBF" w:rsidP="0083424B">
            <w:pPr>
              <w:spacing w:line="276" w:lineRule="auto"/>
              <w:rPr>
                <w:rFonts w:ascii="Arial" w:hAnsi="Arial" w:cs="Arial"/>
                <w:b/>
                <w:bCs/>
              </w:rPr>
            </w:pPr>
            <w:r>
              <w:rPr>
                <w:rFonts w:ascii="Arial" w:hAnsi="Arial" w:cs="Arial"/>
                <w:b/>
                <w:bCs/>
              </w:rPr>
              <w:t>2012</w:t>
            </w:r>
          </w:p>
        </w:tc>
        <w:tc>
          <w:tcPr>
            <w:tcW w:w="1417" w:type="dxa"/>
            <w:tcBorders>
              <w:top w:val="nil"/>
              <w:left w:val="nil"/>
              <w:bottom w:val="nil"/>
              <w:right w:val="single" w:sz="8" w:space="0" w:color="auto"/>
            </w:tcBorders>
            <w:noWrap/>
            <w:vAlign w:val="bottom"/>
            <w:hideMark/>
          </w:tcPr>
          <w:p w:rsidR="00EE4CBF" w:rsidRDefault="00EE4CBF" w:rsidP="0083424B">
            <w:pPr>
              <w:spacing w:line="276" w:lineRule="auto"/>
              <w:jc w:val="center"/>
              <w:rPr>
                <w:rFonts w:ascii="Arial" w:hAnsi="Arial" w:cs="Arial"/>
              </w:rPr>
            </w:pPr>
            <w:r>
              <w:rPr>
                <w:rFonts w:ascii="Arial" w:hAnsi="Arial" w:cs="Arial"/>
              </w:rPr>
              <w:t>3,0</w:t>
            </w:r>
          </w:p>
        </w:tc>
        <w:tc>
          <w:tcPr>
            <w:tcW w:w="1701" w:type="dxa"/>
            <w:tcBorders>
              <w:top w:val="nil"/>
              <w:left w:val="nil"/>
              <w:bottom w:val="nil"/>
              <w:right w:val="single" w:sz="8" w:space="0" w:color="auto"/>
            </w:tcBorders>
            <w:noWrap/>
            <w:vAlign w:val="bottom"/>
            <w:hideMark/>
          </w:tcPr>
          <w:p w:rsidR="00EE4CBF" w:rsidRDefault="00EE4CBF" w:rsidP="0083424B">
            <w:pPr>
              <w:spacing w:line="276" w:lineRule="auto"/>
              <w:jc w:val="center"/>
              <w:rPr>
                <w:rFonts w:ascii="Arial" w:hAnsi="Arial" w:cs="Arial"/>
              </w:rPr>
            </w:pPr>
            <w:r>
              <w:rPr>
                <w:rFonts w:ascii="Arial" w:hAnsi="Arial" w:cs="Arial"/>
              </w:rPr>
              <w:t>2,7</w:t>
            </w:r>
          </w:p>
        </w:tc>
        <w:tc>
          <w:tcPr>
            <w:tcW w:w="2196" w:type="dxa"/>
            <w:tcBorders>
              <w:top w:val="nil"/>
              <w:left w:val="nil"/>
              <w:bottom w:val="nil"/>
              <w:right w:val="single" w:sz="8" w:space="0" w:color="auto"/>
            </w:tcBorders>
            <w:hideMark/>
          </w:tcPr>
          <w:p w:rsidR="00EE4CBF" w:rsidRDefault="00EE4CBF" w:rsidP="0083424B">
            <w:pPr>
              <w:spacing w:line="276" w:lineRule="auto"/>
              <w:jc w:val="center"/>
              <w:rPr>
                <w:rFonts w:ascii="Arial" w:hAnsi="Arial" w:cs="Arial"/>
              </w:rPr>
            </w:pPr>
            <w:r>
              <w:rPr>
                <w:rFonts w:ascii="Arial" w:hAnsi="Arial" w:cs="Arial"/>
              </w:rPr>
              <w:t>0,3</w:t>
            </w:r>
          </w:p>
        </w:tc>
      </w:tr>
      <w:tr w:rsidR="00EE4CBF" w:rsidTr="0083424B">
        <w:trPr>
          <w:trHeight w:val="270"/>
        </w:trPr>
        <w:tc>
          <w:tcPr>
            <w:tcW w:w="3970" w:type="dxa"/>
            <w:tcBorders>
              <w:top w:val="single" w:sz="8" w:space="0" w:color="auto"/>
              <w:left w:val="single" w:sz="8" w:space="0" w:color="auto"/>
              <w:bottom w:val="single" w:sz="8" w:space="0" w:color="auto"/>
              <w:right w:val="single" w:sz="8" w:space="0" w:color="auto"/>
            </w:tcBorders>
            <w:noWrap/>
            <w:vAlign w:val="bottom"/>
            <w:hideMark/>
          </w:tcPr>
          <w:p w:rsidR="00EE4CBF" w:rsidRDefault="00EE4CBF" w:rsidP="0083424B">
            <w:pPr>
              <w:spacing w:line="276" w:lineRule="auto"/>
              <w:rPr>
                <w:rFonts w:ascii="Arial" w:hAnsi="Arial" w:cs="Arial"/>
                <w:b/>
                <w:bCs/>
              </w:rPr>
            </w:pPr>
            <w:r>
              <w:rPr>
                <w:rFonts w:ascii="Arial" w:hAnsi="Arial" w:cs="Arial"/>
                <w:b/>
                <w:bCs/>
              </w:rPr>
              <w:t>Moyenne 2008-2012</w:t>
            </w:r>
          </w:p>
        </w:tc>
        <w:tc>
          <w:tcPr>
            <w:tcW w:w="1417" w:type="dxa"/>
            <w:tcBorders>
              <w:top w:val="single" w:sz="8" w:space="0" w:color="auto"/>
              <w:left w:val="nil"/>
              <w:bottom w:val="single" w:sz="8" w:space="0" w:color="auto"/>
              <w:right w:val="single" w:sz="8" w:space="0" w:color="auto"/>
            </w:tcBorders>
            <w:noWrap/>
            <w:vAlign w:val="bottom"/>
            <w:hideMark/>
          </w:tcPr>
          <w:p w:rsidR="00EE4CBF" w:rsidRDefault="00EE4CBF" w:rsidP="0083424B">
            <w:pPr>
              <w:spacing w:line="276" w:lineRule="auto"/>
              <w:jc w:val="center"/>
              <w:rPr>
                <w:rFonts w:ascii="Arial" w:hAnsi="Arial" w:cs="Arial"/>
              </w:rPr>
            </w:pPr>
            <w:r>
              <w:rPr>
                <w:rFonts w:ascii="Arial" w:hAnsi="Arial" w:cs="Arial"/>
              </w:rPr>
              <w:t>4,5</w:t>
            </w:r>
          </w:p>
        </w:tc>
        <w:tc>
          <w:tcPr>
            <w:tcW w:w="1701" w:type="dxa"/>
            <w:tcBorders>
              <w:top w:val="single" w:sz="8" w:space="0" w:color="auto"/>
              <w:left w:val="nil"/>
              <w:bottom w:val="single" w:sz="8" w:space="0" w:color="auto"/>
              <w:right w:val="single" w:sz="8" w:space="0" w:color="auto"/>
            </w:tcBorders>
            <w:noWrap/>
            <w:vAlign w:val="bottom"/>
            <w:hideMark/>
          </w:tcPr>
          <w:p w:rsidR="00EE4CBF" w:rsidRDefault="00EE4CBF" w:rsidP="0083424B">
            <w:pPr>
              <w:spacing w:line="276" w:lineRule="auto"/>
              <w:jc w:val="center"/>
              <w:rPr>
                <w:rFonts w:ascii="Arial" w:hAnsi="Arial" w:cs="Arial"/>
              </w:rPr>
            </w:pPr>
            <w:r>
              <w:rPr>
                <w:rFonts w:ascii="Arial" w:hAnsi="Arial" w:cs="Arial"/>
              </w:rPr>
              <w:t>4,3</w:t>
            </w:r>
          </w:p>
        </w:tc>
        <w:tc>
          <w:tcPr>
            <w:tcW w:w="2196" w:type="dxa"/>
            <w:tcBorders>
              <w:top w:val="single" w:sz="8" w:space="0" w:color="auto"/>
              <w:left w:val="nil"/>
              <w:bottom w:val="single" w:sz="8" w:space="0" w:color="auto"/>
              <w:right w:val="single" w:sz="8" w:space="0" w:color="auto"/>
            </w:tcBorders>
            <w:hideMark/>
          </w:tcPr>
          <w:p w:rsidR="00EE4CBF" w:rsidRDefault="00EE4CBF" w:rsidP="0083424B">
            <w:pPr>
              <w:spacing w:line="276" w:lineRule="auto"/>
              <w:jc w:val="center"/>
              <w:rPr>
                <w:rFonts w:ascii="Arial" w:hAnsi="Arial" w:cs="Arial"/>
              </w:rPr>
            </w:pPr>
            <w:r>
              <w:rPr>
                <w:rFonts w:ascii="Arial" w:hAnsi="Arial" w:cs="Arial"/>
              </w:rPr>
              <w:t>0,2</w:t>
            </w:r>
          </w:p>
        </w:tc>
      </w:tr>
    </w:tbl>
    <w:p w:rsidR="00EE4CBF" w:rsidRDefault="00EE4CBF" w:rsidP="00EE4CBF">
      <w:pPr>
        <w:spacing w:line="360" w:lineRule="auto"/>
        <w:jc w:val="center"/>
        <w:rPr>
          <w:rFonts w:ascii="Book Antiqua" w:hAnsi="Book Antiqua"/>
        </w:rPr>
      </w:pPr>
    </w:p>
    <w:p w:rsidR="00EE4CBF" w:rsidRDefault="00EE4CBF" w:rsidP="00EE4CBF">
      <w:pPr>
        <w:spacing w:line="360" w:lineRule="auto"/>
        <w:jc w:val="center"/>
        <w:rPr>
          <w:rFonts w:ascii="Book Antiqua" w:hAnsi="Book Antiqua"/>
        </w:rPr>
      </w:pPr>
    </w:p>
    <w:p w:rsidR="00EE4CBF" w:rsidRDefault="00EE4CBF" w:rsidP="00EE4CBF">
      <w:pPr>
        <w:spacing w:line="360" w:lineRule="auto"/>
        <w:jc w:val="center"/>
        <w:rPr>
          <w:rFonts w:ascii="Book Antiqua" w:hAnsi="Book Antiqua"/>
        </w:rPr>
      </w:pPr>
    </w:p>
    <w:p w:rsidR="00EE4CBF" w:rsidRDefault="00EE4CBF" w:rsidP="00EE4CBF">
      <w:pPr>
        <w:spacing w:line="360" w:lineRule="auto"/>
        <w:jc w:val="center"/>
        <w:rPr>
          <w:rFonts w:ascii="Book Antiqua" w:hAnsi="Book Antiqua"/>
        </w:rPr>
      </w:pPr>
    </w:p>
    <w:p w:rsidR="00EE4CBF" w:rsidRDefault="00EE4CBF" w:rsidP="00EE4CBF">
      <w:pPr>
        <w:spacing w:line="360" w:lineRule="auto"/>
        <w:jc w:val="center"/>
        <w:rPr>
          <w:rFonts w:ascii="Book Antiqua" w:hAnsi="Book Antiqua"/>
        </w:rPr>
      </w:pPr>
    </w:p>
    <w:p w:rsidR="00EE4CBF" w:rsidRDefault="00EE4CBF" w:rsidP="00EE4CBF">
      <w:pPr>
        <w:spacing w:line="360" w:lineRule="auto"/>
        <w:jc w:val="center"/>
        <w:rPr>
          <w:rFonts w:ascii="Book Antiqua" w:hAnsi="Book Antiqua"/>
        </w:rPr>
      </w:pPr>
    </w:p>
    <w:p w:rsidR="00EE4CBF" w:rsidRDefault="00EE4CBF" w:rsidP="00EE4CBF">
      <w:pPr>
        <w:spacing w:line="360" w:lineRule="auto"/>
        <w:jc w:val="center"/>
        <w:rPr>
          <w:rFonts w:ascii="Book Antiqua" w:hAnsi="Book Antiqua"/>
        </w:rPr>
      </w:pPr>
    </w:p>
    <w:p w:rsidR="00EE4CBF" w:rsidRDefault="00EE4CBF" w:rsidP="00EE4CBF">
      <w:pPr>
        <w:spacing w:line="360" w:lineRule="auto"/>
        <w:jc w:val="center"/>
        <w:rPr>
          <w:rFonts w:ascii="Book Antiqua" w:hAnsi="Book Antiqua"/>
        </w:rPr>
      </w:pPr>
    </w:p>
    <w:p w:rsidR="00EE4CBF" w:rsidRDefault="00EE4CBF" w:rsidP="00EE4CBF">
      <w:pPr>
        <w:spacing w:line="360" w:lineRule="auto"/>
        <w:jc w:val="center"/>
        <w:rPr>
          <w:rFonts w:ascii="Book Antiqua" w:hAnsi="Book Antiqua"/>
        </w:rPr>
      </w:pPr>
    </w:p>
    <w:p w:rsidR="00EE4CBF" w:rsidRDefault="00EE4CBF" w:rsidP="00EE4CBF">
      <w:pPr>
        <w:spacing w:line="360" w:lineRule="auto"/>
        <w:jc w:val="center"/>
        <w:rPr>
          <w:rFonts w:ascii="Book Antiqua" w:hAnsi="Book Antiqua"/>
        </w:rPr>
      </w:pPr>
    </w:p>
    <w:p w:rsidR="00EE4CBF" w:rsidRDefault="00EE4CBF" w:rsidP="00EE4CBF">
      <w:pPr>
        <w:rPr>
          <w:rFonts w:ascii="Book Antiqua" w:hAnsi="Book Antiqua"/>
          <w:b/>
          <w:bCs/>
        </w:rPr>
      </w:pPr>
      <w:r>
        <w:rPr>
          <w:rFonts w:ascii="Book Antiqua" w:hAnsi="Book Antiqua"/>
          <w:b/>
          <w:bCs/>
        </w:rPr>
        <w:t xml:space="preserve">Tableau 3 : Réévaluation de certains ratios de l'économie  marocaine </w:t>
      </w:r>
    </w:p>
    <w:p w:rsidR="00EE4CBF" w:rsidRDefault="00EE4CBF" w:rsidP="00EE4CBF">
      <w:pPr>
        <w:ind w:firstLine="708"/>
        <w:rPr>
          <w:rFonts w:ascii="Book Antiqua" w:hAnsi="Book Antiqua"/>
        </w:rPr>
      </w:pPr>
      <w:r>
        <w:rPr>
          <w:rFonts w:ascii="Book Antiqua" w:hAnsi="Book Antiqua"/>
          <w:b/>
          <w:bCs/>
        </w:rPr>
        <w:t xml:space="preserve">         (moyenne annuelle de la série 2007-2012)</w:t>
      </w:r>
    </w:p>
    <w:tbl>
      <w:tblPr>
        <w:tblW w:w="9087" w:type="dxa"/>
        <w:tblInd w:w="55" w:type="dxa"/>
        <w:tblCellMar>
          <w:left w:w="70" w:type="dxa"/>
          <w:right w:w="70" w:type="dxa"/>
        </w:tblCellMar>
        <w:tblLook w:val="04A0"/>
      </w:tblPr>
      <w:tblGrid>
        <w:gridCol w:w="3701"/>
        <w:gridCol w:w="1559"/>
        <w:gridCol w:w="1701"/>
        <w:gridCol w:w="2126"/>
      </w:tblGrid>
      <w:tr w:rsidR="00EE4CBF" w:rsidTr="0083424B">
        <w:trPr>
          <w:trHeight w:val="137"/>
        </w:trPr>
        <w:tc>
          <w:tcPr>
            <w:tcW w:w="3701" w:type="dxa"/>
            <w:noWrap/>
            <w:vAlign w:val="bottom"/>
            <w:hideMark/>
          </w:tcPr>
          <w:p w:rsidR="00EE4CBF" w:rsidRDefault="00EE4CBF" w:rsidP="0083424B">
            <w:pPr>
              <w:spacing w:after="200" w:line="276" w:lineRule="auto"/>
              <w:rPr>
                <w:rFonts w:ascii="Calibri" w:hAnsi="Calibri"/>
              </w:rPr>
            </w:pPr>
          </w:p>
        </w:tc>
        <w:tc>
          <w:tcPr>
            <w:tcW w:w="1559" w:type="dxa"/>
            <w:tcBorders>
              <w:top w:val="nil"/>
              <w:left w:val="nil"/>
              <w:bottom w:val="single" w:sz="4" w:space="0" w:color="auto"/>
              <w:right w:val="nil"/>
            </w:tcBorders>
            <w:noWrap/>
            <w:vAlign w:val="bottom"/>
            <w:hideMark/>
          </w:tcPr>
          <w:p w:rsidR="00EE4CBF" w:rsidRDefault="00EE4CBF" w:rsidP="0083424B">
            <w:pPr>
              <w:spacing w:after="200" w:line="276" w:lineRule="auto"/>
              <w:rPr>
                <w:rFonts w:ascii="Calibri" w:hAnsi="Calibri"/>
              </w:rPr>
            </w:pPr>
          </w:p>
        </w:tc>
        <w:tc>
          <w:tcPr>
            <w:tcW w:w="1701" w:type="dxa"/>
            <w:tcBorders>
              <w:top w:val="nil"/>
              <w:left w:val="nil"/>
              <w:bottom w:val="single" w:sz="4" w:space="0" w:color="auto"/>
              <w:right w:val="nil"/>
            </w:tcBorders>
            <w:noWrap/>
            <w:vAlign w:val="bottom"/>
            <w:hideMark/>
          </w:tcPr>
          <w:p w:rsidR="00EE4CBF" w:rsidRDefault="00EE4CBF" w:rsidP="0083424B">
            <w:pPr>
              <w:spacing w:after="200" w:line="276" w:lineRule="auto"/>
              <w:rPr>
                <w:rFonts w:ascii="Calibri" w:hAnsi="Calibri"/>
              </w:rPr>
            </w:pPr>
          </w:p>
        </w:tc>
        <w:tc>
          <w:tcPr>
            <w:tcW w:w="2126" w:type="dxa"/>
            <w:tcBorders>
              <w:top w:val="nil"/>
              <w:left w:val="nil"/>
              <w:bottom w:val="single" w:sz="4" w:space="0" w:color="auto"/>
              <w:right w:val="nil"/>
            </w:tcBorders>
          </w:tcPr>
          <w:p w:rsidR="00EE4CBF" w:rsidRDefault="00EE4CBF" w:rsidP="0083424B">
            <w:pPr>
              <w:spacing w:line="276" w:lineRule="auto"/>
              <w:rPr>
                <w:rFonts w:ascii="Book Antiqua" w:hAnsi="Book Antiqua" w:cs="Arial"/>
                <w:sz w:val="20"/>
                <w:szCs w:val="20"/>
              </w:rPr>
            </w:pPr>
          </w:p>
        </w:tc>
      </w:tr>
      <w:tr w:rsidR="00EE4CBF" w:rsidTr="0083424B">
        <w:trPr>
          <w:trHeight w:val="426"/>
        </w:trPr>
        <w:tc>
          <w:tcPr>
            <w:tcW w:w="3701" w:type="dxa"/>
            <w:tcBorders>
              <w:top w:val="single" w:sz="4" w:space="0" w:color="auto"/>
              <w:left w:val="single" w:sz="4" w:space="0" w:color="auto"/>
              <w:bottom w:val="single" w:sz="4" w:space="0" w:color="auto"/>
              <w:right w:val="single" w:sz="4" w:space="0" w:color="auto"/>
            </w:tcBorders>
            <w:noWrap/>
            <w:vAlign w:val="center"/>
            <w:hideMark/>
          </w:tcPr>
          <w:p w:rsidR="00EE4CBF" w:rsidRDefault="00EE4CBF" w:rsidP="0083424B">
            <w:pPr>
              <w:spacing w:line="276" w:lineRule="auto"/>
              <w:rPr>
                <w:rFonts w:ascii="Calibri" w:hAnsi="Calibri"/>
              </w:rPr>
            </w:pPr>
          </w:p>
        </w:tc>
        <w:tc>
          <w:tcPr>
            <w:tcW w:w="1559" w:type="dxa"/>
            <w:tcBorders>
              <w:top w:val="single" w:sz="4" w:space="0" w:color="auto"/>
              <w:left w:val="nil"/>
              <w:bottom w:val="single" w:sz="4" w:space="0" w:color="auto"/>
              <w:right w:val="single" w:sz="4" w:space="0" w:color="auto"/>
            </w:tcBorders>
            <w:noWrap/>
            <w:vAlign w:val="center"/>
            <w:hideMark/>
          </w:tcPr>
          <w:p w:rsidR="00EE4CBF" w:rsidRDefault="00EE4CBF" w:rsidP="0083424B">
            <w:pPr>
              <w:spacing w:line="276" w:lineRule="auto"/>
              <w:jc w:val="center"/>
              <w:rPr>
                <w:rFonts w:ascii="Book Antiqua" w:hAnsi="Book Antiqua" w:cs="Arial"/>
              </w:rPr>
            </w:pPr>
            <w:r>
              <w:rPr>
                <w:rFonts w:ascii="Book Antiqua" w:hAnsi="Book Antiqua" w:cs="Arial"/>
              </w:rPr>
              <w:t>base2007</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EE4CBF" w:rsidRDefault="00EE4CBF" w:rsidP="0083424B">
            <w:pPr>
              <w:spacing w:line="276" w:lineRule="auto"/>
              <w:jc w:val="center"/>
              <w:rPr>
                <w:rFonts w:ascii="Book Antiqua" w:hAnsi="Book Antiqua" w:cs="Arial"/>
              </w:rPr>
            </w:pPr>
            <w:r>
              <w:rPr>
                <w:rFonts w:ascii="Book Antiqua" w:hAnsi="Book Antiqua" w:cs="Arial"/>
              </w:rPr>
              <w:t>base1998</w:t>
            </w:r>
          </w:p>
        </w:tc>
        <w:tc>
          <w:tcPr>
            <w:tcW w:w="2126" w:type="dxa"/>
            <w:tcBorders>
              <w:top w:val="single" w:sz="4" w:space="0" w:color="auto"/>
              <w:left w:val="single" w:sz="4" w:space="0" w:color="auto"/>
              <w:bottom w:val="single" w:sz="4" w:space="0" w:color="auto"/>
              <w:right w:val="single" w:sz="4" w:space="0" w:color="auto"/>
            </w:tcBorders>
            <w:vAlign w:val="center"/>
            <w:hideMark/>
          </w:tcPr>
          <w:p w:rsidR="00EE4CBF" w:rsidRDefault="00EE4CBF" w:rsidP="0083424B">
            <w:pPr>
              <w:spacing w:line="276" w:lineRule="auto"/>
              <w:jc w:val="center"/>
              <w:rPr>
                <w:rFonts w:ascii="Book Antiqua" w:hAnsi="Book Antiqua" w:cs="Arial"/>
              </w:rPr>
            </w:pPr>
            <w:r>
              <w:rPr>
                <w:rFonts w:ascii="Book Antiqua" w:hAnsi="Book Antiqua" w:cs="Arial"/>
                <w:b/>
                <w:bCs/>
              </w:rPr>
              <w:t>Ecart</w:t>
            </w:r>
          </w:p>
        </w:tc>
      </w:tr>
      <w:tr w:rsidR="00EE4CBF" w:rsidTr="0083424B">
        <w:trPr>
          <w:trHeight w:val="314"/>
        </w:trPr>
        <w:tc>
          <w:tcPr>
            <w:tcW w:w="3701" w:type="dxa"/>
            <w:tcBorders>
              <w:top w:val="nil"/>
              <w:left w:val="single" w:sz="4" w:space="0" w:color="auto"/>
              <w:bottom w:val="single" w:sz="4" w:space="0" w:color="auto"/>
              <w:right w:val="single" w:sz="4" w:space="0" w:color="auto"/>
            </w:tcBorders>
            <w:noWrap/>
            <w:vAlign w:val="center"/>
            <w:hideMark/>
          </w:tcPr>
          <w:p w:rsidR="00EE4CBF" w:rsidRDefault="00EE4CBF" w:rsidP="0083424B">
            <w:pPr>
              <w:spacing w:line="276" w:lineRule="auto"/>
              <w:rPr>
                <w:rFonts w:ascii="Book Antiqua" w:hAnsi="Book Antiqua" w:cs="Arial"/>
                <w:b/>
                <w:bCs/>
              </w:rPr>
            </w:pPr>
            <w:r>
              <w:rPr>
                <w:rFonts w:ascii="Book Antiqua" w:hAnsi="Book Antiqua" w:cs="Arial"/>
                <w:b/>
                <w:bCs/>
              </w:rPr>
              <w:t>PIB par tête en Dirhams</w:t>
            </w:r>
          </w:p>
        </w:tc>
        <w:tc>
          <w:tcPr>
            <w:tcW w:w="1559" w:type="dxa"/>
            <w:tcBorders>
              <w:top w:val="single" w:sz="4" w:space="0" w:color="auto"/>
              <w:left w:val="nil"/>
              <w:bottom w:val="single" w:sz="4" w:space="0" w:color="auto"/>
              <w:right w:val="single" w:sz="4" w:space="0" w:color="auto"/>
            </w:tcBorders>
            <w:noWrap/>
            <w:vAlign w:val="center"/>
            <w:hideMark/>
          </w:tcPr>
          <w:p w:rsidR="00EE4CBF" w:rsidRDefault="00EE4CBF" w:rsidP="0083424B">
            <w:pPr>
              <w:spacing w:line="276" w:lineRule="auto"/>
              <w:jc w:val="center"/>
              <w:rPr>
                <w:rFonts w:ascii="Book Antiqua" w:hAnsi="Book Antiqua" w:cs="Arial"/>
              </w:rPr>
            </w:pPr>
            <w:r>
              <w:rPr>
                <w:rFonts w:ascii="Book Antiqua" w:hAnsi="Book Antiqua" w:cs="Arial"/>
              </w:rPr>
              <w:t>23988</w:t>
            </w:r>
          </w:p>
        </w:tc>
        <w:tc>
          <w:tcPr>
            <w:tcW w:w="1701" w:type="dxa"/>
            <w:tcBorders>
              <w:top w:val="single" w:sz="4" w:space="0" w:color="auto"/>
              <w:left w:val="nil"/>
              <w:bottom w:val="single" w:sz="4" w:space="0" w:color="auto"/>
              <w:right w:val="single" w:sz="4" w:space="0" w:color="auto"/>
            </w:tcBorders>
            <w:noWrap/>
            <w:vAlign w:val="center"/>
            <w:hideMark/>
          </w:tcPr>
          <w:p w:rsidR="00EE4CBF" w:rsidRDefault="00EE4CBF" w:rsidP="0083424B">
            <w:pPr>
              <w:spacing w:line="276" w:lineRule="auto"/>
              <w:jc w:val="center"/>
              <w:rPr>
                <w:rFonts w:ascii="Book Antiqua" w:hAnsi="Book Antiqua" w:cs="Arial"/>
              </w:rPr>
            </w:pPr>
            <w:r>
              <w:rPr>
                <w:rFonts w:ascii="Book Antiqua" w:hAnsi="Book Antiqua" w:cs="Arial"/>
              </w:rPr>
              <w:t>23284</w:t>
            </w:r>
          </w:p>
        </w:tc>
        <w:tc>
          <w:tcPr>
            <w:tcW w:w="2126" w:type="dxa"/>
            <w:tcBorders>
              <w:top w:val="single" w:sz="4" w:space="0" w:color="auto"/>
              <w:left w:val="nil"/>
              <w:bottom w:val="single" w:sz="4" w:space="0" w:color="auto"/>
              <w:right w:val="single" w:sz="4" w:space="0" w:color="auto"/>
            </w:tcBorders>
            <w:vAlign w:val="center"/>
            <w:hideMark/>
          </w:tcPr>
          <w:p w:rsidR="00EE4CBF" w:rsidRDefault="00EE4CBF" w:rsidP="0083424B">
            <w:pPr>
              <w:spacing w:line="276" w:lineRule="auto"/>
              <w:jc w:val="center"/>
              <w:rPr>
                <w:rFonts w:ascii="Book Antiqua" w:hAnsi="Book Antiqua" w:cs="Arial"/>
              </w:rPr>
            </w:pPr>
            <w:r>
              <w:rPr>
                <w:rFonts w:ascii="Book Antiqua" w:hAnsi="Book Antiqua" w:cs="Arial"/>
              </w:rPr>
              <w:t>704</w:t>
            </w:r>
          </w:p>
        </w:tc>
      </w:tr>
      <w:tr w:rsidR="00EE4CBF" w:rsidTr="0083424B">
        <w:trPr>
          <w:trHeight w:val="358"/>
        </w:trPr>
        <w:tc>
          <w:tcPr>
            <w:tcW w:w="3701" w:type="dxa"/>
            <w:tcBorders>
              <w:top w:val="nil"/>
              <w:left w:val="single" w:sz="4" w:space="0" w:color="auto"/>
              <w:bottom w:val="single" w:sz="4" w:space="0" w:color="auto"/>
              <w:right w:val="single" w:sz="4" w:space="0" w:color="auto"/>
            </w:tcBorders>
            <w:noWrap/>
            <w:vAlign w:val="center"/>
            <w:hideMark/>
          </w:tcPr>
          <w:p w:rsidR="00EE4CBF" w:rsidRDefault="00EE4CBF" w:rsidP="0083424B">
            <w:pPr>
              <w:spacing w:line="276" w:lineRule="auto"/>
              <w:rPr>
                <w:rFonts w:ascii="Book Antiqua" w:hAnsi="Book Antiqua" w:cs="Arial"/>
                <w:b/>
                <w:bCs/>
              </w:rPr>
            </w:pPr>
            <w:r>
              <w:rPr>
                <w:rFonts w:ascii="Book Antiqua" w:hAnsi="Book Antiqua" w:cs="Arial"/>
                <w:b/>
                <w:bCs/>
              </w:rPr>
              <w:t>Taux d'investissement (en %)</w:t>
            </w:r>
          </w:p>
        </w:tc>
        <w:tc>
          <w:tcPr>
            <w:tcW w:w="1559" w:type="dxa"/>
            <w:tcBorders>
              <w:top w:val="single" w:sz="4" w:space="0" w:color="auto"/>
              <w:left w:val="nil"/>
              <w:bottom w:val="single" w:sz="4" w:space="0" w:color="auto"/>
              <w:right w:val="single" w:sz="4" w:space="0" w:color="auto"/>
            </w:tcBorders>
            <w:noWrap/>
            <w:vAlign w:val="center"/>
            <w:hideMark/>
          </w:tcPr>
          <w:p w:rsidR="00EE4CBF" w:rsidRDefault="00EE4CBF" w:rsidP="0083424B">
            <w:pPr>
              <w:spacing w:line="276" w:lineRule="auto"/>
              <w:jc w:val="center"/>
              <w:rPr>
                <w:rFonts w:ascii="Book Antiqua" w:hAnsi="Book Antiqua" w:cs="Arial"/>
              </w:rPr>
            </w:pPr>
            <w:r>
              <w:rPr>
                <w:rFonts w:ascii="Book Antiqua" w:hAnsi="Book Antiqua" w:cs="Arial"/>
              </w:rPr>
              <w:t>32,2</w:t>
            </w:r>
          </w:p>
        </w:tc>
        <w:tc>
          <w:tcPr>
            <w:tcW w:w="1701" w:type="dxa"/>
            <w:tcBorders>
              <w:top w:val="single" w:sz="4" w:space="0" w:color="auto"/>
              <w:left w:val="nil"/>
              <w:bottom w:val="single" w:sz="4" w:space="0" w:color="auto"/>
              <w:right w:val="single" w:sz="4" w:space="0" w:color="auto"/>
            </w:tcBorders>
            <w:noWrap/>
            <w:vAlign w:val="center"/>
            <w:hideMark/>
          </w:tcPr>
          <w:p w:rsidR="00EE4CBF" w:rsidRDefault="00EE4CBF" w:rsidP="0083424B">
            <w:pPr>
              <w:spacing w:line="276" w:lineRule="auto"/>
              <w:jc w:val="center"/>
              <w:rPr>
                <w:rFonts w:ascii="Book Antiqua" w:hAnsi="Book Antiqua" w:cs="Arial"/>
              </w:rPr>
            </w:pPr>
            <w:r>
              <w:rPr>
                <w:rFonts w:ascii="Book Antiqua" w:hAnsi="Book Antiqua" w:cs="Arial"/>
              </w:rPr>
              <w:t>31,3</w:t>
            </w:r>
          </w:p>
        </w:tc>
        <w:tc>
          <w:tcPr>
            <w:tcW w:w="2126" w:type="dxa"/>
            <w:tcBorders>
              <w:top w:val="single" w:sz="4" w:space="0" w:color="auto"/>
              <w:left w:val="nil"/>
              <w:bottom w:val="single" w:sz="4" w:space="0" w:color="auto"/>
              <w:right w:val="single" w:sz="4" w:space="0" w:color="auto"/>
            </w:tcBorders>
            <w:vAlign w:val="center"/>
            <w:hideMark/>
          </w:tcPr>
          <w:p w:rsidR="00EE4CBF" w:rsidRDefault="00EE4CBF" w:rsidP="0083424B">
            <w:pPr>
              <w:spacing w:line="276" w:lineRule="auto"/>
              <w:jc w:val="center"/>
              <w:rPr>
                <w:rFonts w:ascii="Book Antiqua" w:hAnsi="Book Antiqua" w:cs="Arial"/>
              </w:rPr>
            </w:pPr>
            <w:r>
              <w:rPr>
                <w:rFonts w:ascii="Book Antiqua" w:hAnsi="Book Antiqua" w:cs="Arial"/>
              </w:rPr>
              <w:t>0,9</w:t>
            </w:r>
          </w:p>
        </w:tc>
      </w:tr>
      <w:tr w:rsidR="00EE4CBF" w:rsidTr="0083424B">
        <w:trPr>
          <w:trHeight w:val="424"/>
        </w:trPr>
        <w:tc>
          <w:tcPr>
            <w:tcW w:w="3701" w:type="dxa"/>
            <w:tcBorders>
              <w:top w:val="nil"/>
              <w:left w:val="single" w:sz="4" w:space="0" w:color="auto"/>
              <w:bottom w:val="single" w:sz="4" w:space="0" w:color="auto"/>
              <w:right w:val="single" w:sz="4" w:space="0" w:color="auto"/>
            </w:tcBorders>
            <w:noWrap/>
            <w:vAlign w:val="center"/>
            <w:hideMark/>
          </w:tcPr>
          <w:p w:rsidR="00EE4CBF" w:rsidRDefault="00EE4CBF" w:rsidP="0083424B">
            <w:pPr>
              <w:spacing w:line="276" w:lineRule="auto"/>
              <w:rPr>
                <w:rFonts w:ascii="Book Antiqua" w:hAnsi="Book Antiqua" w:cs="Arial"/>
                <w:b/>
                <w:bCs/>
              </w:rPr>
            </w:pPr>
            <w:r>
              <w:rPr>
                <w:rFonts w:ascii="Book Antiqua" w:hAnsi="Book Antiqua" w:cs="Arial"/>
                <w:b/>
                <w:bCs/>
              </w:rPr>
              <w:t>Taux d'épargne nationale (en %)</w:t>
            </w:r>
          </w:p>
        </w:tc>
        <w:tc>
          <w:tcPr>
            <w:tcW w:w="1559" w:type="dxa"/>
            <w:tcBorders>
              <w:top w:val="single" w:sz="4" w:space="0" w:color="auto"/>
              <w:left w:val="nil"/>
              <w:bottom w:val="single" w:sz="4" w:space="0" w:color="auto"/>
              <w:right w:val="single" w:sz="4" w:space="0" w:color="auto"/>
            </w:tcBorders>
            <w:noWrap/>
            <w:vAlign w:val="center"/>
            <w:hideMark/>
          </w:tcPr>
          <w:p w:rsidR="00EE4CBF" w:rsidRDefault="00EE4CBF" w:rsidP="0083424B">
            <w:pPr>
              <w:spacing w:line="276" w:lineRule="auto"/>
              <w:jc w:val="center"/>
              <w:rPr>
                <w:rFonts w:ascii="Book Antiqua" w:hAnsi="Book Antiqua" w:cs="Arial"/>
              </w:rPr>
            </w:pPr>
            <w:r>
              <w:rPr>
                <w:rFonts w:ascii="Book Antiqua" w:hAnsi="Book Antiqua" w:cs="Arial"/>
              </w:rPr>
              <w:t>28,1</w:t>
            </w:r>
          </w:p>
        </w:tc>
        <w:tc>
          <w:tcPr>
            <w:tcW w:w="1701" w:type="dxa"/>
            <w:tcBorders>
              <w:top w:val="single" w:sz="4" w:space="0" w:color="auto"/>
              <w:left w:val="nil"/>
              <w:bottom w:val="single" w:sz="4" w:space="0" w:color="auto"/>
              <w:right w:val="single" w:sz="4" w:space="0" w:color="auto"/>
            </w:tcBorders>
            <w:noWrap/>
            <w:vAlign w:val="center"/>
            <w:hideMark/>
          </w:tcPr>
          <w:p w:rsidR="00EE4CBF" w:rsidRDefault="00EE4CBF" w:rsidP="0083424B">
            <w:pPr>
              <w:spacing w:line="276" w:lineRule="auto"/>
              <w:jc w:val="center"/>
              <w:rPr>
                <w:rFonts w:ascii="Book Antiqua" w:hAnsi="Book Antiqua" w:cs="Arial"/>
              </w:rPr>
            </w:pPr>
            <w:r>
              <w:rPr>
                <w:rFonts w:ascii="Book Antiqua" w:hAnsi="Book Antiqua" w:cs="Arial"/>
              </w:rPr>
              <w:t>28,1</w:t>
            </w:r>
          </w:p>
        </w:tc>
        <w:tc>
          <w:tcPr>
            <w:tcW w:w="2126" w:type="dxa"/>
            <w:tcBorders>
              <w:top w:val="single" w:sz="4" w:space="0" w:color="auto"/>
              <w:left w:val="nil"/>
              <w:bottom w:val="single" w:sz="4" w:space="0" w:color="auto"/>
              <w:right w:val="single" w:sz="4" w:space="0" w:color="auto"/>
            </w:tcBorders>
            <w:vAlign w:val="center"/>
            <w:hideMark/>
          </w:tcPr>
          <w:p w:rsidR="00EE4CBF" w:rsidRDefault="00EE4CBF" w:rsidP="0083424B">
            <w:pPr>
              <w:spacing w:line="276" w:lineRule="auto"/>
              <w:jc w:val="center"/>
              <w:rPr>
                <w:rFonts w:ascii="Book Antiqua" w:hAnsi="Book Antiqua" w:cs="Arial"/>
              </w:rPr>
            </w:pPr>
            <w:r>
              <w:rPr>
                <w:rFonts w:ascii="Book Antiqua" w:hAnsi="Book Antiqua" w:cs="Arial"/>
              </w:rPr>
              <w:t>0</w:t>
            </w:r>
          </w:p>
        </w:tc>
      </w:tr>
      <w:tr w:rsidR="00EE4CBF" w:rsidTr="0083424B">
        <w:trPr>
          <w:trHeight w:val="366"/>
        </w:trPr>
        <w:tc>
          <w:tcPr>
            <w:tcW w:w="3701" w:type="dxa"/>
            <w:tcBorders>
              <w:top w:val="nil"/>
              <w:left w:val="single" w:sz="4" w:space="0" w:color="auto"/>
              <w:bottom w:val="single" w:sz="4" w:space="0" w:color="auto"/>
              <w:right w:val="single" w:sz="4" w:space="0" w:color="auto"/>
            </w:tcBorders>
            <w:noWrap/>
            <w:vAlign w:val="center"/>
            <w:hideMark/>
          </w:tcPr>
          <w:p w:rsidR="00EE4CBF" w:rsidRDefault="00EE4CBF" w:rsidP="0083424B">
            <w:pPr>
              <w:spacing w:line="276" w:lineRule="auto"/>
              <w:rPr>
                <w:rFonts w:ascii="Book Antiqua" w:hAnsi="Book Antiqua" w:cs="Arial"/>
                <w:b/>
                <w:bCs/>
              </w:rPr>
            </w:pPr>
            <w:r>
              <w:rPr>
                <w:rFonts w:ascii="Book Antiqua" w:hAnsi="Book Antiqua" w:cs="Arial"/>
                <w:b/>
                <w:bCs/>
              </w:rPr>
              <w:t>Exportation/ PIB (en %)</w:t>
            </w:r>
          </w:p>
        </w:tc>
        <w:tc>
          <w:tcPr>
            <w:tcW w:w="1559" w:type="dxa"/>
            <w:tcBorders>
              <w:top w:val="single" w:sz="4" w:space="0" w:color="auto"/>
              <w:left w:val="nil"/>
              <w:bottom w:val="single" w:sz="4" w:space="0" w:color="auto"/>
              <w:right w:val="single" w:sz="4" w:space="0" w:color="auto"/>
            </w:tcBorders>
            <w:noWrap/>
            <w:vAlign w:val="center"/>
            <w:hideMark/>
          </w:tcPr>
          <w:p w:rsidR="00EE4CBF" w:rsidRDefault="00EE4CBF" w:rsidP="0083424B">
            <w:pPr>
              <w:spacing w:line="276" w:lineRule="auto"/>
              <w:jc w:val="center"/>
              <w:rPr>
                <w:rFonts w:ascii="Book Antiqua" w:hAnsi="Book Antiqua" w:cs="Arial"/>
              </w:rPr>
            </w:pPr>
            <w:r>
              <w:rPr>
                <w:rFonts w:ascii="Book Antiqua" w:hAnsi="Book Antiqua" w:cs="Arial"/>
              </w:rPr>
              <w:t>33,4</w:t>
            </w:r>
          </w:p>
        </w:tc>
        <w:tc>
          <w:tcPr>
            <w:tcW w:w="1701" w:type="dxa"/>
            <w:tcBorders>
              <w:top w:val="single" w:sz="4" w:space="0" w:color="auto"/>
              <w:left w:val="nil"/>
              <w:bottom w:val="single" w:sz="4" w:space="0" w:color="auto"/>
              <w:right w:val="single" w:sz="4" w:space="0" w:color="auto"/>
            </w:tcBorders>
            <w:noWrap/>
            <w:vAlign w:val="center"/>
            <w:hideMark/>
          </w:tcPr>
          <w:p w:rsidR="00EE4CBF" w:rsidRDefault="00EE4CBF" w:rsidP="0083424B">
            <w:pPr>
              <w:spacing w:line="276" w:lineRule="auto"/>
              <w:jc w:val="center"/>
              <w:rPr>
                <w:rFonts w:ascii="Book Antiqua" w:hAnsi="Book Antiqua" w:cs="Arial"/>
              </w:rPr>
            </w:pPr>
            <w:r>
              <w:rPr>
                <w:rFonts w:ascii="Book Antiqua" w:hAnsi="Book Antiqua" w:cs="Arial"/>
              </w:rPr>
              <w:t>34,5</w:t>
            </w:r>
          </w:p>
        </w:tc>
        <w:tc>
          <w:tcPr>
            <w:tcW w:w="2126" w:type="dxa"/>
            <w:tcBorders>
              <w:top w:val="single" w:sz="4" w:space="0" w:color="auto"/>
              <w:left w:val="nil"/>
              <w:bottom w:val="single" w:sz="4" w:space="0" w:color="auto"/>
              <w:right w:val="single" w:sz="4" w:space="0" w:color="auto"/>
            </w:tcBorders>
            <w:vAlign w:val="center"/>
            <w:hideMark/>
          </w:tcPr>
          <w:p w:rsidR="00EE4CBF" w:rsidRDefault="00EE4CBF" w:rsidP="0083424B">
            <w:pPr>
              <w:spacing w:line="276" w:lineRule="auto"/>
              <w:jc w:val="center"/>
              <w:rPr>
                <w:rFonts w:ascii="Book Antiqua" w:hAnsi="Book Antiqua" w:cs="Arial"/>
              </w:rPr>
            </w:pPr>
            <w:r>
              <w:rPr>
                <w:rFonts w:ascii="Book Antiqua" w:hAnsi="Book Antiqua" w:cs="Arial"/>
              </w:rPr>
              <w:t>-1,1</w:t>
            </w:r>
          </w:p>
        </w:tc>
      </w:tr>
      <w:tr w:rsidR="00EE4CBF" w:rsidTr="0083424B">
        <w:trPr>
          <w:trHeight w:val="413"/>
        </w:trPr>
        <w:tc>
          <w:tcPr>
            <w:tcW w:w="3701" w:type="dxa"/>
            <w:tcBorders>
              <w:top w:val="nil"/>
              <w:left w:val="single" w:sz="4" w:space="0" w:color="auto"/>
              <w:bottom w:val="single" w:sz="4" w:space="0" w:color="auto"/>
              <w:right w:val="single" w:sz="4" w:space="0" w:color="auto"/>
            </w:tcBorders>
            <w:noWrap/>
            <w:vAlign w:val="center"/>
            <w:hideMark/>
          </w:tcPr>
          <w:p w:rsidR="00EE4CBF" w:rsidRDefault="00EE4CBF" w:rsidP="0083424B">
            <w:pPr>
              <w:spacing w:line="276" w:lineRule="auto"/>
              <w:rPr>
                <w:rFonts w:ascii="Book Antiqua" w:hAnsi="Book Antiqua" w:cs="Arial"/>
                <w:b/>
                <w:bCs/>
              </w:rPr>
            </w:pPr>
            <w:r>
              <w:rPr>
                <w:rFonts w:ascii="Book Antiqua" w:hAnsi="Book Antiqua" w:cs="Arial"/>
                <w:b/>
                <w:bCs/>
              </w:rPr>
              <w:t>Importation/PIB (en %)</w:t>
            </w:r>
          </w:p>
        </w:tc>
        <w:tc>
          <w:tcPr>
            <w:tcW w:w="1559" w:type="dxa"/>
            <w:tcBorders>
              <w:top w:val="single" w:sz="4" w:space="0" w:color="auto"/>
              <w:left w:val="nil"/>
              <w:bottom w:val="single" w:sz="4" w:space="0" w:color="auto"/>
              <w:right w:val="single" w:sz="4" w:space="0" w:color="auto"/>
            </w:tcBorders>
            <w:noWrap/>
            <w:vAlign w:val="center"/>
            <w:hideMark/>
          </w:tcPr>
          <w:p w:rsidR="00EE4CBF" w:rsidRDefault="00EE4CBF" w:rsidP="0083424B">
            <w:pPr>
              <w:spacing w:line="276" w:lineRule="auto"/>
              <w:jc w:val="center"/>
              <w:rPr>
                <w:rFonts w:ascii="Book Antiqua" w:hAnsi="Book Antiqua" w:cs="Arial"/>
              </w:rPr>
            </w:pPr>
            <w:r>
              <w:rPr>
                <w:rFonts w:ascii="Book Antiqua" w:hAnsi="Book Antiqua" w:cs="Arial"/>
              </w:rPr>
              <w:t>45,9</w:t>
            </w:r>
          </w:p>
        </w:tc>
        <w:tc>
          <w:tcPr>
            <w:tcW w:w="1701" w:type="dxa"/>
            <w:tcBorders>
              <w:top w:val="single" w:sz="4" w:space="0" w:color="auto"/>
              <w:left w:val="nil"/>
              <w:bottom w:val="single" w:sz="4" w:space="0" w:color="auto"/>
              <w:right w:val="single" w:sz="4" w:space="0" w:color="auto"/>
            </w:tcBorders>
            <w:noWrap/>
            <w:vAlign w:val="center"/>
            <w:hideMark/>
          </w:tcPr>
          <w:p w:rsidR="00EE4CBF" w:rsidRDefault="00EE4CBF" w:rsidP="0083424B">
            <w:pPr>
              <w:spacing w:line="276" w:lineRule="auto"/>
              <w:jc w:val="center"/>
              <w:rPr>
                <w:rFonts w:ascii="Book Antiqua" w:hAnsi="Book Antiqua" w:cs="Arial"/>
              </w:rPr>
            </w:pPr>
            <w:r>
              <w:rPr>
                <w:rFonts w:ascii="Book Antiqua" w:hAnsi="Book Antiqua" w:cs="Arial"/>
              </w:rPr>
              <w:t>46,3</w:t>
            </w:r>
          </w:p>
        </w:tc>
        <w:tc>
          <w:tcPr>
            <w:tcW w:w="2126" w:type="dxa"/>
            <w:tcBorders>
              <w:top w:val="single" w:sz="4" w:space="0" w:color="auto"/>
              <w:left w:val="nil"/>
              <w:bottom w:val="single" w:sz="4" w:space="0" w:color="auto"/>
              <w:right w:val="single" w:sz="4" w:space="0" w:color="auto"/>
            </w:tcBorders>
            <w:vAlign w:val="center"/>
            <w:hideMark/>
          </w:tcPr>
          <w:p w:rsidR="00EE4CBF" w:rsidRDefault="00EE4CBF" w:rsidP="0083424B">
            <w:pPr>
              <w:spacing w:line="276" w:lineRule="auto"/>
              <w:jc w:val="center"/>
              <w:rPr>
                <w:rFonts w:ascii="Book Antiqua" w:hAnsi="Book Antiqua" w:cs="Arial"/>
              </w:rPr>
            </w:pPr>
            <w:r>
              <w:rPr>
                <w:rFonts w:ascii="Book Antiqua" w:hAnsi="Book Antiqua" w:cs="Arial"/>
              </w:rPr>
              <w:t>-0,4</w:t>
            </w:r>
          </w:p>
        </w:tc>
      </w:tr>
      <w:tr w:rsidR="00EE4CBF" w:rsidTr="0083424B">
        <w:trPr>
          <w:trHeight w:val="502"/>
        </w:trPr>
        <w:tc>
          <w:tcPr>
            <w:tcW w:w="3701" w:type="dxa"/>
            <w:tcBorders>
              <w:top w:val="nil"/>
              <w:left w:val="single" w:sz="4" w:space="0" w:color="auto"/>
              <w:bottom w:val="single" w:sz="4" w:space="0" w:color="auto"/>
              <w:right w:val="single" w:sz="4" w:space="0" w:color="auto"/>
            </w:tcBorders>
            <w:noWrap/>
            <w:vAlign w:val="center"/>
            <w:hideMark/>
          </w:tcPr>
          <w:p w:rsidR="00EE4CBF" w:rsidRDefault="00EE4CBF" w:rsidP="0083424B">
            <w:pPr>
              <w:spacing w:line="276" w:lineRule="auto"/>
              <w:rPr>
                <w:rFonts w:ascii="Book Antiqua" w:hAnsi="Book Antiqua" w:cs="Arial"/>
                <w:b/>
                <w:bCs/>
              </w:rPr>
            </w:pPr>
            <w:r>
              <w:rPr>
                <w:rFonts w:ascii="Book Antiqua" w:hAnsi="Book Antiqua" w:cs="Arial"/>
                <w:b/>
                <w:bCs/>
              </w:rPr>
              <w:t>Solde commerciale/PIB (en %)</w:t>
            </w:r>
          </w:p>
        </w:tc>
        <w:tc>
          <w:tcPr>
            <w:tcW w:w="1559" w:type="dxa"/>
            <w:tcBorders>
              <w:top w:val="single" w:sz="4" w:space="0" w:color="auto"/>
              <w:left w:val="nil"/>
              <w:bottom w:val="single" w:sz="4" w:space="0" w:color="auto"/>
              <w:right w:val="single" w:sz="4" w:space="0" w:color="auto"/>
            </w:tcBorders>
            <w:noWrap/>
            <w:vAlign w:val="center"/>
            <w:hideMark/>
          </w:tcPr>
          <w:p w:rsidR="00EE4CBF" w:rsidRDefault="00EE4CBF" w:rsidP="0083424B">
            <w:pPr>
              <w:spacing w:line="276" w:lineRule="auto"/>
              <w:jc w:val="center"/>
              <w:rPr>
                <w:rFonts w:ascii="Book Antiqua" w:hAnsi="Book Antiqua" w:cs="Arial"/>
              </w:rPr>
            </w:pPr>
            <w:r>
              <w:rPr>
                <w:rFonts w:ascii="Book Antiqua" w:hAnsi="Book Antiqua" w:cs="Arial"/>
              </w:rPr>
              <w:t>-12,6</w:t>
            </w:r>
          </w:p>
        </w:tc>
        <w:tc>
          <w:tcPr>
            <w:tcW w:w="1701" w:type="dxa"/>
            <w:tcBorders>
              <w:top w:val="single" w:sz="4" w:space="0" w:color="auto"/>
              <w:left w:val="nil"/>
              <w:bottom w:val="single" w:sz="4" w:space="0" w:color="auto"/>
              <w:right w:val="single" w:sz="4" w:space="0" w:color="auto"/>
            </w:tcBorders>
            <w:noWrap/>
            <w:vAlign w:val="center"/>
            <w:hideMark/>
          </w:tcPr>
          <w:p w:rsidR="00EE4CBF" w:rsidRDefault="00EE4CBF" w:rsidP="0083424B">
            <w:pPr>
              <w:spacing w:line="276" w:lineRule="auto"/>
              <w:jc w:val="center"/>
              <w:rPr>
                <w:rFonts w:ascii="Book Antiqua" w:hAnsi="Book Antiqua" w:cs="Arial"/>
              </w:rPr>
            </w:pPr>
            <w:r>
              <w:rPr>
                <w:rFonts w:ascii="Book Antiqua" w:hAnsi="Book Antiqua" w:cs="Arial"/>
              </w:rPr>
              <w:t>-11,8</w:t>
            </w:r>
          </w:p>
        </w:tc>
        <w:tc>
          <w:tcPr>
            <w:tcW w:w="2126" w:type="dxa"/>
            <w:tcBorders>
              <w:top w:val="single" w:sz="4" w:space="0" w:color="auto"/>
              <w:left w:val="nil"/>
              <w:bottom w:val="single" w:sz="4" w:space="0" w:color="auto"/>
              <w:right w:val="single" w:sz="4" w:space="0" w:color="auto"/>
            </w:tcBorders>
            <w:vAlign w:val="center"/>
            <w:hideMark/>
          </w:tcPr>
          <w:p w:rsidR="00EE4CBF" w:rsidRDefault="00EE4CBF" w:rsidP="0083424B">
            <w:pPr>
              <w:spacing w:line="276" w:lineRule="auto"/>
              <w:jc w:val="center"/>
              <w:rPr>
                <w:rFonts w:ascii="Book Antiqua" w:hAnsi="Book Antiqua" w:cs="Arial"/>
              </w:rPr>
            </w:pPr>
            <w:r>
              <w:rPr>
                <w:rFonts w:ascii="Book Antiqua" w:hAnsi="Book Antiqua" w:cs="Arial"/>
              </w:rPr>
              <w:t>-0,8</w:t>
            </w:r>
          </w:p>
        </w:tc>
      </w:tr>
    </w:tbl>
    <w:p w:rsidR="00EE4CBF" w:rsidRDefault="00EE4CBF" w:rsidP="00EE4CBF">
      <w:pPr>
        <w:rPr>
          <w:rFonts w:ascii="Book Antiqua" w:hAnsi="Book Antiqua"/>
        </w:rPr>
      </w:pPr>
    </w:p>
    <w:p w:rsidR="00EE4CBF" w:rsidRDefault="00EE4CBF" w:rsidP="00EE4CBF">
      <w:pPr>
        <w:rPr>
          <w:rFonts w:ascii="Book Antiqua" w:hAnsi="Book Antiqua"/>
        </w:rPr>
      </w:pPr>
    </w:p>
    <w:p w:rsidR="00EE4CBF" w:rsidRDefault="00EE4CBF" w:rsidP="00EE4CBF">
      <w:pPr>
        <w:rPr>
          <w:rFonts w:ascii="Book Antiqua" w:hAnsi="Book Antiqua"/>
        </w:rPr>
      </w:pPr>
    </w:p>
    <w:p w:rsidR="00EE4CBF" w:rsidRDefault="00EE4CBF" w:rsidP="00EE4CBF">
      <w:pPr>
        <w:rPr>
          <w:rFonts w:ascii="Book Antiqua" w:hAnsi="Book Antiqua"/>
        </w:rPr>
      </w:pPr>
    </w:p>
    <w:p w:rsidR="00EE4CBF" w:rsidRDefault="00EE4CBF" w:rsidP="00EE4CBF">
      <w:pPr>
        <w:rPr>
          <w:rFonts w:ascii="Book Antiqua" w:hAnsi="Book Antiqua"/>
        </w:rPr>
      </w:pPr>
    </w:p>
    <w:tbl>
      <w:tblPr>
        <w:tblW w:w="8620" w:type="dxa"/>
        <w:tblInd w:w="55" w:type="dxa"/>
        <w:tblCellMar>
          <w:left w:w="70" w:type="dxa"/>
          <w:right w:w="70" w:type="dxa"/>
        </w:tblCellMar>
        <w:tblLook w:val="04A0"/>
      </w:tblPr>
      <w:tblGrid>
        <w:gridCol w:w="5818"/>
        <w:gridCol w:w="1003"/>
        <w:gridCol w:w="1171"/>
        <w:gridCol w:w="641"/>
      </w:tblGrid>
      <w:tr w:rsidR="00EE4CBF" w:rsidRPr="00240331" w:rsidTr="0083424B">
        <w:trPr>
          <w:trHeight w:val="330"/>
        </w:trPr>
        <w:tc>
          <w:tcPr>
            <w:tcW w:w="8620" w:type="dxa"/>
            <w:gridSpan w:val="4"/>
            <w:tcBorders>
              <w:top w:val="nil"/>
              <w:left w:val="nil"/>
              <w:bottom w:val="nil"/>
              <w:right w:val="nil"/>
            </w:tcBorders>
            <w:shd w:val="clear" w:color="auto" w:fill="auto"/>
            <w:noWrap/>
            <w:vAlign w:val="bottom"/>
            <w:hideMark/>
          </w:tcPr>
          <w:p w:rsidR="00EE4CBF" w:rsidRPr="00240331" w:rsidRDefault="00EE4CBF" w:rsidP="0083424B">
            <w:pPr>
              <w:rPr>
                <w:rFonts w:ascii="Book Antiqua" w:hAnsi="Book Antiqua"/>
                <w:b/>
                <w:bCs/>
                <w:color w:val="000000"/>
              </w:rPr>
            </w:pPr>
            <w:r w:rsidRPr="00240331">
              <w:rPr>
                <w:rFonts w:ascii="Book Antiqua" w:hAnsi="Book Antiqua" w:cs="Arial"/>
                <w:b/>
                <w:bCs/>
                <w:color w:val="000000"/>
              </w:rPr>
              <w:t>Tableau 4 : Accroissement annuel  moyen en volume sur la période 2007-2012</w:t>
            </w:r>
          </w:p>
        </w:tc>
      </w:tr>
      <w:tr w:rsidR="00EE4CBF" w:rsidRPr="00240331" w:rsidTr="0083424B">
        <w:trPr>
          <w:trHeight w:val="315"/>
        </w:trPr>
        <w:tc>
          <w:tcPr>
            <w:tcW w:w="5818" w:type="dxa"/>
            <w:tcBorders>
              <w:top w:val="nil"/>
              <w:left w:val="nil"/>
              <w:bottom w:val="nil"/>
              <w:right w:val="nil"/>
            </w:tcBorders>
            <w:shd w:val="clear" w:color="auto" w:fill="auto"/>
            <w:noWrap/>
            <w:vAlign w:val="bottom"/>
            <w:hideMark/>
          </w:tcPr>
          <w:p w:rsidR="00EE4CBF" w:rsidRPr="00240331" w:rsidRDefault="00EE4CBF" w:rsidP="0083424B">
            <w:pPr>
              <w:rPr>
                <w:rFonts w:ascii="Calibri" w:hAnsi="Calibri"/>
                <w:color w:val="000000"/>
              </w:rPr>
            </w:pPr>
          </w:p>
        </w:tc>
        <w:tc>
          <w:tcPr>
            <w:tcW w:w="1003" w:type="dxa"/>
            <w:tcBorders>
              <w:top w:val="nil"/>
              <w:left w:val="nil"/>
              <w:bottom w:val="nil"/>
              <w:right w:val="nil"/>
            </w:tcBorders>
            <w:shd w:val="clear" w:color="auto" w:fill="auto"/>
            <w:noWrap/>
            <w:vAlign w:val="bottom"/>
            <w:hideMark/>
          </w:tcPr>
          <w:p w:rsidR="00EE4CBF" w:rsidRPr="00240331" w:rsidRDefault="00EE4CBF" w:rsidP="0083424B">
            <w:pPr>
              <w:rPr>
                <w:rFonts w:ascii="Calibri" w:hAnsi="Calibri"/>
                <w:color w:val="000000"/>
              </w:rPr>
            </w:pPr>
          </w:p>
        </w:tc>
        <w:tc>
          <w:tcPr>
            <w:tcW w:w="1171" w:type="dxa"/>
            <w:tcBorders>
              <w:top w:val="nil"/>
              <w:left w:val="nil"/>
              <w:bottom w:val="nil"/>
              <w:right w:val="nil"/>
            </w:tcBorders>
            <w:shd w:val="clear" w:color="auto" w:fill="auto"/>
            <w:noWrap/>
            <w:vAlign w:val="bottom"/>
            <w:hideMark/>
          </w:tcPr>
          <w:p w:rsidR="00EE4CBF" w:rsidRPr="00240331" w:rsidRDefault="00EE4CBF" w:rsidP="0083424B">
            <w:pPr>
              <w:rPr>
                <w:rFonts w:ascii="Calibri" w:hAnsi="Calibri"/>
                <w:color w:val="000000"/>
              </w:rPr>
            </w:pPr>
          </w:p>
        </w:tc>
        <w:tc>
          <w:tcPr>
            <w:tcW w:w="628" w:type="dxa"/>
            <w:tcBorders>
              <w:top w:val="nil"/>
              <w:left w:val="nil"/>
              <w:bottom w:val="nil"/>
              <w:right w:val="nil"/>
            </w:tcBorders>
            <w:shd w:val="clear" w:color="auto" w:fill="auto"/>
            <w:noWrap/>
            <w:vAlign w:val="bottom"/>
            <w:hideMark/>
          </w:tcPr>
          <w:p w:rsidR="00EE4CBF" w:rsidRPr="00240331" w:rsidRDefault="00EE4CBF" w:rsidP="0083424B">
            <w:pPr>
              <w:rPr>
                <w:rFonts w:ascii="Calibri" w:hAnsi="Calibri"/>
                <w:color w:val="000000"/>
              </w:rPr>
            </w:pPr>
          </w:p>
        </w:tc>
      </w:tr>
      <w:tr w:rsidR="00EE4CBF" w:rsidRPr="00240331" w:rsidTr="0083424B">
        <w:trPr>
          <w:trHeight w:val="315"/>
        </w:trPr>
        <w:tc>
          <w:tcPr>
            <w:tcW w:w="581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E4CBF" w:rsidRPr="00240331" w:rsidRDefault="00EE4CBF" w:rsidP="0083424B">
            <w:pPr>
              <w:jc w:val="center"/>
              <w:rPr>
                <w:rFonts w:ascii="Book Antiqua" w:hAnsi="Book Antiqua"/>
                <w:b/>
                <w:bCs/>
                <w:color w:val="000000"/>
              </w:rPr>
            </w:pPr>
            <w:r w:rsidRPr="00240331">
              <w:rPr>
                <w:rFonts w:ascii="Book Antiqua" w:hAnsi="Book Antiqua" w:cs="Arial"/>
                <w:b/>
                <w:bCs/>
                <w:color w:val="000000"/>
                <w:sz w:val="22"/>
                <w:szCs w:val="22"/>
              </w:rPr>
              <w:t>Agrégats</w:t>
            </w:r>
          </w:p>
        </w:tc>
        <w:tc>
          <w:tcPr>
            <w:tcW w:w="1003" w:type="dxa"/>
            <w:tcBorders>
              <w:top w:val="single" w:sz="8" w:space="0" w:color="auto"/>
              <w:left w:val="nil"/>
              <w:bottom w:val="single" w:sz="8" w:space="0" w:color="auto"/>
              <w:right w:val="nil"/>
            </w:tcBorders>
            <w:shd w:val="clear" w:color="auto" w:fill="auto"/>
            <w:vAlign w:val="bottom"/>
            <w:hideMark/>
          </w:tcPr>
          <w:p w:rsidR="00EE4CBF" w:rsidRPr="00240331" w:rsidRDefault="00EE4CBF" w:rsidP="0083424B">
            <w:pPr>
              <w:jc w:val="center"/>
              <w:rPr>
                <w:rFonts w:ascii="Book Antiqua" w:hAnsi="Book Antiqua"/>
                <w:b/>
                <w:bCs/>
                <w:color w:val="000000"/>
              </w:rPr>
            </w:pPr>
            <w:r w:rsidRPr="00240331">
              <w:rPr>
                <w:rFonts w:ascii="Book Antiqua" w:hAnsi="Book Antiqua" w:cs="Arial"/>
                <w:b/>
                <w:bCs/>
                <w:color w:val="000000"/>
                <w:sz w:val="22"/>
                <w:szCs w:val="22"/>
              </w:rPr>
              <w:t>Base 2007</w:t>
            </w:r>
          </w:p>
        </w:tc>
        <w:tc>
          <w:tcPr>
            <w:tcW w:w="117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E4CBF" w:rsidRPr="00240331" w:rsidRDefault="00EE4CBF" w:rsidP="0083424B">
            <w:pPr>
              <w:jc w:val="center"/>
              <w:rPr>
                <w:rFonts w:ascii="Book Antiqua" w:hAnsi="Book Antiqua"/>
                <w:b/>
                <w:bCs/>
                <w:color w:val="000000"/>
              </w:rPr>
            </w:pPr>
            <w:r w:rsidRPr="00240331">
              <w:rPr>
                <w:rFonts w:ascii="Book Antiqua" w:hAnsi="Book Antiqua" w:cs="Arial"/>
                <w:b/>
                <w:bCs/>
                <w:color w:val="000000"/>
                <w:sz w:val="22"/>
                <w:szCs w:val="22"/>
              </w:rPr>
              <w:t>Base 1998</w:t>
            </w:r>
          </w:p>
        </w:tc>
        <w:tc>
          <w:tcPr>
            <w:tcW w:w="628" w:type="dxa"/>
            <w:tcBorders>
              <w:top w:val="single" w:sz="8" w:space="0" w:color="auto"/>
              <w:left w:val="nil"/>
              <w:bottom w:val="single" w:sz="8" w:space="0" w:color="auto"/>
              <w:right w:val="single" w:sz="8" w:space="0" w:color="auto"/>
            </w:tcBorders>
            <w:shd w:val="clear" w:color="auto" w:fill="auto"/>
            <w:noWrap/>
            <w:vAlign w:val="bottom"/>
            <w:hideMark/>
          </w:tcPr>
          <w:p w:rsidR="00EE4CBF" w:rsidRPr="00240331" w:rsidRDefault="00EE4CBF" w:rsidP="0083424B">
            <w:pPr>
              <w:jc w:val="center"/>
              <w:rPr>
                <w:rFonts w:ascii="Book Antiqua" w:hAnsi="Book Antiqua"/>
                <w:b/>
                <w:bCs/>
                <w:color w:val="000000"/>
              </w:rPr>
            </w:pPr>
            <w:r w:rsidRPr="00240331">
              <w:rPr>
                <w:rFonts w:ascii="Book Antiqua" w:hAnsi="Book Antiqua" w:cs="Arial"/>
                <w:b/>
                <w:bCs/>
                <w:color w:val="000000"/>
                <w:sz w:val="22"/>
                <w:szCs w:val="22"/>
              </w:rPr>
              <w:t>Ecart</w:t>
            </w:r>
          </w:p>
        </w:tc>
      </w:tr>
      <w:tr w:rsidR="00EE4CBF" w:rsidRPr="00240331" w:rsidTr="0083424B">
        <w:trPr>
          <w:trHeight w:val="300"/>
        </w:trPr>
        <w:tc>
          <w:tcPr>
            <w:tcW w:w="5818" w:type="dxa"/>
            <w:tcBorders>
              <w:top w:val="nil"/>
              <w:left w:val="single" w:sz="8" w:space="0" w:color="auto"/>
              <w:bottom w:val="nil"/>
              <w:right w:val="single" w:sz="8" w:space="0" w:color="auto"/>
            </w:tcBorders>
            <w:shd w:val="clear" w:color="auto" w:fill="auto"/>
            <w:noWrap/>
            <w:vAlign w:val="bottom"/>
            <w:hideMark/>
          </w:tcPr>
          <w:p w:rsidR="00EE4CBF" w:rsidRPr="00240331" w:rsidRDefault="00EE4CBF" w:rsidP="0083424B">
            <w:pPr>
              <w:rPr>
                <w:rFonts w:ascii="Book Antiqua" w:hAnsi="Book Antiqua"/>
                <w:b/>
                <w:bCs/>
                <w:color w:val="000000"/>
              </w:rPr>
            </w:pPr>
            <w:r w:rsidRPr="00240331">
              <w:rPr>
                <w:rFonts w:ascii="Book Antiqua" w:hAnsi="Book Antiqua"/>
                <w:b/>
                <w:bCs/>
                <w:color w:val="000000"/>
                <w:sz w:val="22"/>
                <w:szCs w:val="22"/>
              </w:rPr>
              <w:t>Produit intérieur brut</w:t>
            </w:r>
          </w:p>
        </w:tc>
        <w:tc>
          <w:tcPr>
            <w:tcW w:w="1003" w:type="dxa"/>
            <w:tcBorders>
              <w:top w:val="nil"/>
              <w:left w:val="nil"/>
              <w:bottom w:val="nil"/>
              <w:right w:val="nil"/>
            </w:tcBorders>
            <w:shd w:val="clear" w:color="auto" w:fill="auto"/>
            <w:vAlign w:val="bottom"/>
            <w:hideMark/>
          </w:tcPr>
          <w:p w:rsidR="00EE4CBF" w:rsidRPr="00240331" w:rsidRDefault="00EE4CBF" w:rsidP="0083424B">
            <w:pPr>
              <w:jc w:val="right"/>
              <w:rPr>
                <w:rFonts w:ascii="Book Antiqua" w:hAnsi="Book Antiqua"/>
                <w:b/>
                <w:bCs/>
                <w:color w:val="000000"/>
              </w:rPr>
            </w:pPr>
            <w:r w:rsidRPr="00240331">
              <w:rPr>
                <w:rFonts w:ascii="Book Antiqua" w:hAnsi="Book Antiqua" w:cs="Arial"/>
                <w:b/>
                <w:bCs/>
                <w:color w:val="000000"/>
                <w:sz w:val="22"/>
                <w:szCs w:val="22"/>
              </w:rPr>
              <w:t>4,5</w:t>
            </w:r>
          </w:p>
        </w:tc>
        <w:tc>
          <w:tcPr>
            <w:tcW w:w="1171" w:type="dxa"/>
            <w:tcBorders>
              <w:top w:val="nil"/>
              <w:left w:val="single" w:sz="8" w:space="0" w:color="auto"/>
              <w:bottom w:val="nil"/>
              <w:right w:val="single" w:sz="8" w:space="0" w:color="auto"/>
            </w:tcBorders>
            <w:shd w:val="clear" w:color="auto" w:fill="auto"/>
            <w:noWrap/>
            <w:vAlign w:val="bottom"/>
            <w:hideMark/>
          </w:tcPr>
          <w:p w:rsidR="00EE4CBF" w:rsidRPr="00240331" w:rsidRDefault="00EE4CBF" w:rsidP="0083424B">
            <w:pPr>
              <w:jc w:val="right"/>
              <w:rPr>
                <w:rFonts w:ascii="Book Antiqua" w:hAnsi="Book Antiqua"/>
                <w:b/>
                <w:bCs/>
                <w:color w:val="000000"/>
              </w:rPr>
            </w:pPr>
            <w:r w:rsidRPr="00240331">
              <w:rPr>
                <w:rFonts w:ascii="Book Antiqua" w:hAnsi="Book Antiqua" w:cs="Arial"/>
                <w:b/>
                <w:bCs/>
                <w:color w:val="000000"/>
                <w:sz w:val="22"/>
                <w:szCs w:val="22"/>
              </w:rPr>
              <w:t>4,3</w:t>
            </w:r>
          </w:p>
        </w:tc>
        <w:tc>
          <w:tcPr>
            <w:tcW w:w="628" w:type="dxa"/>
            <w:tcBorders>
              <w:top w:val="nil"/>
              <w:left w:val="nil"/>
              <w:bottom w:val="nil"/>
              <w:right w:val="single" w:sz="8" w:space="0" w:color="auto"/>
            </w:tcBorders>
            <w:shd w:val="clear" w:color="auto" w:fill="auto"/>
            <w:noWrap/>
            <w:vAlign w:val="bottom"/>
            <w:hideMark/>
          </w:tcPr>
          <w:p w:rsidR="00EE4CBF" w:rsidRPr="00240331" w:rsidRDefault="00EE4CBF" w:rsidP="0083424B">
            <w:pPr>
              <w:jc w:val="right"/>
              <w:rPr>
                <w:rFonts w:ascii="Book Antiqua" w:hAnsi="Book Antiqua"/>
                <w:b/>
                <w:bCs/>
                <w:color w:val="000000"/>
              </w:rPr>
            </w:pPr>
            <w:r w:rsidRPr="00240331">
              <w:rPr>
                <w:rFonts w:ascii="Book Antiqua" w:hAnsi="Book Antiqua" w:cs="Arial"/>
                <w:b/>
                <w:bCs/>
                <w:color w:val="000000"/>
                <w:sz w:val="22"/>
                <w:szCs w:val="22"/>
              </w:rPr>
              <w:t>0,2</w:t>
            </w:r>
          </w:p>
        </w:tc>
      </w:tr>
      <w:tr w:rsidR="00EE4CBF" w:rsidRPr="00240331" w:rsidTr="0083424B">
        <w:trPr>
          <w:trHeight w:val="300"/>
        </w:trPr>
        <w:tc>
          <w:tcPr>
            <w:tcW w:w="5818" w:type="dxa"/>
            <w:tcBorders>
              <w:top w:val="nil"/>
              <w:left w:val="single" w:sz="8" w:space="0" w:color="auto"/>
              <w:bottom w:val="nil"/>
              <w:right w:val="single" w:sz="8" w:space="0" w:color="auto"/>
            </w:tcBorders>
            <w:shd w:val="clear" w:color="auto" w:fill="auto"/>
            <w:noWrap/>
            <w:vAlign w:val="bottom"/>
            <w:hideMark/>
          </w:tcPr>
          <w:p w:rsidR="00EE4CBF" w:rsidRPr="00240331" w:rsidRDefault="00EE4CBF" w:rsidP="0083424B">
            <w:pPr>
              <w:rPr>
                <w:rFonts w:ascii="Book Antiqua" w:hAnsi="Book Antiqua"/>
                <w:b/>
                <w:bCs/>
                <w:color w:val="000000"/>
              </w:rPr>
            </w:pPr>
            <w:r w:rsidRPr="00240331">
              <w:rPr>
                <w:rFonts w:ascii="Book Antiqua" w:hAnsi="Book Antiqua"/>
                <w:b/>
                <w:bCs/>
                <w:color w:val="000000"/>
                <w:sz w:val="22"/>
                <w:szCs w:val="22"/>
              </w:rPr>
              <w:t>Importations de biens et services</w:t>
            </w:r>
          </w:p>
        </w:tc>
        <w:tc>
          <w:tcPr>
            <w:tcW w:w="1003" w:type="dxa"/>
            <w:tcBorders>
              <w:top w:val="nil"/>
              <w:left w:val="nil"/>
              <w:bottom w:val="nil"/>
              <w:right w:val="nil"/>
            </w:tcBorders>
            <w:shd w:val="clear" w:color="auto" w:fill="auto"/>
            <w:vAlign w:val="bottom"/>
            <w:hideMark/>
          </w:tcPr>
          <w:p w:rsidR="00EE4CBF" w:rsidRPr="00240331" w:rsidRDefault="00EE4CBF" w:rsidP="0083424B">
            <w:pPr>
              <w:jc w:val="right"/>
              <w:rPr>
                <w:rFonts w:ascii="Book Antiqua" w:hAnsi="Book Antiqua"/>
                <w:b/>
                <w:bCs/>
                <w:color w:val="000000"/>
              </w:rPr>
            </w:pPr>
            <w:r w:rsidRPr="00240331">
              <w:rPr>
                <w:rFonts w:ascii="Book Antiqua" w:hAnsi="Book Antiqua" w:cs="Arial"/>
                <w:b/>
                <w:bCs/>
                <w:color w:val="000000"/>
                <w:sz w:val="22"/>
                <w:szCs w:val="22"/>
              </w:rPr>
              <w:t>5,1</w:t>
            </w:r>
          </w:p>
        </w:tc>
        <w:tc>
          <w:tcPr>
            <w:tcW w:w="1171" w:type="dxa"/>
            <w:tcBorders>
              <w:top w:val="nil"/>
              <w:left w:val="single" w:sz="8" w:space="0" w:color="auto"/>
              <w:bottom w:val="nil"/>
              <w:right w:val="single" w:sz="8" w:space="0" w:color="auto"/>
            </w:tcBorders>
            <w:shd w:val="clear" w:color="auto" w:fill="auto"/>
            <w:noWrap/>
            <w:vAlign w:val="bottom"/>
            <w:hideMark/>
          </w:tcPr>
          <w:p w:rsidR="00EE4CBF" w:rsidRPr="00240331" w:rsidRDefault="00EE4CBF" w:rsidP="0083424B">
            <w:pPr>
              <w:jc w:val="right"/>
              <w:rPr>
                <w:rFonts w:ascii="Book Antiqua" w:hAnsi="Book Antiqua"/>
                <w:b/>
                <w:bCs/>
                <w:color w:val="000000"/>
              </w:rPr>
            </w:pPr>
            <w:r w:rsidRPr="00240331">
              <w:rPr>
                <w:rFonts w:ascii="Book Antiqua" w:hAnsi="Book Antiqua" w:cs="Arial"/>
                <w:b/>
                <w:bCs/>
                <w:color w:val="000000"/>
                <w:sz w:val="22"/>
                <w:szCs w:val="22"/>
              </w:rPr>
              <w:t>3,4</w:t>
            </w:r>
          </w:p>
        </w:tc>
        <w:tc>
          <w:tcPr>
            <w:tcW w:w="628" w:type="dxa"/>
            <w:tcBorders>
              <w:top w:val="nil"/>
              <w:left w:val="nil"/>
              <w:bottom w:val="nil"/>
              <w:right w:val="single" w:sz="8" w:space="0" w:color="auto"/>
            </w:tcBorders>
            <w:shd w:val="clear" w:color="auto" w:fill="auto"/>
            <w:noWrap/>
            <w:vAlign w:val="bottom"/>
            <w:hideMark/>
          </w:tcPr>
          <w:p w:rsidR="00EE4CBF" w:rsidRPr="00240331" w:rsidRDefault="00EE4CBF" w:rsidP="0083424B">
            <w:pPr>
              <w:jc w:val="right"/>
              <w:rPr>
                <w:rFonts w:ascii="Book Antiqua" w:hAnsi="Book Antiqua"/>
                <w:b/>
                <w:bCs/>
                <w:color w:val="000000"/>
              </w:rPr>
            </w:pPr>
            <w:r w:rsidRPr="00240331">
              <w:rPr>
                <w:rFonts w:ascii="Book Antiqua" w:hAnsi="Book Antiqua" w:cs="Arial"/>
                <w:b/>
                <w:bCs/>
                <w:color w:val="000000"/>
                <w:sz w:val="22"/>
                <w:szCs w:val="22"/>
              </w:rPr>
              <w:t>1,8</w:t>
            </w:r>
          </w:p>
        </w:tc>
      </w:tr>
      <w:tr w:rsidR="00EE4CBF" w:rsidRPr="00240331" w:rsidTr="0083424B">
        <w:trPr>
          <w:trHeight w:val="300"/>
        </w:trPr>
        <w:tc>
          <w:tcPr>
            <w:tcW w:w="5818" w:type="dxa"/>
            <w:tcBorders>
              <w:top w:val="nil"/>
              <w:left w:val="single" w:sz="8" w:space="0" w:color="auto"/>
              <w:bottom w:val="nil"/>
              <w:right w:val="single" w:sz="8" w:space="0" w:color="auto"/>
            </w:tcBorders>
            <w:shd w:val="clear" w:color="auto" w:fill="auto"/>
            <w:noWrap/>
            <w:vAlign w:val="bottom"/>
            <w:hideMark/>
          </w:tcPr>
          <w:p w:rsidR="00EE4CBF" w:rsidRPr="00240331" w:rsidRDefault="00EE4CBF" w:rsidP="0083424B">
            <w:pPr>
              <w:rPr>
                <w:rFonts w:ascii="Book Antiqua" w:hAnsi="Book Antiqua"/>
                <w:b/>
                <w:bCs/>
                <w:color w:val="000000"/>
              </w:rPr>
            </w:pPr>
            <w:r w:rsidRPr="00240331">
              <w:rPr>
                <w:rFonts w:ascii="Book Antiqua" w:hAnsi="Book Antiqua"/>
                <w:b/>
                <w:bCs/>
                <w:color w:val="000000"/>
                <w:sz w:val="22"/>
                <w:szCs w:val="22"/>
              </w:rPr>
              <w:t>Dépenses de consommation finale des ménages</w:t>
            </w:r>
          </w:p>
        </w:tc>
        <w:tc>
          <w:tcPr>
            <w:tcW w:w="1003" w:type="dxa"/>
            <w:tcBorders>
              <w:top w:val="nil"/>
              <w:left w:val="nil"/>
              <w:bottom w:val="nil"/>
              <w:right w:val="nil"/>
            </w:tcBorders>
            <w:shd w:val="clear" w:color="auto" w:fill="auto"/>
            <w:vAlign w:val="bottom"/>
            <w:hideMark/>
          </w:tcPr>
          <w:p w:rsidR="00EE4CBF" w:rsidRPr="00240331" w:rsidRDefault="00EE4CBF" w:rsidP="0083424B">
            <w:pPr>
              <w:jc w:val="right"/>
              <w:rPr>
                <w:rFonts w:ascii="Book Antiqua" w:hAnsi="Book Antiqua"/>
                <w:b/>
                <w:bCs/>
                <w:color w:val="000000"/>
              </w:rPr>
            </w:pPr>
            <w:r w:rsidRPr="00240331">
              <w:rPr>
                <w:rFonts w:ascii="Book Antiqua" w:hAnsi="Book Antiqua" w:cs="Arial"/>
                <w:b/>
                <w:bCs/>
                <w:color w:val="000000"/>
                <w:sz w:val="22"/>
                <w:szCs w:val="22"/>
              </w:rPr>
              <w:t>5</w:t>
            </w:r>
          </w:p>
        </w:tc>
        <w:tc>
          <w:tcPr>
            <w:tcW w:w="1171" w:type="dxa"/>
            <w:tcBorders>
              <w:top w:val="nil"/>
              <w:left w:val="single" w:sz="8" w:space="0" w:color="auto"/>
              <w:bottom w:val="nil"/>
              <w:right w:val="single" w:sz="8" w:space="0" w:color="auto"/>
            </w:tcBorders>
            <w:shd w:val="clear" w:color="auto" w:fill="auto"/>
            <w:noWrap/>
            <w:vAlign w:val="bottom"/>
            <w:hideMark/>
          </w:tcPr>
          <w:p w:rsidR="00EE4CBF" w:rsidRPr="00240331" w:rsidRDefault="00EE4CBF" w:rsidP="0083424B">
            <w:pPr>
              <w:jc w:val="right"/>
              <w:rPr>
                <w:rFonts w:ascii="Book Antiqua" w:hAnsi="Book Antiqua"/>
                <w:b/>
                <w:bCs/>
                <w:color w:val="000000"/>
              </w:rPr>
            </w:pPr>
            <w:r w:rsidRPr="00240331">
              <w:rPr>
                <w:rFonts w:ascii="Book Antiqua" w:hAnsi="Book Antiqua" w:cs="Arial"/>
                <w:b/>
                <w:bCs/>
                <w:color w:val="000000"/>
                <w:sz w:val="22"/>
                <w:szCs w:val="22"/>
              </w:rPr>
              <w:t>4,8</w:t>
            </w:r>
          </w:p>
        </w:tc>
        <w:tc>
          <w:tcPr>
            <w:tcW w:w="628" w:type="dxa"/>
            <w:tcBorders>
              <w:top w:val="nil"/>
              <w:left w:val="nil"/>
              <w:bottom w:val="nil"/>
              <w:right w:val="single" w:sz="8" w:space="0" w:color="auto"/>
            </w:tcBorders>
            <w:shd w:val="clear" w:color="auto" w:fill="auto"/>
            <w:noWrap/>
            <w:vAlign w:val="bottom"/>
            <w:hideMark/>
          </w:tcPr>
          <w:p w:rsidR="00EE4CBF" w:rsidRPr="00240331" w:rsidRDefault="00EE4CBF" w:rsidP="0083424B">
            <w:pPr>
              <w:jc w:val="right"/>
              <w:rPr>
                <w:rFonts w:ascii="Book Antiqua" w:hAnsi="Book Antiqua"/>
                <w:b/>
                <w:bCs/>
                <w:color w:val="000000"/>
              </w:rPr>
            </w:pPr>
            <w:r w:rsidRPr="00240331">
              <w:rPr>
                <w:rFonts w:ascii="Book Antiqua" w:hAnsi="Book Antiqua" w:cs="Arial"/>
                <w:b/>
                <w:bCs/>
                <w:color w:val="000000"/>
                <w:sz w:val="22"/>
                <w:szCs w:val="22"/>
              </w:rPr>
              <w:t>0,3</w:t>
            </w:r>
          </w:p>
        </w:tc>
      </w:tr>
      <w:tr w:rsidR="00EE4CBF" w:rsidRPr="00240331" w:rsidTr="0083424B">
        <w:trPr>
          <w:trHeight w:val="300"/>
        </w:trPr>
        <w:tc>
          <w:tcPr>
            <w:tcW w:w="5818" w:type="dxa"/>
            <w:vMerge w:val="restart"/>
            <w:tcBorders>
              <w:top w:val="nil"/>
              <w:left w:val="single" w:sz="8" w:space="0" w:color="auto"/>
              <w:bottom w:val="nil"/>
              <w:right w:val="single" w:sz="8" w:space="0" w:color="auto"/>
            </w:tcBorders>
            <w:shd w:val="clear" w:color="auto" w:fill="auto"/>
            <w:vAlign w:val="center"/>
            <w:hideMark/>
          </w:tcPr>
          <w:p w:rsidR="00EE4CBF" w:rsidRPr="00240331" w:rsidRDefault="00EE4CBF" w:rsidP="0083424B">
            <w:pPr>
              <w:rPr>
                <w:rFonts w:ascii="Book Antiqua" w:hAnsi="Book Antiqua"/>
                <w:b/>
                <w:bCs/>
                <w:color w:val="000000"/>
              </w:rPr>
            </w:pPr>
            <w:r w:rsidRPr="00240331">
              <w:rPr>
                <w:rFonts w:ascii="Book Antiqua" w:hAnsi="Book Antiqua"/>
                <w:b/>
                <w:bCs/>
                <w:color w:val="000000"/>
                <w:sz w:val="22"/>
                <w:szCs w:val="22"/>
              </w:rPr>
              <w:t>Dépenses de consommation finale des Administrations pub.</w:t>
            </w:r>
          </w:p>
        </w:tc>
        <w:tc>
          <w:tcPr>
            <w:tcW w:w="1003" w:type="dxa"/>
            <w:vMerge w:val="restart"/>
            <w:tcBorders>
              <w:top w:val="nil"/>
              <w:left w:val="single" w:sz="8" w:space="0" w:color="auto"/>
              <w:bottom w:val="nil"/>
              <w:right w:val="single" w:sz="8" w:space="0" w:color="auto"/>
            </w:tcBorders>
            <w:shd w:val="clear" w:color="auto" w:fill="auto"/>
            <w:vAlign w:val="center"/>
            <w:hideMark/>
          </w:tcPr>
          <w:p w:rsidR="00EE4CBF" w:rsidRPr="00240331" w:rsidRDefault="00EE4CBF" w:rsidP="0083424B">
            <w:pPr>
              <w:jc w:val="right"/>
              <w:rPr>
                <w:rFonts w:ascii="Book Antiqua" w:hAnsi="Book Antiqua"/>
                <w:b/>
                <w:bCs/>
                <w:color w:val="000000"/>
              </w:rPr>
            </w:pPr>
            <w:r w:rsidRPr="00240331">
              <w:rPr>
                <w:rFonts w:ascii="Book Antiqua" w:hAnsi="Book Antiqua" w:cs="Arial"/>
                <w:b/>
                <w:bCs/>
                <w:color w:val="000000"/>
                <w:sz w:val="22"/>
                <w:szCs w:val="22"/>
              </w:rPr>
              <w:t>5,8</w:t>
            </w:r>
          </w:p>
        </w:tc>
        <w:tc>
          <w:tcPr>
            <w:tcW w:w="1171" w:type="dxa"/>
            <w:vMerge w:val="restart"/>
            <w:tcBorders>
              <w:top w:val="nil"/>
              <w:left w:val="single" w:sz="8" w:space="0" w:color="auto"/>
              <w:bottom w:val="nil"/>
              <w:right w:val="single" w:sz="8" w:space="0" w:color="auto"/>
            </w:tcBorders>
            <w:shd w:val="clear" w:color="auto" w:fill="auto"/>
            <w:noWrap/>
            <w:vAlign w:val="center"/>
            <w:hideMark/>
          </w:tcPr>
          <w:p w:rsidR="00EE4CBF" w:rsidRPr="00240331" w:rsidRDefault="00EE4CBF" w:rsidP="0083424B">
            <w:pPr>
              <w:jc w:val="right"/>
              <w:rPr>
                <w:rFonts w:ascii="Book Antiqua" w:hAnsi="Book Antiqua"/>
                <w:b/>
                <w:bCs/>
                <w:color w:val="000000"/>
              </w:rPr>
            </w:pPr>
            <w:r w:rsidRPr="00240331">
              <w:rPr>
                <w:rFonts w:ascii="Book Antiqua" w:hAnsi="Book Antiqua" w:cs="Arial"/>
                <w:b/>
                <w:bCs/>
                <w:color w:val="000000"/>
                <w:sz w:val="22"/>
                <w:szCs w:val="22"/>
              </w:rPr>
              <w:t>5,7</w:t>
            </w:r>
          </w:p>
        </w:tc>
        <w:tc>
          <w:tcPr>
            <w:tcW w:w="628" w:type="dxa"/>
            <w:vMerge w:val="restart"/>
            <w:tcBorders>
              <w:top w:val="nil"/>
              <w:left w:val="single" w:sz="8" w:space="0" w:color="auto"/>
              <w:bottom w:val="nil"/>
              <w:right w:val="single" w:sz="8" w:space="0" w:color="auto"/>
            </w:tcBorders>
            <w:shd w:val="clear" w:color="auto" w:fill="auto"/>
            <w:noWrap/>
            <w:vAlign w:val="center"/>
            <w:hideMark/>
          </w:tcPr>
          <w:p w:rsidR="00EE4CBF" w:rsidRPr="00240331" w:rsidRDefault="00EE4CBF" w:rsidP="0083424B">
            <w:pPr>
              <w:jc w:val="right"/>
              <w:rPr>
                <w:rFonts w:ascii="Book Antiqua" w:hAnsi="Book Antiqua"/>
                <w:b/>
                <w:bCs/>
                <w:color w:val="000000"/>
              </w:rPr>
            </w:pPr>
            <w:r w:rsidRPr="00240331">
              <w:rPr>
                <w:rFonts w:ascii="Book Antiqua" w:hAnsi="Book Antiqua" w:cs="Arial"/>
                <w:b/>
                <w:bCs/>
                <w:color w:val="000000"/>
                <w:sz w:val="22"/>
                <w:szCs w:val="22"/>
              </w:rPr>
              <w:t>0,1</w:t>
            </w:r>
          </w:p>
        </w:tc>
      </w:tr>
      <w:tr w:rsidR="00EE4CBF" w:rsidRPr="00240331" w:rsidTr="0083424B">
        <w:trPr>
          <w:trHeight w:val="300"/>
        </w:trPr>
        <w:tc>
          <w:tcPr>
            <w:tcW w:w="5818" w:type="dxa"/>
            <w:vMerge/>
            <w:tcBorders>
              <w:top w:val="nil"/>
              <w:left w:val="single" w:sz="8" w:space="0" w:color="auto"/>
              <w:bottom w:val="nil"/>
              <w:right w:val="single" w:sz="8" w:space="0" w:color="auto"/>
            </w:tcBorders>
            <w:vAlign w:val="center"/>
            <w:hideMark/>
          </w:tcPr>
          <w:p w:rsidR="00EE4CBF" w:rsidRPr="00240331" w:rsidRDefault="00EE4CBF" w:rsidP="0083424B">
            <w:pPr>
              <w:rPr>
                <w:rFonts w:ascii="Book Antiqua" w:hAnsi="Book Antiqua"/>
                <w:b/>
                <w:bCs/>
                <w:color w:val="000000"/>
              </w:rPr>
            </w:pPr>
          </w:p>
        </w:tc>
        <w:tc>
          <w:tcPr>
            <w:tcW w:w="1003" w:type="dxa"/>
            <w:vMerge/>
            <w:tcBorders>
              <w:top w:val="nil"/>
              <w:left w:val="single" w:sz="8" w:space="0" w:color="auto"/>
              <w:bottom w:val="nil"/>
              <w:right w:val="single" w:sz="8" w:space="0" w:color="auto"/>
            </w:tcBorders>
            <w:vAlign w:val="center"/>
            <w:hideMark/>
          </w:tcPr>
          <w:p w:rsidR="00EE4CBF" w:rsidRPr="00240331" w:rsidRDefault="00EE4CBF" w:rsidP="0083424B">
            <w:pPr>
              <w:rPr>
                <w:rFonts w:ascii="Book Antiqua" w:hAnsi="Book Antiqua"/>
                <w:b/>
                <w:bCs/>
                <w:color w:val="000000"/>
              </w:rPr>
            </w:pPr>
          </w:p>
        </w:tc>
        <w:tc>
          <w:tcPr>
            <w:tcW w:w="1171" w:type="dxa"/>
            <w:vMerge/>
            <w:tcBorders>
              <w:top w:val="nil"/>
              <w:left w:val="single" w:sz="8" w:space="0" w:color="auto"/>
              <w:bottom w:val="nil"/>
              <w:right w:val="single" w:sz="8" w:space="0" w:color="auto"/>
            </w:tcBorders>
            <w:vAlign w:val="center"/>
            <w:hideMark/>
          </w:tcPr>
          <w:p w:rsidR="00EE4CBF" w:rsidRPr="00240331" w:rsidRDefault="00EE4CBF" w:rsidP="0083424B">
            <w:pPr>
              <w:rPr>
                <w:rFonts w:ascii="Book Antiqua" w:hAnsi="Book Antiqua"/>
                <w:b/>
                <w:bCs/>
                <w:color w:val="000000"/>
              </w:rPr>
            </w:pPr>
          </w:p>
        </w:tc>
        <w:tc>
          <w:tcPr>
            <w:tcW w:w="628" w:type="dxa"/>
            <w:vMerge/>
            <w:tcBorders>
              <w:top w:val="nil"/>
              <w:left w:val="single" w:sz="8" w:space="0" w:color="auto"/>
              <w:bottom w:val="nil"/>
              <w:right w:val="single" w:sz="8" w:space="0" w:color="auto"/>
            </w:tcBorders>
            <w:vAlign w:val="center"/>
            <w:hideMark/>
          </w:tcPr>
          <w:p w:rsidR="00EE4CBF" w:rsidRPr="00240331" w:rsidRDefault="00EE4CBF" w:rsidP="0083424B">
            <w:pPr>
              <w:rPr>
                <w:rFonts w:ascii="Book Antiqua" w:hAnsi="Book Antiqua"/>
                <w:b/>
                <w:bCs/>
                <w:color w:val="000000"/>
              </w:rPr>
            </w:pPr>
          </w:p>
        </w:tc>
      </w:tr>
      <w:tr w:rsidR="00EE4CBF" w:rsidRPr="00240331" w:rsidTr="0083424B">
        <w:trPr>
          <w:trHeight w:val="300"/>
        </w:trPr>
        <w:tc>
          <w:tcPr>
            <w:tcW w:w="5818" w:type="dxa"/>
            <w:tcBorders>
              <w:top w:val="nil"/>
              <w:left w:val="single" w:sz="8" w:space="0" w:color="auto"/>
              <w:bottom w:val="nil"/>
              <w:right w:val="single" w:sz="8" w:space="0" w:color="auto"/>
            </w:tcBorders>
            <w:shd w:val="clear" w:color="auto" w:fill="auto"/>
            <w:noWrap/>
            <w:vAlign w:val="bottom"/>
            <w:hideMark/>
          </w:tcPr>
          <w:p w:rsidR="00EE4CBF" w:rsidRPr="00240331" w:rsidRDefault="00EE4CBF" w:rsidP="0083424B">
            <w:pPr>
              <w:rPr>
                <w:rFonts w:ascii="Book Antiqua" w:hAnsi="Book Antiqua"/>
                <w:b/>
                <w:bCs/>
                <w:color w:val="000000"/>
              </w:rPr>
            </w:pPr>
            <w:r w:rsidRPr="00240331">
              <w:rPr>
                <w:rFonts w:ascii="Book Antiqua" w:hAnsi="Book Antiqua"/>
                <w:b/>
                <w:bCs/>
                <w:color w:val="000000"/>
                <w:sz w:val="22"/>
                <w:szCs w:val="22"/>
              </w:rPr>
              <w:t>Formation brute de capital fixe</w:t>
            </w:r>
          </w:p>
        </w:tc>
        <w:tc>
          <w:tcPr>
            <w:tcW w:w="1003" w:type="dxa"/>
            <w:tcBorders>
              <w:top w:val="nil"/>
              <w:left w:val="nil"/>
              <w:bottom w:val="nil"/>
              <w:right w:val="nil"/>
            </w:tcBorders>
            <w:shd w:val="clear" w:color="auto" w:fill="auto"/>
            <w:vAlign w:val="bottom"/>
            <w:hideMark/>
          </w:tcPr>
          <w:p w:rsidR="00EE4CBF" w:rsidRPr="00240331" w:rsidRDefault="00EE4CBF" w:rsidP="0083424B">
            <w:pPr>
              <w:jc w:val="right"/>
              <w:rPr>
                <w:rFonts w:ascii="Book Antiqua" w:hAnsi="Book Antiqua"/>
                <w:b/>
                <w:bCs/>
                <w:color w:val="000000"/>
              </w:rPr>
            </w:pPr>
            <w:r w:rsidRPr="00240331">
              <w:rPr>
                <w:rFonts w:ascii="Book Antiqua" w:hAnsi="Book Antiqua" w:cs="Arial"/>
                <w:b/>
                <w:bCs/>
                <w:color w:val="000000"/>
                <w:sz w:val="22"/>
                <w:szCs w:val="22"/>
              </w:rPr>
              <w:t>4,5</w:t>
            </w:r>
          </w:p>
        </w:tc>
        <w:tc>
          <w:tcPr>
            <w:tcW w:w="1171" w:type="dxa"/>
            <w:tcBorders>
              <w:top w:val="nil"/>
              <w:left w:val="single" w:sz="8" w:space="0" w:color="auto"/>
              <w:bottom w:val="nil"/>
              <w:right w:val="single" w:sz="8" w:space="0" w:color="auto"/>
            </w:tcBorders>
            <w:shd w:val="clear" w:color="auto" w:fill="auto"/>
            <w:noWrap/>
            <w:vAlign w:val="bottom"/>
            <w:hideMark/>
          </w:tcPr>
          <w:p w:rsidR="00EE4CBF" w:rsidRPr="00240331" w:rsidRDefault="00EE4CBF" w:rsidP="0083424B">
            <w:pPr>
              <w:jc w:val="right"/>
              <w:rPr>
                <w:rFonts w:ascii="Book Antiqua" w:hAnsi="Book Antiqua"/>
                <w:b/>
                <w:bCs/>
                <w:color w:val="000000"/>
              </w:rPr>
            </w:pPr>
            <w:r w:rsidRPr="00240331">
              <w:rPr>
                <w:rFonts w:ascii="Book Antiqua" w:hAnsi="Book Antiqua" w:cs="Arial"/>
                <w:b/>
                <w:bCs/>
                <w:color w:val="000000"/>
                <w:sz w:val="22"/>
                <w:szCs w:val="22"/>
              </w:rPr>
              <w:t>3,5</w:t>
            </w:r>
          </w:p>
        </w:tc>
        <w:tc>
          <w:tcPr>
            <w:tcW w:w="628" w:type="dxa"/>
            <w:tcBorders>
              <w:top w:val="nil"/>
              <w:left w:val="nil"/>
              <w:bottom w:val="nil"/>
              <w:right w:val="single" w:sz="8" w:space="0" w:color="auto"/>
            </w:tcBorders>
            <w:shd w:val="clear" w:color="auto" w:fill="auto"/>
            <w:noWrap/>
            <w:vAlign w:val="bottom"/>
            <w:hideMark/>
          </w:tcPr>
          <w:p w:rsidR="00EE4CBF" w:rsidRPr="00240331" w:rsidRDefault="00EE4CBF" w:rsidP="0083424B">
            <w:pPr>
              <w:jc w:val="right"/>
              <w:rPr>
                <w:rFonts w:ascii="Book Antiqua" w:hAnsi="Book Antiqua"/>
                <w:b/>
                <w:bCs/>
                <w:color w:val="000000"/>
              </w:rPr>
            </w:pPr>
            <w:r w:rsidRPr="00240331">
              <w:rPr>
                <w:rFonts w:ascii="Book Antiqua" w:hAnsi="Book Antiqua" w:cs="Arial"/>
                <w:b/>
                <w:bCs/>
                <w:color w:val="000000"/>
                <w:sz w:val="22"/>
                <w:szCs w:val="22"/>
              </w:rPr>
              <w:t>1</w:t>
            </w:r>
          </w:p>
        </w:tc>
      </w:tr>
      <w:tr w:rsidR="00EE4CBF" w:rsidRPr="00240331" w:rsidTr="0083424B">
        <w:trPr>
          <w:trHeight w:val="315"/>
        </w:trPr>
        <w:tc>
          <w:tcPr>
            <w:tcW w:w="5818" w:type="dxa"/>
            <w:tcBorders>
              <w:top w:val="nil"/>
              <w:left w:val="single" w:sz="8" w:space="0" w:color="auto"/>
              <w:bottom w:val="single" w:sz="8" w:space="0" w:color="auto"/>
              <w:right w:val="single" w:sz="8" w:space="0" w:color="auto"/>
            </w:tcBorders>
            <w:shd w:val="clear" w:color="auto" w:fill="auto"/>
            <w:noWrap/>
            <w:vAlign w:val="bottom"/>
            <w:hideMark/>
          </w:tcPr>
          <w:p w:rsidR="00EE4CBF" w:rsidRPr="00240331" w:rsidRDefault="00EE4CBF" w:rsidP="0083424B">
            <w:pPr>
              <w:rPr>
                <w:rFonts w:ascii="Book Antiqua" w:hAnsi="Book Antiqua"/>
                <w:b/>
                <w:bCs/>
                <w:color w:val="000000"/>
              </w:rPr>
            </w:pPr>
            <w:r w:rsidRPr="00240331">
              <w:rPr>
                <w:rFonts w:ascii="Book Antiqua" w:hAnsi="Book Antiqua"/>
                <w:b/>
                <w:bCs/>
                <w:color w:val="000000"/>
                <w:sz w:val="22"/>
                <w:szCs w:val="22"/>
              </w:rPr>
              <w:t>Exportations de biens et services</w:t>
            </w:r>
          </w:p>
        </w:tc>
        <w:tc>
          <w:tcPr>
            <w:tcW w:w="1003" w:type="dxa"/>
            <w:tcBorders>
              <w:top w:val="nil"/>
              <w:left w:val="nil"/>
              <w:bottom w:val="single" w:sz="8" w:space="0" w:color="auto"/>
              <w:right w:val="nil"/>
            </w:tcBorders>
            <w:shd w:val="clear" w:color="auto" w:fill="auto"/>
            <w:vAlign w:val="bottom"/>
            <w:hideMark/>
          </w:tcPr>
          <w:p w:rsidR="00EE4CBF" w:rsidRPr="00240331" w:rsidRDefault="00EE4CBF" w:rsidP="0083424B">
            <w:pPr>
              <w:jc w:val="right"/>
              <w:rPr>
                <w:rFonts w:ascii="Book Antiqua" w:hAnsi="Book Antiqua"/>
                <w:b/>
                <w:bCs/>
                <w:color w:val="000000"/>
              </w:rPr>
            </w:pPr>
            <w:r w:rsidRPr="00240331">
              <w:rPr>
                <w:rFonts w:ascii="Book Antiqua" w:hAnsi="Book Antiqua" w:cs="Arial"/>
                <w:b/>
                <w:bCs/>
                <w:color w:val="000000"/>
                <w:sz w:val="22"/>
                <w:szCs w:val="22"/>
              </w:rPr>
              <w:t>2,9</w:t>
            </w:r>
          </w:p>
        </w:tc>
        <w:tc>
          <w:tcPr>
            <w:tcW w:w="1171" w:type="dxa"/>
            <w:tcBorders>
              <w:top w:val="nil"/>
              <w:left w:val="single" w:sz="8" w:space="0" w:color="auto"/>
              <w:bottom w:val="single" w:sz="8" w:space="0" w:color="auto"/>
              <w:right w:val="single" w:sz="8" w:space="0" w:color="auto"/>
            </w:tcBorders>
            <w:shd w:val="clear" w:color="auto" w:fill="auto"/>
            <w:noWrap/>
            <w:vAlign w:val="bottom"/>
            <w:hideMark/>
          </w:tcPr>
          <w:p w:rsidR="00EE4CBF" w:rsidRPr="00240331" w:rsidRDefault="00EE4CBF" w:rsidP="0083424B">
            <w:pPr>
              <w:jc w:val="right"/>
              <w:rPr>
                <w:rFonts w:ascii="Book Antiqua" w:hAnsi="Book Antiqua"/>
                <w:b/>
                <w:bCs/>
                <w:color w:val="000000"/>
              </w:rPr>
            </w:pPr>
            <w:r w:rsidRPr="00240331">
              <w:rPr>
                <w:rFonts w:ascii="Book Antiqua" w:hAnsi="Book Antiqua" w:cs="Arial"/>
                <w:b/>
                <w:bCs/>
                <w:color w:val="000000"/>
                <w:sz w:val="22"/>
                <w:szCs w:val="22"/>
              </w:rPr>
              <w:t>2,8</w:t>
            </w:r>
          </w:p>
        </w:tc>
        <w:tc>
          <w:tcPr>
            <w:tcW w:w="628" w:type="dxa"/>
            <w:tcBorders>
              <w:top w:val="nil"/>
              <w:left w:val="nil"/>
              <w:bottom w:val="single" w:sz="8" w:space="0" w:color="auto"/>
              <w:right w:val="single" w:sz="8" w:space="0" w:color="auto"/>
            </w:tcBorders>
            <w:shd w:val="clear" w:color="auto" w:fill="auto"/>
            <w:noWrap/>
            <w:vAlign w:val="bottom"/>
            <w:hideMark/>
          </w:tcPr>
          <w:p w:rsidR="00EE4CBF" w:rsidRPr="00240331" w:rsidRDefault="00EE4CBF" w:rsidP="0083424B">
            <w:pPr>
              <w:jc w:val="right"/>
              <w:rPr>
                <w:rFonts w:ascii="Book Antiqua" w:hAnsi="Book Antiqua"/>
                <w:b/>
                <w:bCs/>
                <w:color w:val="000000"/>
              </w:rPr>
            </w:pPr>
            <w:r w:rsidRPr="00240331">
              <w:rPr>
                <w:rFonts w:ascii="Book Antiqua" w:hAnsi="Book Antiqua" w:cs="Arial"/>
                <w:b/>
                <w:bCs/>
                <w:color w:val="000000"/>
                <w:sz w:val="22"/>
                <w:szCs w:val="22"/>
              </w:rPr>
              <w:t>0,1</w:t>
            </w:r>
          </w:p>
        </w:tc>
      </w:tr>
    </w:tbl>
    <w:p w:rsidR="00EE4CBF" w:rsidRDefault="00EE4CBF" w:rsidP="00EE4CBF">
      <w:pPr>
        <w:rPr>
          <w:rFonts w:ascii="Book Antiqua" w:hAnsi="Book Antiqua"/>
        </w:rPr>
      </w:pPr>
    </w:p>
    <w:p w:rsidR="00EE4CBF" w:rsidRDefault="00EE4CBF" w:rsidP="00EE4CBF">
      <w:pPr>
        <w:rPr>
          <w:rFonts w:ascii="Book Antiqua" w:hAnsi="Book Antiqua"/>
        </w:rPr>
      </w:pPr>
    </w:p>
    <w:p w:rsidR="00EE4CBF" w:rsidRDefault="00EE4CBF" w:rsidP="00EE4CBF">
      <w:pPr>
        <w:rPr>
          <w:rFonts w:ascii="Book Antiqua" w:hAnsi="Book Antiqua"/>
        </w:rPr>
      </w:pPr>
    </w:p>
    <w:p w:rsidR="00EE4CBF" w:rsidRDefault="00EE4CBF" w:rsidP="00EE4CBF">
      <w:pPr>
        <w:rPr>
          <w:rFonts w:ascii="Book Antiqua" w:hAnsi="Book Antiqua"/>
        </w:rPr>
      </w:pPr>
    </w:p>
    <w:p w:rsidR="00EE4CBF" w:rsidRDefault="00EE4CBF" w:rsidP="00EE4CBF">
      <w:pPr>
        <w:rPr>
          <w:rFonts w:ascii="Book Antiqua" w:hAnsi="Book Antiqua"/>
        </w:rPr>
      </w:pPr>
    </w:p>
    <w:p w:rsidR="00EE4CBF" w:rsidRDefault="00EE4CBF" w:rsidP="00EE4CBF">
      <w:pPr>
        <w:rPr>
          <w:rFonts w:ascii="Book Antiqua" w:hAnsi="Book Antiqua"/>
        </w:rPr>
      </w:pPr>
    </w:p>
    <w:p w:rsidR="00EE4CBF" w:rsidRDefault="00EE4CBF" w:rsidP="00EE4CBF">
      <w:pPr>
        <w:rPr>
          <w:rFonts w:ascii="Book Antiqua" w:hAnsi="Book Antiqua"/>
        </w:rPr>
      </w:pPr>
    </w:p>
    <w:p w:rsidR="00EE4CBF" w:rsidRDefault="00EE4CBF" w:rsidP="00EE4CBF">
      <w:pPr>
        <w:rPr>
          <w:rFonts w:ascii="Book Antiqua" w:hAnsi="Book Antiqua"/>
        </w:rPr>
      </w:pPr>
    </w:p>
    <w:p w:rsidR="00EE4CBF" w:rsidRDefault="00EE4CBF" w:rsidP="00EE4CBF">
      <w:pPr>
        <w:rPr>
          <w:rFonts w:ascii="Book Antiqua" w:hAnsi="Book Antiqua"/>
        </w:rPr>
      </w:pPr>
    </w:p>
    <w:p w:rsidR="00EE4CBF" w:rsidRDefault="00EE4CBF" w:rsidP="00EE4CBF">
      <w:pPr>
        <w:rPr>
          <w:rFonts w:ascii="Book Antiqua" w:hAnsi="Book Antiqua"/>
        </w:rPr>
      </w:pPr>
    </w:p>
    <w:p w:rsidR="00EE4CBF" w:rsidRDefault="00EE4CBF" w:rsidP="00EE4CBF">
      <w:pPr>
        <w:rPr>
          <w:rFonts w:ascii="Book Antiqua" w:hAnsi="Book Antiqua"/>
        </w:rPr>
      </w:pPr>
    </w:p>
    <w:sectPr w:rsidR="00EE4CBF" w:rsidSect="005F4B8E">
      <w:footerReference w:type="even" r:id="rId7"/>
      <w:footerReference w:type="default" r:id="rId8"/>
      <w:headerReference w:type="first" r:id="rId9"/>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838" w:rsidRDefault="00AB2838">
      <w:r>
        <w:separator/>
      </w:r>
    </w:p>
  </w:endnote>
  <w:endnote w:type="continuationSeparator" w:id="0">
    <w:p w:rsidR="00AB2838" w:rsidRDefault="00AB28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C32279" w:rsidP="00CB05C8">
    <w:pPr>
      <w:pStyle w:val="Pieddepage"/>
      <w:framePr w:wrap="around" w:vAnchor="text" w:hAnchor="margin" w:xAlign="center" w:y="1"/>
      <w:rPr>
        <w:rStyle w:val="Numrodepage"/>
      </w:rPr>
    </w:pPr>
    <w:r>
      <w:rPr>
        <w:rStyle w:val="Numrodepage"/>
      </w:rPr>
      <w:fldChar w:fldCharType="begin"/>
    </w:r>
    <w:r w:rsidR="00AE3BF1">
      <w:rPr>
        <w:rStyle w:val="Numrodepage"/>
      </w:rPr>
      <w:instrText xml:space="preserve">PAGE  </w:instrText>
    </w:r>
    <w:r>
      <w:rPr>
        <w:rStyle w:val="Numrodepage"/>
      </w:rPr>
      <w:fldChar w:fldCharType="end"/>
    </w:r>
  </w:p>
  <w:p w:rsidR="00AE3BF1" w:rsidRDefault="00AE3BF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94F" w:rsidRDefault="00C32279">
    <w:pPr>
      <w:pStyle w:val="Pieddepage"/>
      <w:jc w:val="center"/>
    </w:pPr>
    <w:fldSimple w:instr=" PAGE   \* MERGEFORMAT ">
      <w:r w:rsidR="00783EE6">
        <w:rPr>
          <w:noProof/>
        </w:rPr>
        <w:t>10</w:t>
      </w:r>
    </w:fldSimple>
  </w:p>
  <w:p w:rsidR="00AE3BF1" w:rsidRDefault="00AE3BF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838" w:rsidRDefault="00AB2838">
      <w:r>
        <w:separator/>
      </w:r>
    </w:p>
  </w:footnote>
  <w:footnote w:type="continuationSeparator" w:id="0">
    <w:p w:rsidR="00AB2838" w:rsidRDefault="00AB28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BC0126">
    <w:pPr>
      <w:pStyle w:val="En-tte"/>
    </w:pPr>
    <w:r>
      <w:rPr>
        <w:noProof/>
      </w:rPr>
      <w:drawing>
        <wp:anchor distT="0" distB="0" distL="114300" distR="114300" simplePos="0" relativeHeight="251657728" behindDoc="0" locked="0" layoutInCell="1" allowOverlap="1">
          <wp:simplePos x="0" y="0"/>
          <wp:positionH relativeFrom="column">
            <wp:posOffset>-1329690</wp:posOffset>
          </wp:positionH>
          <wp:positionV relativeFrom="paragraph">
            <wp:posOffset>-401955</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24B163E1"/>
    <w:multiLevelType w:val="hybridMultilevel"/>
    <w:tmpl w:val="BDC028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2855EC2"/>
    <w:multiLevelType w:val="hybridMultilevel"/>
    <w:tmpl w:val="06D460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D2256AC"/>
    <w:multiLevelType w:val="hybridMultilevel"/>
    <w:tmpl w:val="A26693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6D0B0BBA"/>
    <w:multiLevelType w:val="hybridMultilevel"/>
    <w:tmpl w:val="EBF6C800"/>
    <w:lvl w:ilvl="0" w:tplc="39EEC818">
      <w:start w:val="1"/>
      <w:numFmt w:val="bullet"/>
      <w:lvlText w:val="-"/>
      <w:lvlJc w:val="left"/>
      <w:pPr>
        <w:ind w:left="720" w:hanging="360"/>
      </w:pPr>
      <w:rPr>
        <w:rFonts w:ascii="Georgia" w:eastAsia="Calibri" w:hAnsi="Georgi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6"/>
  </w:num>
  <w:num w:numId="4">
    <w:abstractNumId w:val="2"/>
  </w:num>
  <w:num w:numId="5">
    <w:abstractNumId w:val="1"/>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savePreviewPicture/>
  <w:hdrShapeDefaults>
    <o:shapedefaults v:ext="edit" spidmax="12290"/>
  </w:hdrShapeDefaults>
  <w:footnotePr>
    <w:footnote w:id="-1"/>
    <w:footnote w:id="0"/>
  </w:footnotePr>
  <w:endnotePr>
    <w:endnote w:id="-1"/>
    <w:endnote w:id="0"/>
  </w:endnotePr>
  <w:compat/>
  <w:rsids>
    <w:rsidRoot w:val="00A7067D"/>
    <w:rsid w:val="000025B3"/>
    <w:rsid w:val="0001390E"/>
    <w:rsid w:val="00013A7F"/>
    <w:rsid w:val="00013C22"/>
    <w:rsid w:val="000152BC"/>
    <w:rsid w:val="00015C79"/>
    <w:rsid w:val="000205FA"/>
    <w:rsid w:val="00024095"/>
    <w:rsid w:val="00027850"/>
    <w:rsid w:val="00050A6E"/>
    <w:rsid w:val="000554EE"/>
    <w:rsid w:val="00060321"/>
    <w:rsid w:val="00064386"/>
    <w:rsid w:val="0006553F"/>
    <w:rsid w:val="00070037"/>
    <w:rsid w:val="00081BE5"/>
    <w:rsid w:val="00085E86"/>
    <w:rsid w:val="000A3BE9"/>
    <w:rsid w:val="000A4F68"/>
    <w:rsid w:val="000B2A3E"/>
    <w:rsid w:val="000C1A52"/>
    <w:rsid w:val="000C5E54"/>
    <w:rsid w:val="000C7682"/>
    <w:rsid w:val="000D25AF"/>
    <w:rsid w:val="000E21D3"/>
    <w:rsid w:val="000E7503"/>
    <w:rsid w:val="00100AF5"/>
    <w:rsid w:val="00102905"/>
    <w:rsid w:val="001063C7"/>
    <w:rsid w:val="00107113"/>
    <w:rsid w:val="00114C7E"/>
    <w:rsid w:val="00116B4A"/>
    <w:rsid w:val="00120AF1"/>
    <w:rsid w:val="0012265F"/>
    <w:rsid w:val="00134C04"/>
    <w:rsid w:val="00137652"/>
    <w:rsid w:val="001379C2"/>
    <w:rsid w:val="001437B0"/>
    <w:rsid w:val="00153DC3"/>
    <w:rsid w:val="00155095"/>
    <w:rsid w:val="00155EBB"/>
    <w:rsid w:val="001630F0"/>
    <w:rsid w:val="0016363C"/>
    <w:rsid w:val="001640AC"/>
    <w:rsid w:val="00173DF2"/>
    <w:rsid w:val="00174719"/>
    <w:rsid w:val="00176CC0"/>
    <w:rsid w:val="00177EC0"/>
    <w:rsid w:val="00181EFF"/>
    <w:rsid w:val="0018347F"/>
    <w:rsid w:val="00192E58"/>
    <w:rsid w:val="001A1A9C"/>
    <w:rsid w:val="001A7093"/>
    <w:rsid w:val="001C2C70"/>
    <w:rsid w:val="001C3920"/>
    <w:rsid w:val="001C4BE1"/>
    <w:rsid w:val="001D07F7"/>
    <w:rsid w:val="001D0B13"/>
    <w:rsid w:val="001D34E6"/>
    <w:rsid w:val="001D57E1"/>
    <w:rsid w:val="001E05D5"/>
    <w:rsid w:val="001F1343"/>
    <w:rsid w:val="001F3482"/>
    <w:rsid w:val="001F4836"/>
    <w:rsid w:val="001F6AD9"/>
    <w:rsid w:val="00201A8E"/>
    <w:rsid w:val="00205A6A"/>
    <w:rsid w:val="00206659"/>
    <w:rsid w:val="0021074D"/>
    <w:rsid w:val="002139B6"/>
    <w:rsid w:val="00220DF6"/>
    <w:rsid w:val="0022299E"/>
    <w:rsid w:val="00224F98"/>
    <w:rsid w:val="0022597E"/>
    <w:rsid w:val="0023043F"/>
    <w:rsid w:val="00242C76"/>
    <w:rsid w:val="00242CBE"/>
    <w:rsid w:val="002443AA"/>
    <w:rsid w:val="0024586A"/>
    <w:rsid w:val="00256291"/>
    <w:rsid w:val="002603C8"/>
    <w:rsid w:val="00262AA7"/>
    <w:rsid w:val="00264343"/>
    <w:rsid w:val="00264D30"/>
    <w:rsid w:val="00271922"/>
    <w:rsid w:val="00272A85"/>
    <w:rsid w:val="0028585A"/>
    <w:rsid w:val="00286F23"/>
    <w:rsid w:val="00290B88"/>
    <w:rsid w:val="002A281B"/>
    <w:rsid w:val="002A2CBB"/>
    <w:rsid w:val="002A5A7C"/>
    <w:rsid w:val="002A688F"/>
    <w:rsid w:val="002C02CC"/>
    <w:rsid w:val="002C09B2"/>
    <w:rsid w:val="002C6433"/>
    <w:rsid w:val="002D022C"/>
    <w:rsid w:val="002D3BD2"/>
    <w:rsid w:val="002D49EF"/>
    <w:rsid w:val="002F3B72"/>
    <w:rsid w:val="0030605C"/>
    <w:rsid w:val="003121A0"/>
    <w:rsid w:val="00314191"/>
    <w:rsid w:val="00316A57"/>
    <w:rsid w:val="0031735D"/>
    <w:rsid w:val="003243B5"/>
    <w:rsid w:val="003258CD"/>
    <w:rsid w:val="00326824"/>
    <w:rsid w:val="00327972"/>
    <w:rsid w:val="003347C0"/>
    <w:rsid w:val="0033724B"/>
    <w:rsid w:val="00341BE6"/>
    <w:rsid w:val="00346F33"/>
    <w:rsid w:val="00351D4C"/>
    <w:rsid w:val="00352576"/>
    <w:rsid w:val="003557D2"/>
    <w:rsid w:val="003671BE"/>
    <w:rsid w:val="00376C2C"/>
    <w:rsid w:val="00376C4A"/>
    <w:rsid w:val="00380903"/>
    <w:rsid w:val="00385013"/>
    <w:rsid w:val="0038779B"/>
    <w:rsid w:val="0039063A"/>
    <w:rsid w:val="00393B90"/>
    <w:rsid w:val="00393EF8"/>
    <w:rsid w:val="003A14B5"/>
    <w:rsid w:val="003A5CB2"/>
    <w:rsid w:val="003A7F1C"/>
    <w:rsid w:val="003B7C9A"/>
    <w:rsid w:val="003C357A"/>
    <w:rsid w:val="003E5DDB"/>
    <w:rsid w:val="003F28EA"/>
    <w:rsid w:val="003F445E"/>
    <w:rsid w:val="00401D3E"/>
    <w:rsid w:val="0040201B"/>
    <w:rsid w:val="00403A20"/>
    <w:rsid w:val="004275D6"/>
    <w:rsid w:val="00446DB7"/>
    <w:rsid w:val="00447FBC"/>
    <w:rsid w:val="00463599"/>
    <w:rsid w:val="00464561"/>
    <w:rsid w:val="004744FF"/>
    <w:rsid w:val="00481E24"/>
    <w:rsid w:val="00484E8D"/>
    <w:rsid w:val="004A09A1"/>
    <w:rsid w:val="004A1173"/>
    <w:rsid w:val="004A225B"/>
    <w:rsid w:val="004A73C5"/>
    <w:rsid w:val="004B3780"/>
    <w:rsid w:val="004B3B09"/>
    <w:rsid w:val="004B42B1"/>
    <w:rsid w:val="004B4D2F"/>
    <w:rsid w:val="004B5569"/>
    <w:rsid w:val="004B6126"/>
    <w:rsid w:val="004B66EA"/>
    <w:rsid w:val="004C43FD"/>
    <w:rsid w:val="004E36E2"/>
    <w:rsid w:val="004E67F8"/>
    <w:rsid w:val="004F505B"/>
    <w:rsid w:val="004F572F"/>
    <w:rsid w:val="004F57F8"/>
    <w:rsid w:val="00501B3B"/>
    <w:rsid w:val="005052E3"/>
    <w:rsid w:val="005126CC"/>
    <w:rsid w:val="005178FE"/>
    <w:rsid w:val="005256D9"/>
    <w:rsid w:val="0052635A"/>
    <w:rsid w:val="00537897"/>
    <w:rsid w:val="00541C46"/>
    <w:rsid w:val="00542043"/>
    <w:rsid w:val="00542E3A"/>
    <w:rsid w:val="00547ECD"/>
    <w:rsid w:val="00550169"/>
    <w:rsid w:val="005615F3"/>
    <w:rsid w:val="00564120"/>
    <w:rsid w:val="00564AE3"/>
    <w:rsid w:val="0057148E"/>
    <w:rsid w:val="00571918"/>
    <w:rsid w:val="005746EB"/>
    <w:rsid w:val="005754A6"/>
    <w:rsid w:val="005814DE"/>
    <w:rsid w:val="00582403"/>
    <w:rsid w:val="00585A9E"/>
    <w:rsid w:val="00590E1B"/>
    <w:rsid w:val="00594250"/>
    <w:rsid w:val="00594D60"/>
    <w:rsid w:val="00595235"/>
    <w:rsid w:val="005B0675"/>
    <w:rsid w:val="005B3582"/>
    <w:rsid w:val="005B48EA"/>
    <w:rsid w:val="005C28E5"/>
    <w:rsid w:val="005C707A"/>
    <w:rsid w:val="005C7D21"/>
    <w:rsid w:val="005D0550"/>
    <w:rsid w:val="005D14CD"/>
    <w:rsid w:val="005D71A1"/>
    <w:rsid w:val="005D72D0"/>
    <w:rsid w:val="005E3BDC"/>
    <w:rsid w:val="005E4938"/>
    <w:rsid w:val="005F4B8E"/>
    <w:rsid w:val="00604836"/>
    <w:rsid w:val="00610ADF"/>
    <w:rsid w:val="00611B94"/>
    <w:rsid w:val="006139DE"/>
    <w:rsid w:val="0061442D"/>
    <w:rsid w:val="00621F5D"/>
    <w:rsid w:val="00627A37"/>
    <w:rsid w:val="00630E13"/>
    <w:rsid w:val="0063123E"/>
    <w:rsid w:val="00633846"/>
    <w:rsid w:val="00633BBA"/>
    <w:rsid w:val="00635AEC"/>
    <w:rsid w:val="006418B5"/>
    <w:rsid w:val="00650FBE"/>
    <w:rsid w:val="00656EDF"/>
    <w:rsid w:val="00661B0F"/>
    <w:rsid w:val="00665592"/>
    <w:rsid w:val="00667E75"/>
    <w:rsid w:val="00667ECC"/>
    <w:rsid w:val="006707C0"/>
    <w:rsid w:val="006732B3"/>
    <w:rsid w:val="00680061"/>
    <w:rsid w:val="00682878"/>
    <w:rsid w:val="0068506D"/>
    <w:rsid w:val="00687A8F"/>
    <w:rsid w:val="00690CED"/>
    <w:rsid w:val="00692552"/>
    <w:rsid w:val="00692EA7"/>
    <w:rsid w:val="00694FF6"/>
    <w:rsid w:val="00695BAE"/>
    <w:rsid w:val="006A3883"/>
    <w:rsid w:val="006B5F68"/>
    <w:rsid w:val="006D22BC"/>
    <w:rsid w:val="006D4F49"/>
    <w:rsid w:val="006D68DE"/>
    <w:rsid w:val="006D7AEF"/>
    <w:rsid w:val="006D7FA4"/>
    <w:rsid w:val="006E2C7A"/>
    <w:rsid w:val="006E456F"/>
    <w:rsid w:val="006E5679"/>
    <w:rsid w:val="006E7909"/>
    <w:rsid w:val="006F6E1A"/>
    <w:rsid w:val="00700E75"/>
    <w:rsid w:val="007206D4"/>
    <w:rsid w:val="007273F0"/>
    <w:rsid w:val="00730CFE"/>
    <w:rsid w:val="007320F2"/>
    <w:rsid w:val="00735A98"/>
    <w:rsid w:val="00737D26"/>
    <w:rsid w:val="007418E0"/>
    <w:rsid w:val="00762728"/>
    <w:rsid w:val="00763262"/>
    <w:rsid w:val="0076370A"/>
    <w:rsid w:val="00765F4E"/>
    <w:rsid w:val="00772673"/>
    <w:rsid w:val="00773F09"/>
    <w:rsid w:val="00774608"/>
    <w:rsid w:val="007760AE"/>
    <w:rsid w:val="00776F26"/>
    <w:rsid w:val="00782073"/>
    <w:rsid w:val="00783EE6"/>
    <w:rsid w:val="00785179"/>
    <w:rsid w:val="00790B01"/>
    <w:rsid w:val="00791486"/>
    <w:rsid w:val="00794363"/>
    <w:rsid w:val="00796547"/>
    <w:rsid w:val="00797E37"/>
    <w:rsid w:val="007A2065"/>
    <w:rsid w:val="007A2BD7"/>
    <w:rsid w:val="007A3834"/>
    <w:rsid w:val="007A4BAD"/>
    <w:rsid w:val="007A6298"/>
    <w:rsid w:val="007B0E89"/>
    <w:rsid w:val="007B68AF"/>
    <w:rsid w:val="007C2982"/>
    <w:rsid w:val="007C55B9"/>
    <w:rsid w:val="007C6380"/>
    <w:rsid w:val="007D7F9B"/>
    <w:rsid w:val="007E1420"/>
    <w:rsid w:val="007E1CA4"/>
    <w:rsid w:val="007E2D18"/>
    <w:rsid w:val="007E474D"/>
    <w:rsid w:val="007E47FC"/>
    <w:rsid w:val="007F0328"/>
    <w:rsid w:val="007F4010"/>
    <w:rsid w:val="007F475F"/>
    <w:rsid w:val="007F478E"/>
    <w:rsid w:val="007F4A8D"/>
    <w:rsid w:val="00803256"/>
    <w:rsid w:val="0080593A"/>
    <w:rsid w:val="00807DC4"/>
    <w:rsid w:val="00811CEF"/>
    <w:rsid w:val="008148E1"/>
    <w:rsid w:val="00817D3A"/>
    <w:rsid w:val="00827C7E"/>
    <w:rsid w:val="00827D77"/>
    <w:rsid w:val="0083424B"/>
    <w:rsid w:val="008373A3"/>
    <w:rsid w:val="0084269C"/>
    <w:rsid w:val="00852402"/>
    <w:rsid w:val="0086177A"/>
    <w:rsid w:val="00866410"/>
    <w:rsid w:val="0087042E"/>
    <w:rsid w:val="008712A1"/>
    <w:rsid w:val="0087409F"/>
    <w:rsid w:val="00876EE1"/>
    <w:rsid w:val="00877E3C"/>
    <w:rsid w:val="0088015C"/>
    <w:rsid w:val="0088199E"/>
    <w:rsid w:val="00884C20"/>
    <w:rsid w:val="008938AA"/>
    <w:rsid w:val="0089392B"/>
    <w:rsid w:val="008946E5"/>
    <w:rsid w:val="00894A15"/>
    <w:rsid w:val="00894C3A"/>
    <w:rsid w:val="008951BF"/>
    <w:rsid w:val="008A2CAA"/>
    <w:rsid w:val="008A4CF7"/>
    <w:rsid w:val="008A6A9C"/>
    <w:rsid w:val="008B32BE"/>
    <w:rsid w:val="008C2C3C"/>
    <w:rsid w:val="008C75EF"/>
    <w:rsid w:val="008C79BB"/>
    <w:rsid w:val="008D1587"/>
    <w:rsid w:val="008D244F"/>
    <w:rsid w:val="008D38D9"/>
    <w:rsid w:val="008D767F"/>
    <w:rsid w:val="008E513B"/>
    <w:rsid w:val="008E57C2"/>
    <w:rsid w:val="008F416D"/>
    <w:rsid w:val="008F6D54"/>
    <w:rsid w:val="008F79F3"/>
    <w:rsid w:val="00900744"/>
    <w:rsid w:val="00900B2E"/>
    <w:rsid w:val="00930BC1"/>
    <w:rsid w:val="00931126"/>
    <w:rsid w:val="00944B4F"/>
    <w:rsid w:val="0095153B"/>
    <w:rsid w:val="00953DB4"/>
    <w:rsid w:val="00961216"/>
    <w:rsid w:val="00964ED6"/>
    <w:rsid w:val="00965163"/>
    <w:rsid w:val="00970294"/>
    <w:rsid w:val="00970EB5"/>
    <w:rsid w:val="009750B7"/>
    <w:rsid w:val="009801E4"/>
    <w:rsid w:val="00984C53"/>
    <w:rsid w:val="00990C6F"/>
    <w:rsid w:val="009928EC"/>
    <w:rsid w:val="00995023"/>
    <w:rsid w:val="00996F92"/>
    <w:rsid w:val="009A205F"/>
    <w:rsid w:val="009A3A8A"/>
    <w:rsid w:val="009A62AA"/>
    <w:rsid w:val="009B2B2B"/>
    <w:rsid w:val="009C0E61"/>
    <w:rsid w:val="009D0EEB"/>
    <w:rsid w:val="009D1867"/>
    <w:rsid w:val="009D3F74"/>
    <w:rsid w:val="009D664A"/>
    <w:rsid w:val="009E1925"/>
    <w:rsid w:val="009E3005"/>
    <w:rsid w:val="009E4032"/>
    <w:rsid w:val="009E4BD5"/>
    <w:rsid w:val="009E788D"/>
    <w:rsid w:val="009F234C"/>
    <w:rsid w:val="009F5937"/>
    <w:rsid w:val="00A028B9"/>
    <w:rsid w:val="00A03537"/>
    <w:rsid w:val="00A03BBB"/>
    <w:rsid w:val="00A06843"/>
    <w:rsid w:val="00A07E32"/>
    <w:rsid w:val="00A11972"/>
    <w:rsid w:val="00A16299"/>
    <w:rsid w:val="00A17CEA"/>
    <w:rsid w:val="00A250DB"/>
    <w:rsid w:val="00A322D1"/>
    <w:rsid w:val="00A3434A"/>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7B84"/>
    <w:rsid w:val="00AA3E6A"/>
    <w:rsid w:val="00AA48F7"/>
    <w:rsid w:val="00AA723E"/>
    <w:rsid w:val="00AB16AA"/>
    <w:rsid w:val="00AB2838"/>
    <w:rsid w:val="00AB4E07"/>
    <w:rsid w:val="00AB6A95"/>
    <w:rsid w:val="00AC09CB"/>
    <w:rsid w:val="00AC198C"/>
    <w:rsid w:val="00AC3133"/>
    <w:rsid w:val="00AC3EF4"/>
    <w:rsid w:val="00AC44F5"/>
    <w:rsid w:val="00AC5B9D"/>
    <w:rsid w:val="00AD2398"/>
    <w:rsid w:val="00AD3FE4"/>
    <w:rsid w:val="00AD7D28"/>
    <w:rsid w:val="00AE05A7"/>
    <w:rsid w:val="00AE3BF1"/>
    <w:rsid w:val="00AE4320"/>
    <w:rsid w:val="00AE61E0"/>
    <w:rsid w:val="00AF442C"/>
    <w:rsid w:val="00AF74CA"/>
    <w:rsid w:val="00AF74D6"/>
    <w:rsid w:val="00B03879"/>
    <w:rsid w:val="00B065DA"/>
    <w:rsid w:val="00B10250"/>
    <w:rsid w:val="00B12082"/>
    <w:rsid w:val="00B20C66"/>
    <w:rsid w:val="00B247B4"/>
    <w:rsid w:val="00B317EB"/>
    <w:rsid w:val="00B31D24"/>
    <w:rsid w:val="00B35A48"/>
    <w:rsid w:val="00B37707"/>
    <w:rsid w:val="00B417BE"/>
    <w:rsid w:val="00B42470"/>
    <w:rsid w:val="00B43C5F"/>
    <w:rsid w:val="00B476C7"/>
    <w:rsid w:val="00B5240D"/>
    <w:rsid w:val="00B607B2"/>
    <w:rsid w:val="00B62ED5"/>
    <w:rsid w:val="00B643DC"/>
    <w:rsid w:val="00B66FB4"/>
    <w:rsid w:val="00B674E5"/>
    <w:rsid w:val="00B70238"/>
    <w:rsid w:val="00B7412A"/>
    <w:rsid w:val="00B7568C"/>
    <w:rsid w:val="00B76B20"/>
    <w:rsid w:val="00B800D1"/>
    <w:rsid w:val="00B80FCF"/>
    <w:rsid w:val="00B8450C"/>
    <w:rsid w:val="00B8462E"/>
    <w:rsid w:val="00B84D1B"/>
    <w:rsid w:val="00B855EA"/>
    <w:rsid w:val="00BA27B2"/>
    <w:rsid w:val="00BA5F9D"/>
    <w:rsid w:val="00BB27CA"/>
    <w:rsid w:val="00BC0126"/>
    <w:rsid w:val="00BC2E39"/>
    <w:rsid w:val="00BC2EE7"/>
    <w:rsid w:val="00BC49B4"/>
    <w:rsid w:val="00BD05AA"/>
    <w:rsid w:val="00BD3618"/>
    <w:rsid w:val="00BD611F"/>
    <w:rsid w:val="00BD7B29"/>
    <w:rsid w:val="00BE0266"/>
    <w:rsid w:val="00BE12C8"/>
    <w:rsid w:val="00C005F2"/>
    <w:rsid w:val="00C02BDF"/>
    <w:rsid w:val="00C03E14"/>
    <w:rsid w:val="00C10731"/>
    <w:rsid w:val="00C10BDD"/>
    <w:rsid w:val="00C14DCE"/>
    <w:rsid w:val="00C237CB"/>
    <w:rsid w:val="00C26145"/>
    <w:rsid w:val="00C31EF5"/>
    <w:rsid w:val="00C32279"/>
    <w:rsid w:val="00C36CAE"/>
    <w:rsid w:val="00C455CF"/>
    <w:rsid w:val="00C45E08"/>
    <w:rsid w:val="00C46235"/>
    <w:rsid w:val="00C509B9"/>
    <w:rsid w:val="00C51588"/>
    <w:rsid w:val="00C5584A"/>
    <w:rsid w:val="00C569B9"/>
    <w:rsid w:val="00C57DE2"/>
    <w:rsid w:val="00C700B7"/>
    <w:rsid w:val="00C77AA4"/>
    <w:rsid w:val="00C83E7A"/>
    <w:rsid w:val="00C92504"/>
    <w:rsid w:val="00C92E38"/>
    <w:rsid w:val="00CA2232"/>
    <w:rsid w:val="00CB05C8"/>
    <w:rsid w:val="00CB3A44"/>
    <w:rsid w:val="00CC289A"/>
    <w:rsid w:val="00CC5A17"/>
    <w:rsid w:val="00CC5F3B"/>
    <w:rsid w:val="00CD6E99"/>
    <w:rsid w:val="00CD7C5C"/>
    <w:rsid w:val="00CE08CE"/>
    <w:rsid w:val="00CE718A"/>
    <w:rsid w:val="00CE7BB5"/>
    <w:rsid w:val="00CF3217"/>
    <w:rsid w:val="00D0012D"/>
    <w:rsid w:val="00D01031"/>
    <w:rsid w:val="00D07E75"/>
    <w:rsid w:val="00D12FA1"/>
    <w:rsid w:val="00D14C8B"/>
    <w:rsid w:val="00D15EC7"/>
    <w:rsid w:val="00D224CC"/>
    <w:rsid w:val="00D30672"/>
    <w:rsid w:val="00D30B74"/>
    <w:rsid w:val="00D34048"/>
    <w:rsid w:val="00D40AE4"/>
    <w:rsid w:val="00D46A93"/>
    <w:rsid w:val="00D4763E"/>
    <w:rsid w:val="00D60382"/>
    <w:rsid w:val="00D71FF6"/>
    <w:rsid w:val="00D820EB"/>
    <w:rsid w:val="00D82174"/>
    <w:rsid w:val="00D82E00"/>
    <w:rsid w:val="00DB27A9"/>
    <w:rsid w:val="00DB293A"/>
    <w:rsid w:val="00DB41D2"/>
    <w:rsid w:val="00DB5B3F"/>
    <w:rsid w:val="00DC0C38"/>
    <w:rsid w:val="00DD1685"/>
    <w:rsid w:val="00DD4344"/>
    <w:rsid w:val="00DD4AEF"/>
    <w:rsid w:val="00DD5A2F"/>
    <w:rsid w:val="00DE1986"/>
    <w:rsid w:val="00DE635A"/>
    <w:rsid w:val="00E022E3"/>
    <w:rsid w:val="00E03B7C"/>
    <w:rsid w:val="00E052C6"/>
    <w:rsid w:val="00E10773"/>
    <w:rsid w:val="00E1478F"/>
    <w:rsid w:val="00E17A50"/>
    <w:rsid w:val="00E2252B"/>
    <w:rsid w:val="00E225AC"/>
    <w:rsid w:val="00E24DC2"/>
    <w:rsid w:val="00E30992"/>
    <w:rsid w:val="00E32D1F"/>
    <w:rsid w:val="00E33256"/>
    <w:rsid w:val="00E343C3"/>
    <w:rsid w:val="00E40104"/>
    <w:rsid w:val="00E41A5C"/>
    <w:rsid w:val="00E47B61"/>
    <w:rsid w:val="00E52A17"/>
    <w:rsid w:val="00E54E88"/>
    <w:rsid w:val="00E62E93"/>
    <w:rsid w:val="00E643D8"/>
    <w:rsid w:val="00E6596F"/>
    <w:rsid w:val="00E808E9"/>
    <w:rsid w:val="00E81203"/>
    <w:rsid w:val="00E81537"/>
    <w:rsid w:val="00E82E2E"/>
    <w:rsid w:val="00E84D02"/>
    <w:rsid w:val="00E85B18"/>
    <w:rsid w:val="00E86900"/>
    <w:rsid w:val="00E947A6"/>
    <w:rsid w:val="00E9733C"/>
    <w:rsid w:val="00EA5644"/>
    <w:rsid w:val="00EA59C9"/>
    <w:rsid w:val="00EB537F"/>
    <w:rsid w:val="00EB5AC5"/>
    <w:rsid w:val="00EB7741"/>
    <w:rsid w:val="00EC6140"/>
    <w:rsid w:val="00ED1D07"/>
    <w:rsid w:val="00EE0046"/>
    <w:rsid w:val="00EE4CBF"/>
    <w:rsid w:val="00EE549F"/>
    <w:rsid w:val="00EE5D39"/>
    <w:rsid w:val="00EF13CA"/>
    <w:rsid w:val="00F1016F"/>
    <w:rsid w:val="00F11331"/>
    <w:rsid w:val="00F13493"/>
    <w:rsid w:val="00F15891"/>
    <w:rsid w:val="00F16832"/>
    <w:rsid w:val="00F24784"/>
    <w:rsid w:val="00F2657B"/>
    <w:rsid w:val="00F30486"/>
    <w:rsid w:val="00F30675"/>
    <w:rsid w:val="00F35B0B"/>
    <w:rsid w:val="00F35C32"/>
    <w:rsid w:val="00F4704E"/>
    <w:rsid w:val="00F51740"/>
    <w:rsid w:val="00F52F2E"/>
    <w:rsid w:val="00F549CF"/>
    <w:rsid w:val="00F566E9"/>
    <w:rsid w:val="00F61F8F"/>
    <w:rsid w:val="00F63B2E"/>
    <w:rsid w:val="00F66232"/>
    <w:rsid w:val="00F72EC6"/>
    <w:rsid w:val="00F74FFB"/>
    <w:rsid w:val="00F750F4"/>
    <w:rsid w:val="00F75190"/>
    <w:rsid w:val="00F7544D"/>
    <w:rsid w:val="00F757A0"/>
    <w:rsid w:val="00F771FC"/>
    <w:rsid w:val="00F80094"/>
    <w:rsid w:val="00F86045"/>
    <w:rsid w:val="00F90EB4"/>
    <w:rsid w:val="00F92A08"/>
    <w:rsid w:val="00F9394F"/>
    <w:rsid w:val="00F94487"/>
    <w:rsid w:val="00F94BFA"/>
    <w:rsid w:val="00FA1FD9"/>
    <w:rsid w:val="00FA2B84"/>
    <w:rsid w:val="00FB00B3"/>
    <w:rsid w:val="00FB15D1"/>
    <w:rsid w:val="00FB4688"/>
    <w:rsid w:val="00FB5979"/>
    <w:rsid w:val="00FB69A5"/>
    <w:rsid w:val="00FC1BEE"/>
    <w:rsid w:val="00FC1D54"/>
    <w:rsid w:val="00FC20C3"/>
    <w:rsid w:val="00FC38F3"/>
    <w:rsid w:val="00FC5115"/>
    <w:rsid w:val="00FC601C"/>
    <w:rsid w:val="00FD11F1"/>
    <w:rsid w:val="00FD21AD"/>
    <w:rsid w:val="00FD3095"/>
    <w:rsid w:val="00FD429D"/>
    <w:rsid w:val="00FD4E57"/>
    <w:rsid w:val="00FD6898"/>
    <w:rsid w:val="00FE10A9"/>
    <w:rsid w:val="00FE18C9"/>
    <w:rsid w:val="00FE1FC9"/>
    <w:rsid w:val="00FE5DD9"/>
    <w:rsid w:val="00FE619F"/>
    <w:rsid w:val="00FE6E69"/>
    <w:rsid w:val="00FF02F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8C75EF"/>
    <w:rPr>
      <w:rFonts w:ascii="Cambria" w:eastAsia="Times New Roman" w:hAnsi="Cambria" w:cs="Times New Roman"/>
      <w:b/>
      <w:bCs/>
      <w:i/>
      <w:iCs/>
      <w:sz w:val="28"/>
      <w:szCs w:val="28"/>
    </w:rPr>
  </w:style>
  <w:style w:type="character" w:customStyle="1" w:styleId="Titre3Car">
    <w:name w:val="Titre 3 Car"/>
    <w:basedOn w:val="Policepardfaut"/>
    <w:link w:val="Titre3"/>
    <w:uiPriority w:val="9"/>
    <w:semiHidden/>
    <w:rsid w:val="008C75EF"/>
    <w:rPr>
      <w:rFonts w:ascii="Cambria" w:eastAsia="Times New Roman" w:hAnsi="Cambria" w:cs="Times New Roman"/>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rsid w:val="008C75EF"/>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8C75EF"/>
    <w:rPr>
      <w:sz w:val="24"/>
      <w:szCs w:val="24"/>
    </w:rPr>
  </w:style>
  <w:style w:type="paragraph" w:styleId="Titre">
    <w:name w:val="Title"/>
    <w:basedOn w:val="Normal"/>
    <w:link w:val="TitreCar"/>
    <w:uiPriority w:val="99"/>
    <w:qFormat/>
    <w:rsid w:val="00AC3133"/>
    <w:pPr>
      <w:jc w:val="center"/>
    </w:pPr>
    <w:rPr>
      <w:b/>
      <w:bCs/>
      <w:szCs w:val="28"/>
    </w:rPr>
  </w:style>
  <w:style w:type="character" w:customStyle="1" w:styleId="TitreCar">
    <w:name w:val="Titre Car"/>
    <w:basedOn w:val="Policepardfaut"/>
    <w:link w:val="Titre"/>
    <w:uiPriority w:val="99"/>
    <w:rsid w:val="008C75EF"/>
    <w:rPr>
      <w:rFonts w:ascii="Cambria" w:eastAsia="Times New Roman" w:hAnsi="Cambria" w:cs="Times New Roman"/>
      <w:b/>
      <w:bCs/>
      <w:kern w:val="28"/>
      <w:sz w:val="32"/>
      <w:szCs w:val="32"/>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8C75EF"/>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8C75EF"/>
    <w:rPr>
      <w:rFonts w:ascii="Tahoma" w:hAnsi="Tahoma" w:cs="Tahoma"/>
      <w:sz w:val="16"/>
      <w:szCs w:val="16"/>
    </w:rPr>
  </w:style>
  <w:style w:type="paragraph" w:customStyle="1" w:styleId="Paragraphedeliste1">
    <w:name w:val="Paragraphe de liste1"/>
    <w:basedOn w:val="Normal"/>
    <w:rsid w:val="007A2BD7"/>
    <w:pPr>
      <w:ind w:left="708"/>
    </w:pPr>
  </w:style>
  <w:style w:type="paragraph" w:styleId="Paragraphedeliste">
    <w:name w:val="List Paragraph"/>
    <w:basedOn w:val="Normal"/>
    <w:uiPriority w:val="99"/>
    <w:qFormat/>
    <w:rsid w:val="007A2BD7"/>
    <w:pPr>
      <w:ind w:left="720"/>
      <w:contextualSpacing/>
    </w:pPr>
  </w:style>
  <w:style w:type="paragraph" w:customStyle="1" w:styleId="TNiv1">
    <w:name w:val="TNiv1"/>
    <w:basedOn w:val="Normal"/>
    <w:link w:val="TNiv1Car"/>
    <w:qFormat/>
    <w:rsid w:val="00EE4CBF"/>
    <w:pPr>
      <w:spacing w:after="240" w:line="280" w:lineRule="exact"/>
      <w:jc w:val="both"/>
    </w:pPr>
    <w:rPr>
      <w:rFonts w:ascii="Garamond" w:hAnsi="Garamond" w:cs="Arial"/>
      <w:b/>
      <w:color w:val="C00000"/>
      <w:sz w:val="28"/>
      <w:szCs w:val="28"/>
    </w:rPr>
  </w:style>
  <w:style w:type="paragraph" w:customStyle="1" w:styleId="TNiv2">
    <w:name w:val="TNiv2"/>
    <w:basedOn w:val="Normal"/>
    <w:link w:val="TNiv2Car"/>
    <w:qFormat/>
    <w:rsid w:val="00EE4CBF"/>
    <w:pPr>
      <w:spacing w:before="120" w:line="360" w:lineRule="exact"/>
      <w:jc w:val="both"/>
    </w:pPr>
    <w:rPr>
      <w:rFonts w:ascii="Garamond" w:hAnsi="Garamond" w:cs="Arial"/>
      <w:b/>
      <w:color w:val="C00000"/>
      <w:sz w:val="26"/>
      <w:szCs w:val="26"/>
    </w:rPr>
  </w:style>
  <w:style w:type="character" w:customStyle="1" w:styleId="TNiv1Car">
    <w:name w:val="TNiv1 Car"/>
    <w:basedOn w:val="Policepardfaut"/>
    <w:link w:val="TNiv1"/>
    <w:rsid w:val="00EE4CBF"/>
    <w:rPr>
      <w:rFonts w:ascii="Garamond" w:hAnsi="Garamond" w:cs="Arial"/>
      <w:b/>
      <w:color w:val="C00000"/>
      <w:sz w:val="28"/>
      <w:szCs w:val="28"/>
    </w:rPr>
  </w:style>
  <w:style w:type="character" w:customStyle="1" w:styleId="TNiv2Car">
    <w:name w:val="TNiv2 Car"/>
    <w:basedOn w:val="Policepardfaut"/>
    <w:link w:val="TNiv2"/>
    <w:rsid w:val="00EE4CBF"/>
    <w:rPr>
      <w:rFonts w:ascii="Garamond" w:hAnsi="Garamond" w:cs="Arial"/>
      <w:b/>
      <w:color w:val="C00000"/>
      <w:sz w:val="26"/>
      <w:szCs w:val="26"/>
    </w:rPr>
  </w:style>
</w:styles>
</file>

<file path=word/webSettings.xml><?xml version="1.0" encoding="utf-8"?>
<w:webSettings xmlns:r="http://schemas.openxmlformats.org/officeDocument/2006/relationships" xmlns:w="http://schemas.openxmlformats.org/wordprocessingml/2006/main">
  <w:divs>
    <w:div w:id="12989561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2428</Words>
  <Characters>13359</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HP</Company>
  <LinksUpToDate>false</LinksUpToDate>
  <CharactersWithSpaces>15756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2</cp:revision>
  <cp:lastPrinted>2015-04-29T15:35:00Z</cp:lastPrinted>
  <dcterms:created xsi:type="dcterms:W3CDTF">2015-04-30T19:19:00Z</dcterms:created>
  <dcterms:modified xsi:type="dcterms:W3CDTF">2015-04-30T19:19:00Z</dcterms:modified>
</cp:coreProperties>
</file>