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350" w:rsidRDefault="004F271E" w:rsidP="0026201E">
      <w:pPr>
        <w:spacing w:after="0" w:line="360" w:lineRule="auto"/>
        <w:jc w:val="center"/>
        <w:outlineLvl w:val="0"/>
        <w:rPr>
          <w:rFonts w:ascii="Arial Rounded MT Bold" w:hAnsi="Arial Rounded MT Bold"/>
          <w:sz w:val="24"/>
          <w:szCs w:val="24"/>
        </w:rPr>
      </w:pPr>
      <w:r>
        <w:rPr>
          <w:rFonts w:ascii="Arial Rounded MT Bold" w:hAnsi="Arial Rounded MT Bold"/>
          <w:noProof/>
          <w:sz w:val="24"/>
          <w:szCs w:val="24"/>
          <w:lang w:eastAsia="fr-FR"/>
        </w:rPr>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562850" cy="9586595"/>
            <wp:effectExtent l="1905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p w:rsidR="004D3350" w:rsidRDefault="004D3350" w:rsidP="0026201E">
      <w:pPr>
        <w:spacing w:after="0" w:line="360" w:lineRule="auto"/>
        <w:jc w:val="center"/>
        <w:outlineLvl w:val="0"/>
        <w:rPr>
          <w:rFonts w:ascii="Arial Rounded MT Bold" w:hAnsi="Arial Rounded MT Bold"/>
          <w:sz w:val="24"/>
          <w:szCs w:val="24"/>
        </w:rPr>
      </w:pPr>
    </w:p>
    <w:p w:rsidR="004D3350" w:rsidRDefault="004D3350" w:rsidP="0026201E">
      <w:pPr>
        <w:spacing w:after="0" w:line="360" w:lineRule="auto"/>
        <w:jc w:val="center"/>
        <w:outlineLvl w:val="0"/>
        <w:rPr>
          <w:rFonts w:ascii="Arial Rounded MT Bold" w:hAnsi="Arial Rounded MT Bold"/>
          <w:sz w:val="24"/>
          <w:szCs w:val="24"/>
        </w:rPr>
      </w:pPr>
    </w:p>
    <w:p w:rsidR="004D3350" w:rsidRDefault="004D3350" w:rsidP="0026201E">
      <w:pPr>
        <w:spacing w:after="0" w:line="360" w:lineRule="auto"/>
        <w:jc w:val="center"/>
        <w:outlineLvl w:val="0"/>
        <w:rPr>
          <w:rFonts w:ascii="Arial Rounded MT Bold" w:hAnsi="Arial Rounded MT Bold"/>
          <w:sz w:val="24"/>
          <w:szCs w:val="24"/>
        </w:rPr>
      </w:pPr>
    </w:p>
    <w:p w:rsidR="00124A87" w:rsidRPr="00124A87" w:rsidRDefault="00101ED5" w:rsidP="00101ED5">
      <w:pPr>
        <w:spacing w:after="0" w:line="360" w:lineRule="auto"/>
        <w:jc w:val="center"/>
        <w:outlineLvl w:val="0"/>
        <w:rPr>
          <w:rFonts w:ascii="Arial Rounded MT Bold" w:hAnsi="Arial Rounded MT Bold"/>
          <w:sz w:val="24"/>
          <w:szCs w:val="24"/>
        </w:rPr>
      </w:pPr>
      <w:r>
        <w:rPr>
          <w:rFonts w:ascii="Arial Rounded MT Bold" w:hAnsi="Arial Rounded MT Bold"/>
          <w:sz w:val="24"/>
          <w:szCs w:val="24"/>
        </w:rPr>
        <w:t>Principaux points de l’i</w:t>
      </w:r>
      <w:r w:rsidR="00124A87" w:rsidRPr="00124A87">
        <w:rPr>
          <w:rFonts w:ascii="Arial Rounded MT Bold" w:hAnsi="Arial Rounded MT Bold"/>
          <w:sz w:val="24"/>
          <w:szCs w:val="24"/>
        </w:rPr>
        <w:t xml:space="preserve">ntervention </w:t>
      </w:r>
      <w:r w:rsidR="00AB6AEB">
        <w:rPr>
          <w:rFonts w:ascii="Arial Rounded MT Bold" w:hAnsi="Arial Rounded MT Bold"/>
          <w:sz w:val="24"/>
          <w:szCs w:val="24"/>
        </w:rPr>
        <w:t>de</w:t>
      </w:r>
    </w:p>
    <w:p w:rsidR="00124A87" w:rsidRPr="00124A87" w:rsidRDefault="00124A87" w:rsidP="00101ED5">
      <w:pPr>
        <w:spacing w:after="0" w:line="360" w:lineRule="auto"/>
        <w:jc w:val="center"/>
        <w:outlineLvl w:val="0"/>
        <w:rPr>
          <w:rFonts w:ascii="Arial Rounded MT Bold" w:hAnsi="Arial Rounded MT Bold"/>
          <w:sz w:val="24"/>
          <w:szCs w:val="24"/>
        </w:rPr>
      </w:pPr>
      <w:r w:rsidRPr="00124A87">
        <w:rPr>
          <w:rFonts w:ascii="Arial Rounded MT Bold" w:hAnsi="Arial Rounded MT Bold"/>
          <w:sz w:val="24"/>
          <w:szCs w:val="24"/>
        </w:rPr>
        <w:t xml:space="preserve">M. Ahmed Lahlimi Alami, Haut-Commissaire au Plan, </w:t>
      </w:r>
    </w:p>
    <w:p w:rsidR="00E968F2" w:rsidRDefault="00124A87" w:rsidP="00101ED5">
      <w:pPr>
        <w:spacing w:after="0" w:line="360" w:lineRule="auto"/>
        <w:jc w:val="center"/>
        <w:outlineLvl w:val="0"/>
        <w:rPr>
          <w:rFonts w:ascii="Arial Rounded MT Bold" w:hAnsi="Arial Rounded MT Bold"/>
          <w:sz w:val="24"/>
          <w:szCs w:val="24"/>
        </w:rPr>
      </w:pPr>
      <w:r w:rsidRPr="00124A87">
        <w:rPr>
          <w:rFonts w:ascii="Arial Rounded MT Bold" w:hAnsi="Arial Rounded MT Bold"/>
          <w:sz w:val="24"/>
          <w:szCs w:val="24"/>
        </w:rPr>
        <w:t xml:space="preserve">à l’occasion de la présentation des résultats de </w:t>
      </w:r>
    </w:p>
    <w:p w:rsidR="00124A87" w:rsidRPr="00124A87" w:rsidRDefault="00124A87" w:rsidP="00E968F2">
      <w:pPr>
        <w:spacing w:after="0" w:line="360" w:lineRule="auto"/>
        <w:jc w:val="center"/>
        <w:outlineLvl w:val="0"/>
        <w:rPr>
          <w:rFonts w:ascii="Arial Rounded MT Bold" w:hAnsi="Arial Rounded MT Bold"/>
          <w:sz w:val="24"/>
          <w:szCs w:val="24"/>
        </w:rPr>
      </w:pPr>
      <w:r w:rsidRPr="00124A87">
        <w:rPr>
          <w:rFonts w:ascii="Arial Rounded MT Bold" w:hAnsi="Arial Rounded MT Bold"/>
          <w:sz w:val="24"/>
          <w:szCs w:val="24"/>
        </w:rPr>
        <w:t>l’Enquête</w:t>
      </w:r>
      <w:r w:rsidR="00E968F2">
        <w:rPr>
          <w:rFonts w:ascii="Arial Rounded MT Bold" w:hAnsi="Arial Rounded MT Bold"/>
          <w:sz w:val="24"/>
          <w:szCs w:val="24"/>
        </w:rPr>
        <w:t xml:space="preserve"> </w:t>
      </w:r>
      <w:r w:rsidRPr="00124A87">
        <w:rPr>
          <w:rFonts w:ascii="Arial Rounded MT Bold" w:hAnsi="Arial Rounded MT Bold"/>
          <w:sz w:val="24"/>
          <w:szCs w:val="24"/>
        </w:rPr>
        <w:t>Nationale sur la Mobilité Sociale Intergénérationnelle 2011</w:t>
      </w:r>
    </w:p>
    <w:p w:rsidR="0026201E" w:rsidRDefault="0026201E" w:rsidP="004D3350">
      <w:pPr>
        <w:spacing w:after="0"/>
        <w:jc w:val="center"/>
        <w:outlineLvl w:val="0"/>
        <w:rPr>
          <w:rFonts w:ascii="Arial Rounded MT Bold" w:hAnsi="Arial Rounded MT Bold"/>
          <w:sz w:val="26"/>
          <w:szCs w:val="26"/>
        </w:rPr>
      </w:pPr>
      <w:r>
        <w:rPr>
          <w:rFonts w:ascii="Arial Rounded MT Bold" w:hAnsi="Arial Rounded MT Bold"/>
          <w:sz w:val="26"/>
          <w:szCs w:val="26"/>
        </w:rPr>
        <w:t>******</w:t>
      </w:r>
    </w:p>
    <w:p w:rsidR="00B07919" w:rsidRPr="00B07919" w:rsidRDefault="00B07919" w:rsidP="004D3350">
      <w:pPr>
        <w:spacing w:after="0"/>
        <w:jc w:val="center"/>
        <w:outlineLvl w:val="0"/>
      </w:pPr>
      <w:r w:rsidRPr="00B07919">
        <w:t>Rabat, le 27 novembre 2013</w:t>
      </w:r>
    </w:p>
    <w:p w:rsidR="00063E28" w:rsidRDefault="00063E28" w:rsidP="00AB5C0C">
      <w:pPr>
        <w:spacing w:after="120" w:line="360" w:lineRule="auto"/>
        <w:rPr>
          <w:sz w:val="24"/>
          <w:szCs w:val="24"/>
        </w:rPr>
      </w:pPr>
    </w:p>
    <w:p w:rsidR="00FA219C" w:rsidRPr="007F5517" w:rsidRDefault="00063E28" w:rsidP="007F5517">
      <w:pPr>
        <w:spacing w:after="120"/>
        <w:ind w:firstLine="708"/>
        <w:jc w:val="both"/>
        <w:rPr>
          <w:sz w:val="24"/>
          <w:szCs w:val="24"/>
        </w:rPr>
      </w:pPr>
      <w:r w:rsidRPr="007F5517">
        <w:rPr>
          <w:sz w:val="24"/>
          <w:szCs w:val="24"/>
        </w:rPr>
        <w:t>Sur près d’une cinquantaine années d’indépendance,</w:t>
      </w:r>
      <w:r w:rsidR="00FA219C" w:rsidRPr="007F5517">
        <w:rPr>
          <w:sz w:val="24"/>
          <w:szCs w:val="24"/>
        </w:rPr>
        <w:t xml:space="preserve"> le Mar</w:t>
      </w:r>
      <w:r w:rsidRPr="007F5517">
        <w:rPr>
          <w:sz w:val="24"/>
          <w:szCs w:val="24"/>
        </w:rPr>
        <w:t>o</w:t>
      </w:r>
      <w:r w:rsidR="00FA219C" w:rsidRPr="007F5517">
        <w:rPr>
          <w:sz w:val="24"/>
          <w:szCs w:val="24"/>
        </w:rPr>
        <w:t xml:space="preserve">c a connu </w:t>
      </w:r>
      <w:r w:rsidRPr="007F5517">
        <w:rPr>
          <w:sz w:val="24"/>
          <w:szCs w:val="24"/>
        </w:rPr>
        <w:t xml:space="preserve">des mutations </w:t>
      </w:r>
      <w:r w:rsidR="002259DB" w:rsidRPr="007F5517">
        <w:rPr>
          <w:sz w:val="24"/>
          <w:szCs w:val="24"/>
        </w:rPr>
        <w:t xml:space="preserve">démographiques, </w:t>
      </w:r>
      <w:r w:rsidRPr="007F5517">
        <w:rPr>
          <w:sz w:val="24"/>
          <w:szCs w:val="24"/>
        </w:rPr>
        <w:t>économiques, sociales, culturelles, politiques et institutionnelles qui ont modifié profondément l</w:t>
      </w:r>
      <w:r w:rsidR="00B563C6" w:rsidRPr="007F5517">
        <w:rPr>
          <w:sz w:val="24"/>
          <w:szCs w:val="24"/>
        </w:rPr>
        <w:t>es</w:t>
      </w:r>
      <w:r w:rsidRPr="007F5517">
        <w:rPr>
          <w:sz w:val="24"/>
          <w:szCs w:val="24"/>
        </w:rPr>
        <w:t xml:space="preserve"> structure</w:t>
      </w:r>
      <w:r w:rsidR="00B563C6" w:rsidRPr="007F5517">
        <w:rPr>
          <w:sz w:val="24"/>
          <w:szCs w:val="24"/>
        </w:rPr>
        <w:t>s</w:t>
      </w:r>
      <w:r w:rsidRPr="007F5517">
        <w:rPr>
          <w:sz w:val="24"/>
          <w:szCs w:val="24"/>
        </w:rPr>
        <w:t xml:space="preserve"> </w:t>
      </w:r>
      <w:r w:rsidR="00B563C6" w:rsidRPr="007F5517">
        <w:rPr>
          <w:sz w:val="24"/>
          <w:szCs w:val="24"/>
        </w:rPr>
        <w:t xml:space="preserve">de son </w:t>
      </w:r>
      <w:r w:rsidRPr="007F5517">
        <w:rPr>
          <w:sz w:val="24"/>
          <w:szCs w:val="24"/>
        </w:rPr>
        <w:t>économie</w:t>
      </w:r>
      <w:r w:rsidR="00B563C6" w:rsidRPr="007F5517">
        <w:rPr>
          <w:sz w:val="24"/>
          <w:szCs w:val="24"/>
        </w:rPr>
        <w:t xml:space="preserve">, </w:t>
      </w:r>
      <w:r w:rsidR="0053232F" w:rsidRPr="007F5517">
        <w:rPr>
          <w:sz w:val="24"/>
          <w:szCs w:val="24"/>
        </w:rPr>
        <w:t>et</w:t>
      </w:r>
      <w:r w:rsidR="00B563C6" w:rsidRPr="007F5517">
        <w:rPr>
          <w:sz w:val="24"/>
          <w:szCs w:val="24"/>
        </w:rPr>
        <w:t xml:space="preserve"> les conditions de vie </w:t>
      </w:r>
      <w:r w:rsidR="0053232F" w:rsidRPr="007F5517">
        <w:rPr>
          <w:sz w:val="24"/>
          <w:szCs w:val="24"/>
        </w:rPr>
        <w:t xml:space="preserve">de sa population. </w:t>
      </w:r>
    </w:p>
    <w:p w:rsidR="003806BD" w:rsidRPr="007F5517" w:rsidRDefault="007D763E" w:rsidP="007F5517">
      <w:pPr>
        <w:spacing w:after="120"/>
        <w:ind w:firstLine="708"/>
        <w:jc w:val="both"/>
        <w:rPr>
          <w:sz w:val="24"/>
          <w:szCs w:val="24"/>
        </w:rPr>
      </w:pPr>
      <w:r w:rsidRPr="007F5517">
        <w:rPr>
          <w:sz w:val="24"/>
          <w:szCs w:val="24"/>
        </w:rPr>
        <w:t>Dans le cadre d’une transition sociétale de plus en plus accélérée</w:t>
      </w:r>
      <w:r w:rsidR="00024265">
        <w:rPr>
          <w:sz w:val="24"/>
          <w:szCs w:val="24"/>
        </w:rPr>
        <w:t>,</w:t>
      </w:r>
      <w:r w:rsidRPr="007F5517">
        <w:rPr>
          <w:sz w:val="24"/>
          <w:szCs w:val="24"/>
        </w:rPr>
        <w:t xml:space="preserve"> il est passé d’une économie et d’une société post-coloniales, à majorité rurale </w:t>
      </w:r>
      <w:r w:rsidR="0029719C" w:rsidRPr="007F5517">
        <w:rPr>
          <w:sz w:val="24"/>
          <w:szCs w:val="24"/>
        </w:rPr>
        <w:t xml:space="preserve">où dominent des rapports sociaux et politiques traditionnels de type patriarcal </w:t>
      </w:r>
      <w:r w:rsidR="00CB294D" w:rsidRPr="007F5517">
        <w:rPr>
          <w:sz w:val="24"/>
          <w:szCs w:val="24"/>
        </w:rPr>
        <w:t xml:space="preserve">à une économie, une société et une culture </w:t>
      </w:r>
      <w:r w:rsidR="00096D74" w:rsidRPr="007F5517">
        <w:rPr>
          <w:sz w:val="24"/>
          <w:szCs w:val="24"/>
        </w:rPr>
        <w:t xml:space="preserve">en phase avec </w:t>
      </w:r>
      <w:r w:rsidR="00024265">
        <w:rPr>
          <w:sz w:val="24"/>
          <w:szCs w:val="24"/>
        </w:rPr>
        <w:t xml:space="preserve">les normes de </w:t>
      </w:r>
      <w:r w:rsidR="00096D74" w:rsidRPr="007F5517">
        <w:rPr>
          <w:sz w:val="24"/>
          <w:szCs w:val="24"/>
        </w:rPr>
        <w:t xml:space="preserve">la modernité, </w:t>
      </w:r>
      <w:r w:rsidR="00E726AA" w:rsidRPr="007F5517">
        <w:rPr>
          <w:sz w:val="24"/>
          <w:szCs w:val="24"/>
        </w:rPr>
        <w:t xml:space="preserve">exposées </w:t>
      </w:r>
      <w:r w:rsidR="00B07919" w:rsidRPr="007F5517">
        <w:rPr>
          <w:sz w:val="24"/>
          <w:szCs w:val="24"/>
        </w:rPr>
        <w:t xml:space="preserve">à la compétition mondialisée </w:t>
      </w:r>
      <w:r w:rsidR="009536AD" w:rsidRPr="007F5517">
        <w:rPr>
          <w:sz w:val="24"/>
          <w:szCs w:val="24"/>
        </w:rPr>
        <w:t>des marchés, des produits, des services</w:t>
      </w:r>
      <w:r w:rsidR="00024265">
        <w:rPr>
          <w:sz w:val="24"/>
          <w:szCs w:val="24"/>
        </w:rPr>
        <w:t>,</w:t>
      </w:r>
      <w:r w:rsidR="009536AD" w:rsidRPr="007F5517">
        <w:rPr>
          <w:sz w:val="24"/>
          <w:szCs w:val="24"/>
        </w:rPr>
        <w:t xml:space="preserve"> des compétences et des valeurs.</w:t>
      </w:r>
      <w:r w:rsidR="00053CED" w:rsidRPr="007F5517">
        <w:rPr>
          <w:sz w:val="24"/>
          <w:szCs w:val="24"/>
        </w:rPr>
        <w:t xml:space="preserve"> </w:t>
      </w:r>
    </w:p>
    <w:p w:rsidR="000E7440" w:rsidRPr="007F5517" w:rsidRDefault="003806BD" w:rsidP="00024265">
      <w:pPr>
        <w:spacing w:after="120"/>
        <w:ind w:firstLine="708"/>
        <w:jc w:val="both"/>
        <w:rPr>
          <w:sz w:val="24"/>
          <w:szCs w:val="24"/>
        </w:rPr>
      </w:pPr>
      <w:r w:rsidRPr="007F5517">
        <w:rPr>
          <w:sz w:val="24"/>
          <w:szCs w:val="24"/>
        </w:rPr>
        <w:t>Ces mutations</w:t>
      </w:r>
      <w:r w:rsidR="00AB5C0C" w:rsidRPr="007F5517">
        <w:rPr>
          <w:sz w:val="24"/>
          <w:szCs w:val="24"/>
        </w:rPr>
        <w:t xml:space="preserve"> qui ont modifié </w:t>
      </w:r>
      <w:r w:rsidRPr="007F5517">
        <w:rPr>
          <w:sz w:val="24"/>
          <w:szCs w:val="24"/>
        </w:rPr>
        <w:t xml:space="preserve">profondément </w:t>
      </w:r>
      <w:r w:rsidR="00AB5C0C" w:rsidRPr="007F5517">
        <w:rPr>
          <w:sz w:val="24"/>
          <w:szCs w:val="24"/>
        </w:rPr>
        <w:t>les modes de production, les rapports économiques et sociaux, les systèmes de valeurs et de comportement</w:t>
      </w:r>
      <w:r w:rsidR="00F61C91" w:rsidRPr="007F5517">
        <w:rPr>
          <w:sz w:val="24"/>
          <w:szCs w:val="24"/>
        </w:rPr>
        <w:t>s</w:t>
      </w:r>
      <w:r w:rsidR="000E7440" w:rsidRPr="007F5517">
        <w:rPr>
          <w:sz w:val="24"/>
          <w:szCs w:val="24"/>
        </w:rPr>
        <w:t xml:space="preserve"> de</w:t>
      </w:r>
      <w:r w:rsidR="00D43171" w:rsidRPr="007F5517">
        <w:rPr>
          <w:sz w:val="24"/>
          <w:szCs w:val="24"/>
        </w:rPr>
        <w:t xml:space="preserve"> la</w:t>
      </w:r>
      <w:r w:rsidR="000E7440" w:rsidRPr="007F5517">
        <w:rPr>
          <w:sz w:val="24"/>
          <w:szCs w:val="24"/>
        </w:rPr>
        <w:t xml:space="preserve"> population</w:t>
      </w:r>
      <w:r w:rsidR="00AB5C0C" w:rsidRPr="007F5517">
        <w:rPr>
          <w:sz w:val="24"/>
          <w:szCs w:val="24"/>
        </w:rPr>
        <w:t xml:space="preserve"> </w:t>
      </w:r>
      <w:r w:rsidR="00F61C91" w:rsidRPr="007F5517">
        <w:rPr>
          <w:sz w:val="24"/>
          <w:szCs w:val="24"/>
        </w:rPr>
        <w:t xml:space="preserve">ont, bien entendu, </w:t>
      </w:r>
      <w:r w:rsidR="007415BE" w:rsidRPr="007F5517">
        <w:rPr>
          <w:sz w:val="24"/>
          <w:szCs w:val="24"/>
        </w:rPr>
        <w:t xml:space="preserve">modifié </w:t>
      </w:r>
      <w:r w:rsidR="00024265">
        <w:rPr>
          <w:sz w:val="24"/>
          <w:szCs w:val="24"/>
        </w:rPr>
        <w:t>l</w:t>
      </w:r>
      <w:r w:rsidR="00D43171" w:rsidRPr="007F5517">
        <w:rPr>
          <w:sz w:val="24"/>
          <w:szCs w:val="24"/>
        </w:rPr>
        <w:t>a</w:t>
      </w:r>
      <w:r w:rsidR="007415BE" w:rsidRPr="007F5517">
        <w:rPr>
          <w:sz w:val="24"/>
          <w:szCs w:val="24"/>
        </w:rPr>
        <w:t xml:space="preserve"> structure socioprofessionnelle </w:t>
      </w:r>
      <w:r w:rsidR="00024265">
        <w:rPr>
          <w:sz w:val="24"/>
          <w:szCs w:val="24"/>
        </w:rPr>
        <w:t xml:space="preserve">de cette dernière </w:t>
      </w:r>
      <w:r w:rsidR="007415BE" w:rsidRPr="007F5517">
        <w:rPr>
          <w:sz w:val="24"/>
          <w:szCs w:val="24"/>
        </w:rPr>
        <w:t xml:space="preserve">et induit une mobilité sociale </w:t>
      </w:r>
      <w:r w:rsidR="00CA43DB" w:rsidRPr="007F5517">
        <w:rPr>
          <w:sz w:val="24"/>
          <w:szCs w:val="24"/>
        </w:rPr>
        <w:t xml:space="preserve">globale </w:t>
      </w:r>
      <w:r w:rsidR="00AA7DA2" w:rsidRPr="007F5517">
        <w:rPr>
          <w:sz w:val="24"/>
          <w:szCs w:val="24"/>
        </w:rPr>
        <w:t xml:space="preserve">dont l’impact </w:t>
      </w:r>
      <w:r w:rsidR="000E7440" w:rsidRPr="007F5517">
        <w:rPr>
          <w:sz w:val="24"/>
          <w:szCs w:val="24"/>
        </w:rPr>
        <w:t xml:space="preserve">sur les individus </w:t>
      </w:r>
      <w:r w:rsidR="00AA7DA2" w:rsidRPr="007F5517">
        <w:rPr>
          <w:sz w:val="24"/>
          <w:szCs w:val="24"/>
        </w:rPr>
        <w:t>est différencié</w:t>
      </w:r>
      <w:r w:rsidR="005A57A6" w:rsidRPr="007F5517">
        <w:rPr>
          <w:sz w:val="24"/>
          <w:szCs w:val="24"/>
        </w:rPr>
        <w:t>,</w:t>
      </w:r>
      <w:r w:rsidR="007415BE" w:rsidRPr="007F5517">
        <w:rPr>
          <w:sz w:val="24"/>
          <w:szCs w:val="24"/>
        </w:rPr>
        <w:t xml:space="preserve"> </w:t>
      </w:r>
      <w:r w:rsidR="00AA7DA2" w:rsidRPr="007F5517">
        <w:rPr>
          <w:sz w:val="24"/>
          <w:szCs w:val="24"/>
        </w:rPr>
        <w:t xml:space="preserve">en fonction de leur </w:t>
      </w:r>
      <w:r w:rsidR="000E7440" w:rsidRPr="007F5517">
        <w:rPr>
          <w:sz w:val="24"/>
          <w:szCs w:val="24"/>
        </w:rPr>
        <w:t>situation dans</w:t>
      </w:r>
      <w:r w:rsidR="0022505D" w:rsidRPr="007F5517">
        <w:rPr>
          <w:sz w:val="24"/>
          <w:szCs w:val="24"/>
        </w:rPr>
        <w:t xml:space="preserve"> </w:t>
      </w:r>
      <w:r w:rsidR="000E7440" w:rsidRPr="007F5517">
        <w:rPr>
          <w:sz w:val="24"/>
          <w:szCs w:val="24"/>
        </w:rPr>
        <w:t>cette structure</w:t>
      </w:r>
      <w:r w:rsidR="0022505D" w:rsidRPr="007F5517">
        <w:rPr>
          <w:sz w:val="24"/>
          <w:szCs w:val="24"/>
        </w:rPr>
        <w:t>, de leur position sociale</w:t>
      </w:r>
      <w:r w:rsidR="007713C2" w:rsidRPr="007F5517">
        <w:rPr>
          <w:sz w:val="24"/>
          <w:szCs w:val="24"/>
        </w:rPr>
        <w:t xml:space="preserve"> et </w:t>
      </w:r>
      <w:r w:rsidR="0022505D" w:rsidRPr="007F5517">
        <w:rPr>
          <w:sz w:val="24"/>
          <w:szCs w:val="24"/>
        </w:rPr>
        <w:t>de</w:t>
      </w:r>
      <w:r w:rsidR="000E7440" w:rsidRPr="007F5517">
        <w:rPr>
          <w:sz w:val="24"/>
          <w:szCs w:val="24"/>
        </w:rPr>
        <w:t xml:space="preserve"> leur</w:t>
      </w:r>
      <w:r w:rsidR="0022505D" w:rsidRPr="007F5517">
        <w:rPr>
          <w:sz w:val="24"/>
          <w:szCs w:val="24"/>
        </w:rPr>
        <w:t xml:space="preserve">s aptitudes </w:t>
      </w:r>
      <w:r w:rsidR="00295ACC" w:rsidRPr="007F5517">
        <w:rPr>
          <w:sz w:val="24"/>
          <w:szCs w:val="24"/>
        </w:rPr>
        <w:t xml:space="preserve">culturelles </w:t>
      </w:r>
      <w:r w:rsidR="00B65911" w:rsidRPr="007F5517">
        <w:rPr>
          <w:sz w:val="24"/>
          <w:szCs w:val="24"/>
        </w:rPr>
        <w:t>héritées ou acquises.</w:t>
      </w:r>
    </w:p>
    <w:p w:rsidR="002829C2" w:rsidRPr="007F5517" w:rsidRDefault="00062150" w:rsidP="007F5517">
      <w:pPr>
        <w:spacing w:after="120"/>
        <w:ind w:firstLine="708"/>
        <w:jc w:val="both"/>
        <w:rPr>
          <w:sz w:val="24"/>
          <w:szCs w:val="24"/>
        </w:rPr>
      </w:pPr>
      <w:r w:rsidRPr="007F5517">
        <w:rPr>
          <w:sz w:val="24"/>
          <w:szCs w:val="24"/>
        </w:rPr>
        <w:t xml:space="preserve">Les études sur la mobilité sociale intergénérationnelle se proposent précisément d’appréhender </w:t>
      </w:r>
      <w:r w:rsidR="00EF43D2" w:rsidRPr="007F5517">
        <w:rPr>
          <w:sz w:val="24"/>
          <w:szCs w:val="24"/>
        </w:rPr>
        <w:t xml:space="preserve">l’impact </w:t>
      </w:r>
      <w:r w:rsidR="00295ACC" w:rsidRPr="007F5517">
        <w:rPr>
          <w:sz w:val="24"/>
          <w:szCs w:val="24"/>
        </w:rPr>
        <w:t>des</w:t>
      </w:r>
      <w:r w:rsidR="00EF43D2" w:rsidRPr="007F5517">
        <w:rPr>
          <w:sz w:val="24"/>
          <w:szCs w:val="24"/>
        </w:rPr>
        <w:t xml:space="preserve"> changement</w:t>
      </w:r>
      <w:r w:rsidR="00295ACC" w:rsidRPr="007F5517">
        <w:rPr>
          <w:sz w:val="24"/>
          <w:szCs w:val="24"/>
        </w:rPr>
        <w:t>s</w:t>
      </w:r>
      <w:r w:rsidR="00EF43D2" w:rsidRPr="007F5517">
        <w:rPr>
          <w:sz w:val="24"/>
          <w:szCs w:val="24"/>
        </w:rPr>
        <w:t xml:space="preserve"> socioéconomique</w:t>
      </w:r>
      <w:r w:rsidR="00295ACC" w:rsidRPr="007F5517">
        <w:rPr>
          <w:sz w:val="24"/>
          <w:szCs w:val="24"/>
        </w:rPr>
        <w:t>s</w:t>
      </w:r>
      <w:r w:rsidR="00EF43D2" w:rsidRPr="007F5517">
        <w:rPr>
          <w:sz w:val="24"/>
          <w:szCs w:val="24"/>
        </w:rPr>
        <w:t xml:space="preserve"> et culturel</w:t>
      </w:r>
      <w:r w:rsidR="00295ACC" w:rsidRPr="007F5517">
        <w:rPr>
          <w:sz w:val="24"/>
          <w:szCs w:val="24"/>
        </w:rPr>
        <w:t>s</w:t>
      </w:r>
      <w:r w:rsidR="00EF43D2" w:rsidRPr="007F5517">
        <w:rPr>
          <w:sz w:val="24"/>
          <w:szCs w:val="24"/>
        </w:rPr>
        <w:t xml:space="preserve"> sur le statut des individus en termes </w:t>
      </w:r>
      <w:r w:rsidR="006E514E" w:rsidRPr="007F5517">
        <w:rPr>
          <w:sz w:val="24"/>
          <w:szCs w:val="24"/>
        </w:rPr>
        <w:t xml:space="preserve">de gain </w:t>
      </w:r>
      <w:r w:rsidR="00295ACC" w:rsidRPr="007F5517">
        <w:rPr>
          <w:sz w:val="24"/>
          <w:szCs w:val="24"/>
        </w:rPr>
        <w:t>ou</w:t>
      </w:r>
      <w:r w:rsidR="006E514E" w:rsidRPr="007F5517">
        <w:rPr>
          <w:sz w:val="24"/>
          <w:szCs w:val="24"/>
        </w:rPr>
        <w:t xml:space="preserve"> de perte </w:t>
      </w:r>
      <w:r w:rsidR="00295ACC" w:rsidRPr="007F5517">
        <w:rPr>
          <w:sz w:val="24"/>
          <w:szCs w:val="24"/>
        </w:rPr>
        <w:t xml:space="preserve">à caractère </w:t>
      </w:r>
      <w:r w:rsidR="006E514E" w:rsidRPr="007F5517">
        <w:rPr>
          <w:sz w:val="24"/>
          <w:szCs w:val="24"/>
        </w:rPr>
        <w:t xml:space="preserve">économique, social ou </w:t>
      </w:r>
      <w:r w:rsidR="00295ACC" w:rsidRPr="007F5517">
        <w:rPr>
          <w:sz w:val="24"/>
          <w:szCs w:val="24"/>
        </w:rPr>
        <w:t>symbolique</w:t>
      </w:r>
      <w:r w:rsidR="001C21EE" w:rsidRPr="007F5517">
        <w:rPr>
          <w:sz w:val="24"/>
          <w:szCs w:val="24"/>
        </w:rPr>
        <w:t xml:space="preserve">. Elles permettent </w:t>
      </w:r>
      <w:r w:rsidR="00295ACC" w:rsidRPr="007F5517">
        <w:rPr>
          <w:sz w:val="24"/>
          <w:szCs w:val="24"/>
        </w:rPr>
        <w:t xml:space="preserve">ainsi </w:t>
      </w:r>
      <w:r w:rsidR="001C21EE" w:rsidRPr="007F5517">
        <w:rPr>
          <w:sz w:val="24"/>
          <w:szCs w:val="24"/>
        </w:rPr>
        <w:t>d’appréhender</w:t>
      </w:r>
      <w:r w:rsidR="00843DF2" w:rsidRPr="007F5517">
        <w:rPr>
          <w:sz w:val="24"/>
          <w:szCs w:val="24"/>
        </w:rPr>
        <w:t xml:space="preserve"> également d</w:t>
      </w:r>
      <w:r w:rsidR="001C21EE" w:rsidRPr="007F5517">
        <w:rPr>
          <w:sz w:val="24"/>
          <w:szCs w:val="24"/>
        </w:rPr>
        <w:t>es facteurs qui favorisent</w:t>
      </w:r>
      <w:r w:rsidR="0052731B" w:rsidRPr="007F5517">
        <w:rPr>
          <w:sz w:val="24"/>
          <w:szCs w:val="24"/>
        </w:rPr>
        <w:t>,</w:t>
      </w:r>
      <w:r w:rsidR="001C21EE" w:rsidRPr="007F5517">
        <w:rPr>
          <w:sz w:val="24"/>
          <w:szCs w:val="24"/>
        </w:rPr>
        <w:t xml:space="preserve"> </w:t>
      </w:r>
      <w:r w:rsidR="0052731B" w:rsidRPr="007F5517">
        <w:rPr>
          <w:sz w:val="24"/>
          <w:szCs w:val="24"/>
        </w:rPr>
        <w:t xml:space="preserve">pour les uns, </w:t>
      </w:r>
      <w:r w:rsidR="001C21EE" w:rsidRPr="007F5517">
        <w:rPr>
          <w:sz w:val="24"/>
          <w:szCs w:val="24"/>
        </w:rPr>
        <w:t xml:space="preserve">une mobilité ascendante </w:t>
      </w:r>
      <w:r w:rsidR="0052731B" w:rsidRPr="007F5517">
        <w:rPr>
          <w:sz w:val="24"/>
          <w:szCs w:val="24"/>
        </w:rPr>
        <w:t>et, pour les autres, une mobilité</w:t>
      </w:r>
      <w:r w:rsidR="001C21EE" w:rsidRPr="007F5517">
        <w:rPr>
          <w:sz w:val="24"/>
          <w:szCs w:val="24"/>
        </w:rPr>
        <w:t xml:space="preserve"> descendante et cons</w:t>
      </w:r>
      <w:r w:rsidR="00C85567" w:rsidRPr="007F5517">
        <w:rPr>
          <w:sz w:val="24"/>
          <w:szCs w:val="24"/>
        </w:rPr>
        <w:t>ti</w:t>
      </w:r>
      <w:r w:rsidR="001C21EE" w:rsidRPr="007F5517">
        <w:rPr>
          <w:sz w:val="24"/>
          <w:szCs w:val="24"/>
        </w:rPr>
        <w:t>tuent</w:t>
      </w:r>
      <w:r w:rsidR="0052731B" w:rsidRPr="007F5517">
        <w:rPr>
          <w:sz w:val="24"/>
          <w:szCs w:val="24"/>
        </w:rPr>
        <w:t>,</w:t>
      </w:r>
      <w:r w:rsidR="001C21EE" w:rsidRPr="007F5517">
        <w:rPr>
          <w:sz w:val="24"/>
          <w:szCs w:val="24"/>
        </w:rPr>
        <w:t xml:space="preserve"> par là</w:t>
      </w:r>
      <w:r w:rsidR="0052731B" w:rsidRPr="007F5517">
        <w:rPr>
          <w:sz w:val="24"/>
          <w:szCs w:val="24"/>
        </w:rPr>
        <w:t>,</w:t>
      </w:r>
      <w:r w:rsidR="001C21EE" w:rsidRPr="007F5517">
        <w:rPr>
          <w:sz w:val="24"/>
          <w:szCs w:val="24"/>
        </w:rPr>
        <w:t xml:space="preserve"> une autre approche des inégalités de chances dans </w:t>
      </w:r>
      <w:r w:rsidR="0052731B" w:rsidRPr="007F5517">
        <w:rPr>
          <w:sz w:val="24"/>
          <w:szCs w:val="24"/>
        </w:rPr>
        <w:t>une formation économique et sociale</w:t>
      </w:r>
      <w:r w:rsidR="001C21EE" w:rsidRPr="007F5517">
        <w:rPr>
          <w:sz w:val="24"/>
          <w:szCs w:val="24"/>
        </w:rPr>
        <w:t>.</w:t>
      </w:r>
    </w:p>
    <w:p w:rsidR="00B65911" w:rsidRPr="007F5517" w:rsidRDefault="001C21EE" w:rsidP="007F5517">
      <w:pPr>
        <w:spacing w:after="120"/>
        <w:ind w:firstLine="708"/>
        <w:jc w:val="both"/>
        <w:rPr>
          <w:sz w:val="24"/>
          <w:szCs w:val="24"/>
        </w:rPr>
      </w:pPr>
      <w:r w:rsidRPr="007F5517">
        <w:rPr>
          <w:sz w:val="24"/>
          <w:szCs w:val="24"/>
        </w:rPr>
        <w:t>C’est dire qu’</w:t>
      </w:r>
      <w:r w:rsidR="00C85567" w:rsidRPr="007F5517">
        <w:rPr>
          <w:sz w:val="24"/>
          <w:szCs w:val="24"/>
        </w:rPr>
        <w:t xml:space="preserve">une étude </w:t>
      </w:r>
      <w:r w:rsidRPr="007F5517">
        <w:rPr>
          <w:sz w:val="24"/>
          <w:szCs w:val="24"/>
        </w:rPr>
        <w:t xml:space="preserve">sur la mobilité sociale </w:t>
      </w:r>
      <w:r w:rsidR="00CD5934" w:rsidRPr="007F5517">
        <w:rPr>
          <w:sz w:val="24"/>
          <w:szCs w:val="24"/>
        </w:rPr>
        <w:t xml:space="preserve">intergénérationnelle </w:t>
      </w:r>
      <w:r w:rsidRPr="007F5517">
        <w:rPr>
          <w:sz w:val="24"/>
          <w:szCs w:val="24"/>
        </w:rPr>
        <w:t xml:space="preserve">requiert </w:t>
      </w:r>
      <w:r w:rsidR="00C85567" w:rsidRPr="007F5517">
        <w:rPr>
          <w:sz w:val="24"/>
          <w:szCs w:val="24"/>
        </w:rPr>
        <w:t xml:space="preserve">la disponibilité d’un faisceau d’enquêtes et d’études </w:t>
      </w:r>
      <w:r w:rsidR="00CD5934" w:rsidRPr="007F5517">
        <w:rPr>
          <w:sz w:val="24"/>
          <w:szCs w:val="24"/>
        </w:rPr>
        <w:t>pluridisciplinaire</w:t>
      </w:r>
      <w:r w:rsidR="005445DE" w:rsidRPr="007F5517">
        <w:rPr>
          <w:sz w:val="24"/>
          <w:szCs w:val="24"/>
        </w:rPr>
        <w:t>,</w:t>
      </w:r>
      <w:r w:rsidR="00C85567" w:rsidRPr="007F5517">
        <w:rPr>
          <w:sz w:val="24"/>
          <w:szCs w:val="24"/>
        </w:rPr>
        <w:t xml:space="preserve"> </w:t>
      </w:r>
      <w:r w:rsidR="000A3BC5" w:rsidRPr="007F5517">
        <w:rPr>
          <w:sz w:val="24"/>
          <w:szCs w:val="24"/>
        </w:rPr>
        <w:t xml:space="preserve">afin d’évaluer </w:t>
      </w:r>
      <w:r w:rsidR="00CD5934" w:rsidRPr="007F5517">
        <w:rPr>
          <w:sz w:val="24"/>
          <w:szCs w:val="24"/>
        </w:rPr>
        <w:t>la nature d</w:t>
      </w:r>
      <w:r w:rsidR="000A3BC5" w:rsidRPr="007F5517">
        <w:rPr>
          <w:sz w:val="24"/>
          <w:szCs w:val="24"/>
        </w:rPr>
        <w:t>es g</w:t>
      </w:r>
      <w:r w:rsidR="00CD5934" w:rsidRPr="007F5517">
        <w:rPr>
          <w:sz w:val="24"/>
          <w:szCs w:val="24"/>
        </w:rPr>
        <w:t>ains ou d</w:t>
      </w:r>
      <w:r w:rsidR="000A3BC5" w:rsidRPr="007F5517">
        <w:rPr>
          <w:sz w:val="24"/>
          <w:szCs w:val="24"/>
        </w:rPr>
        <w:t xml:space="preserve">es pertes </w:t>
      </w:r>
      <w:r w:rsidR="0087721B" w:rsidRPr="007F5517">
        <w:rPr>
          <w:sz w:val="24"/>
          <w:szCs w:val="24"/>
        </w:rPr>
        <w:t>qu’elle induit pour l</w:t>
      </w:r>
      <w:r w:rsidR="000A3BC5" w:rsidRPr="007F5517">
        <w:rPr>
          <w:sz w:val="24"/>
          <w:szCs w:val="24"/>
        </w:rPr>
        <w:t>es individus</w:t>
      </w:r>
      <w:r w:rsidR="00FA376B" w:rsidRPr="007F5517">
        <w:rPr>
          <w:sz w:val="24"/>
          <w:szCs w:val="24"/>
        </w:rPr>
        <w:t xml:space="preserve"> de</w:t>
      </w:r>
      <w:r w:rsidR="00F15BFB" w:rsidRPr="007F5517">
        <w:rPr>
          <w:sz w:val="24"/>
          <w:szCs w:val="24"/>
        </w:rPr>
        <w:t>s</w:t>
      </w:r>
      <w:r w:rsidR="00FA376B" w:rsidRPr="007F5517">
        <w:rPr>
          <w:sz w:val="24"/>
          <w:szCs w:val="24"/>
        </w:rPr>
        <w:t xml:space="preserve"> différentes catégories sociales</w:t>
      </w:r>
      <w:r w:rsidR="005445DE" w:rsidRPr="007F5517">
        <w:rPr>
          <w:sz w:val="24"/>
          <w:szCs w:val="24"/>
        </w:rPr>
        <w:t>,</w:t>
      </w:r>
      <w:r w:rsidR="000A3BC5" w:rsidRPr="007F5517">
        <w:rPr>
          <w:sz w:val="24"/>
          <w:szCs w:val="24"/>
        </w:rPr>
        <w:t xml:space="preserve"> </w:t>
      </w:r>
      <w:r w:rsidR="00F15BFB" w:rsidRPr="007F5517">
        <w:rPr>
          <w:sz w:val="24"/>
          <w:szCs w:val="24"/>
        </w:rPr>
        <w:t xml:space="preserve">par référence </w:t>
      </w:r>
      <w:r w:rsidR="000A3BC5" w:rsidRPr="007F5517">
        <w:rPr>
          <w:sz w:val="24"/>
          <w:szCs w:val="24"/>
        </w:rPr>
        <w:t xml:space="preserve">à des indicateurs </w:t>
      </w:r>
      <w:r w:rsidR="001F186A" w:rsidRPr="007F5517">
        <w:rPr>
          <w:sz w:val="24"/>
          <w:szCs w:val="24"/>
        </w:rPr>
        <w:t xml:space="preserve">non seulement </w:t>
      </w:r>
      <w:r w:rsidR="000A3BC5" w:rsidRPr="007F5517">
        <w:rPr>
          <w:sz w:val="24"/>
          <w:szCs w:val="24"/>
        </w:rPr>
        <w:t>à caractère objectif tel</w:t>
      </w:r>
      <w:r w:rsidR="005445DE" w:rsidRPr="007F5517">
        <w:rPr>
          <w:sz w:val="24"/>
          <w:szCs w:val="24"/>
        </w:rPr>
        <w:t>s</w:t>
      </w:r>
      <w:r w:rsidR="000A3BC5" w:rsidRPr="007F5517">
        <w:rPr>
          <w:sz w:val="24"/>
          <w:szCs w:val="24"/>
        </w:rPr>
        <w:t xml:space="preserve"> que le revenu ou le </w:t>
      </w:r>
      <w:r w:rsidR="000A3BC5" w:rsidRPr="007F5517">
        <w:rPr>
          <w:sz w:val="24"/>
          <w:szCs w:val="24"/>
        </w:rPr>
        <w:lastRenderedPageBreak/>
        <w:t xml:space="preserve">niveau d’éducation mais également </w:t>
      </w:r>
      <w:r w:rsidR="001F186A" w:rsidRPr="007F5517">
        <w:rPr>
          <w:sz w:val="24"/>
          <w:szCs w:val="24"/>
        </w:rPr>
        <w:t xml:space="preserve">à caractère </w:t>
      </w:r>
      <w:r w:rsidR="000A3BC5" w:rsidRPr="007F5517">
        <w:rPr>
          <w:sz w:val="24"/>
          <w:szCs w:val="24"/>
        </w:rPr>
        <w:t xml:space="preserve">subjectif tels que </w:t>
      </w:r>
      <w:r w:rsidR="00267ED6" w:rsidRPr="007F5517">
        <w:rPr>
          <w:sz w:val="24"/>
          <w:szCs w:val="24"/>
        </w:rPr>
        <w:t>les indices de prestige social.</w:t>
      </w:r>
    </w:p>
    <w:p w:rsidR="0062443B" w:rsidRPr="007F5517" w:rsidRDefault="0062443B" w:rsidP="007F0C42">
      <w:pPr>
        <w:spacing w:after="120"/>
        <w:ind w:firstLine="708"/>
        <w:jc w:val="both"/>
        <w:rPr>
          <w:sz w:val="24"/>
          <w:szCs w:val="24"/>
        </w:rPr>
      </w:pPr>
      <w:r w:rsidRPr="007F5517">
        <w:rPr>
          <w:sz w:val="24"/>
          <w:szCs w:val="24"/>
        </w:rPr>
        <w:t xml:space="preserve">A défaut de ces études, </w:t>
      </w:r>
      <w:r w:rsidR="0004205B" w:rsidRPr="007F5517">
        <w:rPr>
          <w:sz w:val="24"/>
          <w:szCs w:val="24"/>
        </w:rPr>
        <w:t>la présente</w:t>
      </w:r>
      <w:r w:rsidRPr="007F5517">
        <w:rPr>
          <w:sz w:val="24"/>
          <w:szCs w:val="24"/>
        </w:rPr>
        <w:t xml:space="preserve"> enquête nationale </w:t>
      </w:r>
      <w:r w:rsidR="0004205B" w:rsidRPr="007F5517">
        <w:rPr>
          <w:sz w:val="24"/>
          <w:szCs w:val="24"/>
        </w:rPr>
        <w:t xml:space="preserve">sur la mobilité intergénérationnelle </w:t>
      </w:r>
      <w:r w:rsidR="00CF39AB" w:rsidRPr="007F5517">
        <w:rPr>
          <w:sz w:val="24"/>
          <w:szCs w:val="24"/>
        </w:rPr>
        <w:t>réalis</w:t>
      </w:r>
      <w:r w:rsidR="0004205B" w:rsidRPr="007F5517">
        <w:rPr>
          <w:sz w:val="24"/>
          <w:szCs w:val="24"/>
        </w:rPr>
        <w:t xml:space="preserve">ée </w:t>
      </w:r>
      <w:r w:rsidRPr="007F5517">
        <w:rPr>
          <w:sz w:val="24"/>
          <w:szCs w:val="24"/>
        </w:rPr>
        <w:t>auprès des personnes âgées de 20 ans et plus, membres de 60.000 ménages</w:t>
      </w:r>
      <w:r w:rsidR="00D70690" w:rsidRPr="007F5517">
        <w:rPr>
          <w:sz w:val="24"/>
          <w:szCs w:val="24"/>
        </w:rPr>
        <w:t>, s</w:t>
      </w:r>
      <w:r w:rsidR="00E76057" w:rsidRPr="007F5517">
        <w:rPr>
          <w:sz w:val="24"/>
          <w:szCs w:val="24"/>
        </w:rPr>
        <w:t>’</w:t>
      </w:r>
      <w:r w:rsidR="00D70690" w:rsidRPr="007F5517">
        <w:rPr>
          <w:sz w:val="24"/>
          <w:szCs w:val="24"/>
        </w:rPr>
        <w:t>e</w:t>
      </w:r>
      <w:r w:rsidR="00E76057" w:rsidRPr="007F5517">
        <w:rPr>
          <w:sz w:val="24"/>
          <w:szCs w:val="24"/>
        </w:rPr>
        <w:t>st</w:t>
      </w:r>
      <w:r w:rsidR="00D70690" w:rsidRPr="007F5517">
        <w:rPr>
          <w:sz w:val="24"/>
          <w:szCs w:val="24"/>
        </w:rPr>
        <w:t xml:space="preserve"> </w:t>
      </w:r>
      <w:r w:rsidR="00E76057" w:rsidRPr="007F5517">
        <w:rPr>
          <w:sz w:val="24"/>
          <w:szCs w:val="24"/>
        </w:rPr>
        <w:t>donné pour objectif</w:t>
      </w:r>
      <w:r w:rsidR="00D70690" w:rsidRPr="007F5517">
        <w:rPr>
          <w:sz w:val="24"/>
          <w:szCs w:val="24"/>
        </w:rPr>
        <w:t xml:space="preserve"> d’</w:t>
      </w:r>
      <w:r w:rsidRPr="007F5517">
        <w:rPr>
          <w:sz w:val="24"/>
          <w:szCs w:val="24"/>
        </w:rPr>
        <w:t xml:space="preserve">analyser les changements qui ont affecté les caractéristiques </w:t>
      </w:r>
      <w:r w:rsidR="001A7D6F" w:rsidRPr="007F5517">
        <w:rPr>
          <w:sz w:val="24"/>
          <w:szCs w:val="24"/>
        </w:rPr>
        <w:t xml:space="preserve">socioprofessionnelles et culturelle </w:t>
      </w:r>
      <w:r w:rsidRPr="007F5517">
        <w:rPr>
          <w:sz w:val="24"/>
          <w:szCs w:val="24"/>
        </w:rPr>
        <w:t xml:space="preserve">de cette tranche </w:t>
      </w:r>
      <w:r w:rsidR="001A7D6F" w:rsidRPr="007F5517">
        <w:rPr>
          <w:sz w:val="24"/>
          <w:szCs w:val="24"/>
        </w:rPr>
        <w:t>d’âge,</w:t>
      </w:r>
      <w:r w:rsidRPr="007F5517">
        <w:rPr>
          <w:sz w:val="24"/>
          <w:szCs w:val="24"/>
        </w:rPr>
        <w:t xml:space="preserve"> par rapport à </w:t>
      </w:r>
      <w:r w:rsidR="001A7D6F" w:rsidRPr="007F5517">
        <w:rPr>
          <w:sz w:val="24"/>
          <w:szCs w:val="24"/>
        </w:rPr>
        <w:t>celles de</w:t>
      </w:r>
      <w:r w:rsidRPr="007F5517">
        <w:rPr>
          <w:sz w:val="24"/>
          <w:szCs w:val="24"/>
        </w:rPr>
        <w:t xml:space="preserve"> leur père</w:t>
      </w:r>
      <w:r w:rsidR="00191249" w:rsidRPr="007F5517">
        <w:rPr>
          <w:sz w:val="24"/>
          <w:szCs w:val="24"/>
        </w:rPr>
        <w:t xml:space="preserve">. </w:t>
      </w:r>
      <w:r w:rsidR="001A7D6F" w:rsidRPr="007F5517">
        <w:rPr>
          <w:sz w:val="24"/>
          <w:szCs w:val="24"/>
        </w:rPr>
        <w:t xml:space="preserve">Elle constitue, dès lors, une première approche de la mobilité intergénérationnelle dans notre pays. </w:t>
      </w:r>
      <w:r w:rsidR="00DD4A1A" w:rsidRPr="007F5517">
        <w:rPr>
          <w:sz w:val="24"/>
          <w:szCs w:val="24"/>
        </w:rPr>
        <w:t xml:space="preserve">Nous </w:t>
      </w:r>
      <w:r w:rsidR="007F0C42">
        <w:rPr>
          <w:sz w:val="24"/>
          <w:szCs w:val="24"/>
        </w:rPr>
        <w:t>pens</w:t>
      </w:r>
      <w:r w:rsidR="00DD4A1A" w:rsidRPr="007F5517">
        <w:rPr>
          <w:sz w:val="24"/>
          <w:szCs w:val="24"/>
        </w:rPr>
        <w:t xml:space="preserve">ons, à cet égard, que </w:t>
      </w:r>
      <w:r w:rsidR="003F7CDB" w:rsidRPr="007F5517">
        <w:rPr>
          <w:sz w:val="24"/>
          <w:szCs w:val="24"/>
        </w:rPr>
        <w:t xml:space="preserve">cette enquête </w:t>
      </w:r>
      <w:r w:rsidR="007F0C42">
        <w:rPr>
          <w:sz w:val="24"/>
          <w:szCs w:val="24"/>
        </w:rPr>
        <w:t xml:space="preserve">acquerra </w:t>
      </w:r>
      <w:r w:rsidR="003F7CDB" w:rsidRPr="007F5517">
        <w:rPr>
          <w:sz w:val="24"/>
          <w:szCs w:val="24"/>
        </w:rPr>
        <w:t xml:space="preserve">plus d’importance et de signification </w:t>
      </w:r>
      <w:r w:rsidR="00024265">
        <w:rPr>
          <w:sz w:val="24"/>
          <w:szCs w:val="24"/>
        </w:rPr>
        <w:t xml:space="preserve">si </w:t>
      </w:r>
      <w:r w:rsidR="003F7CDB" w:rsidRPr="007F5517">
        <w:rPr>
          <w:sz w:val="24"/>
          <w:szCs w:val="24"/>
        </w:rPr>
        <w:t xml:space="preserve">elle </w:t>
      </w:r>
      <w:r w:rsidR="00024265">
        <w:rPr>
          <w:sz w:val="24"/>
          <w:szCs w:val="24"/>
        </w:rPr>
        <w:t xml:space="preserve">devait </w:t>
      </w:r>
      <w:r w:rsidR="003F7CDB" w:rsidRPr="007F5517">
        <w:rPr>
          <w:sz w:val="24"/>
          <w:szCs w:val="24"/>
        </w:rPr>
        <w:t>se prolonger, dans l’avenir, par d’autres enquêtes portant sur d’autres générations et se basant sur des nomenclatures homogènes et stables des métiers et des compétences</w:t>
      </w:r>
      <w:r w:rsidR="005045BC" w:rsidRPr="007F5517">
        <w:rPr>
          <w:sz w:val="24"/>
          <w:szCs w:val="24"/>
        </w:rPr>
        <w:t>.</w:t>
      </w:r>
    </w:p>
    <w:p w:rsidR="005045BC" w:rsidRPr="007F5517" w:rsidRDefault="005045BC" w:rsidP="007F5517">
      <w:pPr>
        <w:spacing w:after="120"/>
        <w:ind w:firstLine="708"/>
        <w:jc w:val="both"/>
        <w:rPr>
          <w:sz w:val="24"/>
          <w:szCs w:val="24"/>
        </w:rPr>
      </w:pPr>
      <w:r w:rsidRPr="007F5517">
        <w:rPr>
          <w:sz w:val="24"/>
          <w:szCs w:val="24"/>
        </w:rPr>
        <w:t xml:space="preserve">C’est dire que l’actuelle étude que nous présentons aujourd’hui </w:t>
      </w:r>
      <w:r w:rsidR="002829C2" w:rsidRPr="007F5517">
        <w:rPr>
          <w:sz w:val="24"/>
          <w:szCs w:val="24"/>
        </w:rPr>
        <w:t>et qui est la première du genre dans notre pays</w:t>
      </w:r>
      <w:r w:rsidR="00AE560E" w:rsidRPr="007F5517">
        <w:rPr>
          <w:sz w:val="24"/>
          <w:szCs w:val="24"/>
        </w:rPr>
        <w:t>,</w:t>
      </w:r>
      <w:r w:rsidR="002829C2" w:rsidRPr="007F5517">
        <w:rPr>
          <w:sz w:val="24"/>
          <w:szCs w:val="24"/>
        </w:rPr>
        <w:t xml:space="preserve"> doit être perçue comme l’ouverture à de nouveaux travaux auxquels sont invités à contribuer toutes les disciplines relevant des sciences sociales et tous les cadres et experts du </w:t>
      </w:r>
      <w:r w:rsidR="003F7CDB" w:rsidRPr="007F5517">
        <w:rPr>
          <w:sz w:val="24"/>
          <w:szCs w:val="24"/>
        </w:rPr>
        <w:t>H</w:t>
      </w:r>
      <w:r w:rsidR="002829C2" w:rsidRPr="007F5517">
        <w:rPr>
          <w:sz w:val="24"/>
          <w:szCs w:val="24"/>
        </w:rPr>
        <w:t xml:space="preserve">aut </w:t>
      </w:r>
      <w:r w:rsidR="003F7CDB" w:rsidRPr="007F5517">
        <w:rPr>
          <w:sz w:val="24"/>
          <w:szCs w:val="24"/>
        </w:rPr>
        <w:t>C</w:t>
      </w:r>
      <w:r w:rsidR="002829C2" w:rsidRPr="007F5517">
        <w:rPr>
          <w:sz w:val="24"/>
          <w:szCs w:val="24"/>
        </w:rPr>
        <w:t>ommissariat au Plan qui auront à développer ce créneau de recherche et à actualiser le</w:t>
      </w:r>
      <w:r w:rsidR="003F7CDB" w:rsidRPr="007F5517">
        <w:rPr>
          <w:sz w:val="24"/>
          <w:szCs w:val="24"/>
        </w:rPr>
        <w:t>ur</w:t>
      </w:r>
      <w:r w:rsidR="002829C2" w:rsidRPr="007F5517">
        <w:rPr>
          <w:sz w:val="24"/>
          <w:szCs w:val="24"/>
        </w:rPr>
        <w:t>s résultats</w:t>
      </w:r>
      <w:r w:rsidR="000E1AA8" w:rsidRPr="007F5517">
        <w:rPr>
          <w:sz w:val="24"/>
          <w:szCs w:val="24"/>
        </w:rPr>
        <w:t>.</w:t>
      </w:r>
    </w:p>
    <w:p w:rsidR="00AE560E" w:rsidRPr="007F5517" w:rsidRDefault="00951E62" w:rsidP="007F5517">
      <w:pPr>
        <w:spacing w:after="120"/>
        <w:ind w:firstLine="709"/>
        <w:jc w:val="both"/>
        <w:rPr>
          <w:sz w:val="24"/>
          <w:szCs w:val="24"/>
        </w:rPr>
      </w:pPr>
      <w:r w:rsidRPr="007F5517">
        <w:rPr>
          <w:sz w:val="24"/>
          <w:szCs w:val="24"/>
        </w:rPr>
        <w:t xml:space="preserve">Les enseignements sur la mobilité sociale dans notre pays qui peuvent être tirés des résultats de cette enquête, comme vous l’imaginez, sont particulièrement riches et variés. Je me limiterai personnellement à quelques uns, vous invitant à en suivre un exposé plus exhaustif. </w:t>
      </w:r>
    </w:p>
    <w:p w:rsidR="001E3081" w:rsidRPr="007F5517" w:rsidRDefault="00EC45D8" w:rsidP="007F5517">
      <w:pPr>
        <w:spacing w:after="120"/>
        <w:ind w:firstLine="709"/>
        <w:jc w:val="both"/>
        <w:rPr>
          <w:sz w:val="24"/>
          <w:szCs w:val="24"/>
        </w:rPr>
      </w:pPr>
      <w:r w:rsidRPr="007F5517">
        <w:rPr>
          <w:sz w:val="24"/>
          <w:szCs w:val="24"/>
        </w:rPr>
        <w:t xml:space="preserve">Je m’attacherai à faire quelques remarques classées en deux parties, </w:t>
      </w:r>
      <w:r w:rsidR="001E3081" w:rsidRPr="007F5517">
        <w:rPr>
          <w:sz w:val="24"/>
          <w:szCs w:val="24"/>
        </w:rPr>
        <w:t xml:space="preserve">la première </w:t>
      </w:r>
      <w:r w:rsidRPr="007F5517">
        <w:rPr>
          <w:sz w:val="24"/>
          <w:szCs w:val="24"/>
        </w:rPr>
        <w:t>port</w:t>
      </w:r>
      <w:r w:rsidR="001E3081" w:rsidRPr="007F5517">
        <w:rPr>
          <w:sz w:val="24"/>
          <w:szCs w:val="24"/>
        </w:rPr>
        <w:t>er</w:t>
      </w:r>
      <w:r w:rsidRPr="007F5517">
        <w:rPr>
          <w:sz w:val="24"/>
          <w:szCs w:val="24"/>
        </w:rPr>
        <w:t xml:space="preserve">a sur </w:t>
      </w:r>
      <w:r w:rsidR="001E3081" w:rsidRPr="007F5517">
        <w:rPr>
          <w:sz w:val="24"/>
          <w:szCs w:val="24"/>
        </w:rPr>
        <w:t>quelques aspects de la mobilité sociale elle-même, le seconde sur les facteurs à l’origine de la mobilité sociale</w:t>
      </w:r>
    </w:p>
    <w:p w:rsidR="001E3081" w:rsidRPr="007F5517" w:rsidRDefault="001E3081" w:rsidP="007F5517">
      <w:pPr>
        <w:spacing w:after="120"/>
        <w:jc w:val="both"/>
        <w:rPr>
          <w:b/>
          <w:bCs/>
          <w:sz w:val="24"/>
          <w:szCs w:val="24"/>
          <w:u w:val="single"/>
        </w:rPr>
      </w:pPr>
      <w:r w:rsidRPr="007F5517">
        <w:rPr>
          <w:b/>
          <w:bCs/>
          <w:sz w:val="24"/>
          <w:szCs w:val="24"/>
          <w:u w:val="single"/>
        </w:rPr>
        <w:t>1</w:t>
      </w:r>
      <w:r w:rsidRPr="007F5517">
        <w:rPr>
          <w:b/>
          <w:bCs/>
          <w:sz w:val="24"/>
          <w:szCs w:val="24"/>
          <w:u w:val="single"/>
          <w:vertAlign w:val="superscript"/>
        </w:rPr>
        <w:t>ère</w:t>
      </w:r>
      <w:r w:rsidRPr="007F5517">
        <w:rPr>
          <w:b/>
          <w:bCs/>
          <w:sz w:val="24"/>
          <w:szCs w:val="24"/>
          <w:u w:val="single"/>
        </w:rPr>
        <w:t xml:space="preserve"> partie : quelques remarques sur la mobilité sociale.</w:t>
      </w:r>
    </w:p>
    <w:p w:rsidR="00E811AE" w:rsidRPr="007F5517" w:rsidRDefault="00124A87" w:rsidP="007F5517">
      <w:pPr>
        <w:autoSpaceDE w:val="0"/>
        <w:autoSpaceDN w:val="0"/>
        <w:adjustRightInd w:val="0"/>
        <w:spacing w:after="120"/>
        <w:ind w:firstLine="709"/>
        <w:jc w:val="both"/>
        <w:rPr>
          <w:sz w:val="24"/>
          <w:szCs w:val="24"/>
        </w:rPr>
      </w:pPr>
      <w:r w:rsidRPr="007F5517">
        <w:rPr>
          <w:sz w:val="24"/>
          <w:szCs w:val="24"/>
        </w:rPr>
        <w:t xml:space="preserve">Cette enquête permet d’abord d’appréhender la mobilité sociale globale appelée mobilité brute par la mesure des changements qui ont affecté les statuts socioprofessionnels des individus d’une génération par rapport à leur père.  </w:t>
      </w:r>
      <w:r w:rsidR="001E3081" w:rsidRPr="007F5517">
        <w:rPr>
          <w:sz w:val="24"/>
          <w:szCs w:val="24"/>
        </w:rPr>
        <w:t>Sur cette question je voudrais formuler 3 remarques :</w:t>
      </w:r>
    </w:p>
    <w:p w:rsidR="00E811AE" w:rsidRPr="007F5517" w:rsidRDefault="001E3081" w:rsidP="007F5517">
      <w:pPr>
        <w:autoSpaceDE w:val="0"/>
        <w:autoSpaceDN w:val="0"/>
        <w:adjustRightInd w:val="0"/>
        <w:spacing w:after="120"/>
        <w:jc w:val="both"/>
        <w:rPr>
          <w:b/>
          <w:bCs/>
          <w:i/>
          <w:iCs/>
          <w:sz w:val="24"/>
          <w:szCs w:val="24"/>
        </w:rPr>
      </w:pPr>
      <w:r w:rsidRPr="007F5517">
        <w:rPr>
          <w:b/>
          <w:bCs/>
          <w:i/>
          <w:iCs/>
          <w:sz w:val="24"/>
          <w:szCs w:val="24"/>
          <w:u w:val="single"/>
        </w:rPr>
        <w:t>1</w:t>
      </w:r>
      <w:r w:rsidRPr="007F5517">
        <w:rPr>
          <w:b/>
          <w:bCs/>
          <w:i/>
          <w:iCs/>
          <w:sz w:val="24"/>
          <w:szCs w:val="24"/>
          <w:u w:val="single"/>
          <w:vertAlign w:val="superscript"/>
        </w:rPr>
        <w:t>ère</w:t>
      </w:r>
      <w:r w:rsidRPr="007F5517">
        <w:rPr>
          <w:b/>
          <w:bCs/>
          <w:i/>
          <w:iCs/>
          <w:sz w:val="24"/>
          <w:szCs w:val="24"/>
          <w:u w:val="single"/>
        </w:rPr>
        <w:t xml:space="preserve"> remarque</w:t>
      </w:r>
      <w:r w:rsidRPr="007F5517">
        <w:rPr>
          <w:b/>
          <w:bCs/>
          <w:i/>
          <w:iCs/>
          <w:sz w:val="24"/>
          <w:szCs w:val="24"/>
        </w:rPr>
        <w:t xml:space="preserve"> : </w:t>
      </w:r>
      <w:r w:rsidR="00E811AE" w:rsidRPr="007F5517">
        <w:rPr>
          <w:b/>
          <w:bCs/>
          <w:i/>
          <w:iCs/>
          <w:sz w:val="24"/>
          <w:szCs w:val="24"/>
        </w:rPr>
        <w:t xml:space="preserve">Une mobilité globale dite mobilité brute est d’abord </w:t>
      </w:r>
      <w:r w:rsidR="00946C83" w:rsidRPr="007F5517">
        <w:rPr>
          <w:b/>
          <w:bCs/>
          <w:i/>
          <w:iCs/>
          <w:sz w:val="24"/>
          <w:szCs w:val="24"/>
        </w:rPr>
        <w:t>celle</w:t>
      </w:r>
      <w:r w:rsidR="00E811AE" w:rsidRPr="007F5517">
        <w:rPr>
          <w:b/>
          <w:bCs/>
          <w:i/>
          <w:iCs/>
          <w:sz w:val="24"/>
          <w:szCs w:val="24"/>
        </w:rPr>
        <w:t xml:space="preserve"> des femmes et des habitants des villes</w:t>
      </w:r>
    </w:p>
    <w:p w:rsidR="007B162E" w:rsidRPr="007F5517" w:rsidRDefault="00124A87" w:rsidP="007F5517">
      <w:pPr>
        <w:autoSpaceDE w:val="0"/>
        <w:autoSpaceDN w:val="0"/>
        <w:adjustRightInd w:val="0"/>
        <w:spacing w:after="120"/>
        <w:ind w:firstLine="709"/>
        <w:jc w:val="both"/>
        <w:rPr>
          <w:sz w:val="24"/>
          <w:szCs w:val="24"/>
        </w:rPr>
      </w:pPr>
      <w:r w:rsidRPr="007F5517">
        <w:rPr>
          <w:sz w:val="24"/>
          <w:szCs w:val="24"/>
        </w:rPr>
        <w:t xml:space="preserve">Le Maroc aurait ainsi connu une mobilité sociale </w:t>
      </w:r>
      <w:r w:rsidR="007B162E" w:rsidRPr="007F5517">
        <w:rPr>
          <w:sz w:val="24"/>
          <w:szCs w:val="24"/>
        </w:rPr>
        <w:t xml:space="preserve">brute relativement </w:t>
      </w:r>
      <w:r w:rsidR="001D5902" w:rsidRPr="007F5517">
        <w:rPr>
          <w:sz w:val="24"/>
          <w:szCs w:val="24"/>
        </w:rPr>
        <w:t>élevée</w:t>
      </w:r>
      <w:r w:rsidR="007B162E" w:rsidRPr="007F5517">
        <w:rPr>
          <w:sz w:val="24"/>
          <w:szCs w:val="24"/>
        </w:rPr>
        <w:t>.</w:t>
      </w:r>
      <w:r w:rsidR="001D5902" w:rsidRPr="007F5517">
        <w:rPr>
          <w:sz w:val="24"/>
          <w:szCs w:val="24"/>
        </w:rPr>
        <w:t xml:space="preserve"> 68% des individu</w:t>
      </w:r>
      <w:r w:rsidR="007B162E" w:rsidRPr="007F5517">
        <w:rPr>
          <w:sz w:val="24"/>
          <w:szCs w:val="24"/>
        </w:rPr>
        <w:t>s</w:t>
      </w:r>
      <w:r w:rsidR="001D5902" w:rsidRPr="007F5517">
        <w:rPr>
          <w:sz w:val="24"/>
          <w:szCs w:val="24"/>
        </w:rPr>
        <w:t xml:space="preserve"> </w:t>
      </w:r>
      <w:r w:rsidR="007B162E" w:rsidRPr="007F5517">
        <w:rPr>
          <w:sz w:val="24"/>
          <w:szCs w:val="24"/>
        </w:rPr>
        <w:t>âgés</w:t>
      </w:r>
      <w:r w:rsidR="001D5902" w:rsidRPr="007F5517">
        <w:rPr>
          <w:sz w:val="24"/>
          <w:szCs w:val="24"/>
        </w:rPr>
        <w:t xml:space="preserve"> de 35 ans et plus </w:t>
      </w:r>
      <w:r w:rsidR="007B162E" w:rsidRPr="007F5517">
        <w:rPr>
          <w:sz w:val="24"/>
          <w:szCs w:val="24"/>
        </w:rPr>
        <w:t>appartienn</w:t>
      </w:r>
      <w:r w:rsidRPr="007F5517">
        <w:rPr>
          <w:sz w:val="24"/>
          <w:szCs w:val="24"/>
        </w:rPr>
        <w:t xml:space="preserve">ent </w:t>
      </w:r>
      <w:r w:rsidR="007B162E" w:rsidRPr="007F5517">
        <w:rPr>
          <w:sz w:val="24"/>
          <w:szCs w:val="24"/>
        </w:rPr>
        <w:t xml:space="preserve">à </w:t>
      </w:r>
      <w:r w:rsidRPr="007F5517">
        <w:rPr>
          <w:sz w:val="24"/>
          <w:szCs w:val="24"/>
        </w:rPr>
        <w:t>un groupe socioprofessionnel différent de celui de leur</w:t>
      </w:r>
      <w:r w:rsidR="007B162E" w:rsidRPr="007F5517">
        <w:rPr>
          <w:sz w:val="24"/>
          <w:szCs w:val="24"/>
        </w:rPr>
        <w:t>s</w:t>
      </w:r>
      <w:r w:rsidRPr="007F5517">
        <w:rPr>
          <w:sz w:val="24"/>
          <w:szCs w:val="24"/>
        </w:rPr>
        <w:t xml:space="preserve"> père</w:t>
      </w:r>
      <w:r w:rsidR="007B162E" w:rsidRPr="007F5517">
        <w:rPr>
          <w:sz w:val="24"/>
          <w:szCs w:val="24"/>
        </w:rPr>
        <w:t>s</w:t>
      </w:r>
      <w:r w:rsidRPr="007F5517">
        <w:rPr>
          <w:sz w:val="24"/>
          <w:szCs w:val="24"/>
        </w:rPr>
        <w:t>.</w:t>
      </w:r>
    </w:p>
    <w:p w:rsidR="007B162E" w:rsidRPr="007F5517" w:rsidRDefault="007B162E" w:rsidP="007F5517">
      <w:pPr>
        <w:autoSpaceDE w:val="0"/>
        <w:autoSpaceDN w:val="0"/>
        <w:adjustRightInd w:val="0"/>
        <w:spacing w:after="120"/>
        <w:ind w:firstLine="709"/>
        <w:jc w:val="both"/>
        <w:rPr>
          <w:sz w:val="24"/>
          <w:szCs w:val="24"/>
        </w:rPr>
      </w:pPr>
      <w:r w:rsidRPr="007F5517">
        <w:rPr>
          <w:sz w:val="24"/>
          <w:szCs w:val="24"/>
        </w:rPr>
        <w:t>C</w:t>
      </w:r>
      <w:r w:rsidR="00124A87" w:rsidRPr="007F5517">
        <w:rPr>
          <w:sz w:val="24"/>
          <w:szCs w:val="24"/>
        </w:rPr>
        <w:t xml:space="preserve">e taux est </w:t>
      </w:r>
      <w:r w:rsidRPr="007F5517">
        <w:rPr>
          <w:sz w:val="24"/>
          <w:szCs w:val="24"/>
        </w:rPr>
        <w:t xml:space="preserve">à comparé à celui </w:t>
      </w:r>
      <w:r w:rsidR="00124A87" w:rsidRPr="007F5517">
        <w:rPr>
          <w:sz w:val="24"/>
          <w:szCs w:val="24"/>
        </w:rPr>
        <w:t>de 74,8% en Belgique et de 78,8% au Canada</w:t>
      </w:r>
      <w:r w:rsidRPr="007F5517">
        <w:rPr>
          <w:sz w:val="24"/>
          <w:szCs w:val="24"/>
        </w:rPr>
        <w:t>.</w:t>
      </w:r>
      <w:r w:rsidR="00124A87" w:rsidRPr="007F5517">
        <w:rPr>
          <w:sz w:val="24"/>
          <w:szCs w:val="24"/>
        </w:rPr>
        <w:t xml:space="preserve">  </w:t>
      </w:r>
      <w:r w:rsidRPr="007F5517">
        <w:rPr>
          <w:sz w:val="24"/>
          <w:szCs w:val="24"/>
        </w:rPr>
        <w:t xml:space="preserve">Cette </w:t>
      </w:r>
      <w:r w:rsidR="00124A87" w:rsidRPr="007F5517">
        <w:rPr>
          <w:sz w:val="24"/>
          <w:szCs w:val="24"/>
        </w:rPr>
        <w:t xml:space="preserve">mobilité sociale </w:t>
      </w:r>
      <w:r w:rsidRPr="007F5517">
        <w:rPr>
          <w:sz w:val="24"/>
          <w:szCs w:val="24"/>
        </w:rPr>
        <w:t xml:space="preserve">globale </w:t>
      </w:r>
      <w:r w:rsidR="00124A87" w:rsidRPr="007F5517">
        <w:rPr>
          <w:sz w:val="24"/>
          <w:szCs w:val="24"/>
        </w:rPr>
        <w:t xml:space="preserve">brute </w:t>
      </w:r>
      <w:r w:rsidRPr="007F5517">
        <w:rPr>
          <w:sz w:val="24"/>
          <w:szCs w:val="24"/>
        </w:rPr>
        <w:t>est d’abord féminine et urbaine. Les taux de mobilité parmi les femmes est de 78,6% contre 63% pour les hommes. Il est de 75,1% pour les habitants des villes contre 59,2% pour les ruraux.</w:t>
      </w:r>
    </w:p>
    <w:p w:rsidR="007B162E" w:rsidRPr="007F5517" w:rsidRDefault="007B162E" w:rsidP="001C4198">
      <w:pPr>
        <w:autoSpaceDE w:val="0"/>
        <w:autoSpaceDN w:val="0"/>
        <w:adjustRightInd w:val="0"/>
        <w:spacing w:after="120"/>
        <w:ind w:firstLine="709"/>
        <w:jc w:val="both"/>
        <w:rPr>
          <w:sz w:val="24"/>
          <w:szCs w:val="24"/>
        </w:rPr>
      </w:pPr>
      <w:r w:rsidRPr="007F5517">
        <w:rPr>
          <w:sz w:val="24"/>
          <w:szCs w:val="24"/>
        </w:rPr>
        <w:lastRenderedPageBreak/>
        <w:t xml:space="preserve">L’analyse des facteurs qui ont contribué à cette mobilité brute montrent que les changements socioéconomiques à caractère structurel </w:t>
      </w:r>
      <w:r w:rsidR="001C4198">
        <w:rPr>
          <w:sz w:val="24"/>
          <w:szCs w:val="24"/>
        </w:rPr>
        <w:t xml:space="preserve">ont constitué </w:t>
      </w:r>
      <w:r w:rsidRPr="007F5517">
        <w:rPr>
          <w:sz w:val="24"/>
          <w:szCs w:val="24"/>
        </w:rPr>
        <w:t xml:space="preserve">le principal facteur de changement </w:t>
      </w:r>
      <w:r w:rsidR="001C4198">
        <w:rPr>
          <w:sz w:val="24"/>
          <w:szCs w:val="24"/>
        </w:rPr>
        <w:t>dans le</w:t>
      </w:r>
      <w:r w:rsidRPr="007F5517">
        <w:rPr>
          <w:sz w:val="24"/>
          <w:szCs w:val="24"/>
        </w:rPr>
        <w:t xml:space="preserve"> milieu rural </w:t>
      </w:r>
      <w:r w:rsidR="00E811AE" w:rsidRPr="00065025">
        <w:rPr>
          <w:sz w:val="24"/>
          <w:szCs w:val="24"/>
        </w:rPr>
        <w:t>et parmi les femmes</w:t>
      </w:r>
      <w:r w:rsidR="00E811AE" w:rsidRPr="007F5517">
        <w:rPr>
          <w:sz w:val="24"/>
          <w:szCs w:val="24"/>
        </w:rPr>
        <w:t xml:space="preserve">. C’est ainsi que la mobilité dite structurelle a contribué pour près de 76% à la mobilité brute, en milieu rural contre 52%, en milieu urbain, pour 70% parmi les femmes contre 55,7% parmi les hommes. </w:t>
      </w:r>
    </w:p>
    <w:p w:rsidR="007B162E" w:rsidRPr="007F5517" w:rsidRDefault="007B162E" w:rsidP="007F5517">
      <w:pPr>
        <w:autoSpaceDE w:val="0"/>
        <w:autoSpaceDN w:val="0"/>
        <w:adjustRightInd w:val="0"/>
        <w:spacing w:after="0"/>
        <w:ind w:firstLine="708"/>
        <w:jc w:val="both"/>
        <w:rPr>
          <w:rFonts w:cs="Times New Roman"/>
          <w:sz w:val="24"/>
          <w:szCs w:val="24"/>
        </w:rPr>
      </w:pPr>
    </w:p>
    <w:p w:rsidR="00124A87" w:rsidRPr="007F5517" w:rsidRDefault="004F271E" w:rsidP="007F5517">
      <w:pPr>
        <w:spacing w:after="0"/>
        <w:jc w:val="center"/>
        <w:rPr>
          <w:rFonts w:cs="Times New Roman"/>
          <w:b/>
          <w:bCs/>
          <w:sz w:val="24"/>
          <w:szCs w:val="24"/>
        </w:rPr>
      </w:pPr>
      <w:r>
        <w:rPr>
          <w:rFonts w:cs="Times New Roman"/>
          <w:b/>
          <w:bCs/>
          <w:noProof/>
          <w:sz w:val="24"/>
          <w:szCs w:val="24"/>
          <w:lang w:eastAsia="fr-FR"/>
        </w:rPr>
        <w:drawing>
          <wp:inline distT="0" distB="0" distL="0" distR="0">
            <wp:extent cx="3848100" cy="2159000"/>
            <wp:effectExtent l="0" t="0" r="0" b="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4A87" w:rsidRPr="007F5517" w:rsidRDefault="00124A87" w:rsidP="007F5517">
      <w:pPr>
        <w:spacing w:after="0"/>
        <w:jc w:val="both"/>
        <w:rPr>
          <w:rFonts w:cs="Times New Roman"/>
          <w:b/>
          <w:bCs/>
          <w:sz w:val="24"/>
          <w:szCs w:val="24"/>
        </w:rPr>
      </w:pPr>
    </w:p>
    <w:p w:rsidR="00946C83" w:rsidRPr="007F5517" w:rsidRDefault="001E3081" w:rsidP="007F5517">
      <w:pPr>
        <w:pStyle w:val="NormalWeb"/>
        <w:spacing w:before="0" w:beforeAutospacing="0" w:after="120" w:afterAutospacing="0" w:line="276" w:lineRule="auto"/>
        <w:jc w:val="both"/>
        <w:rPr>
          <w:rFonts w:ascii="Calibri" w:eastAsia="Calibri" w:hAnsi="Calibri" w:cs="Arial"/>
          <w:b/>
          <w:bCs/>
          <w:i/>
          <w:iCs/>
          <w:lang w:eastAsia="en-US"/>
        </w:rPr>
      </w:pPr>
      <w:r w:rsidRPr="007F5517">
        <w:rPr>
          <w:rFonts w:ascii="Calibri" w:eastAsia="Calibri" w:hAnsi="Calibri" w:cs="Arial"/>
          <w:b/>
          <w:bCs/>
          <w:i/>
          <w:iCs/>
          <w:u w:val="single"/>
          <w:lang w:eastAsia="en-US"/>
        </w:rPr>
        <w:t>2</w:t>
      </w:r>
      <w:r w:rsidRPr="007F5517">
        <w:rPr>
          <w:rFonts w:ascii="Calibri" w:eastAsia="Calibri" w:hAnsi="Calibri" w:cs="Arial"/>
          <w:b/>
          <w:bCs/>
          <w:i/>
          <w:iCs/>
          <w:u w:val="single"/>
          <w:vertAlign w:val="superscript"/>
          <w:lang w:eastAsia="en-US"/>
        </w:rPr>
        <w:t>ème</w:t>
      </w:r>
      <w:r w:rsidRPr="007F5517">
        <w:rPr>
          <w:rFonts w:ascii="Calibri" w:eastAsia="Calibri" w:hAnsi="Calibri" w:cs="Arial"/>
          <w:b/>
          <w:bCs/>
          <w:i/>
          <w:iCs/>
          <w:u w:val="single"/>
          <w:lang w:eastAsia="en-US"/>
        </w:rPr>
        <w:t xml:space="preserve"> remarque</w:t>
      </w:r>
      <w:r w:rsidRPr="007F5517">
        <w:rPr>
          <w:rFonts w:ascii="Calibri" w:eastAsia="Calibri" w:hAnsi="Calibri" w:cs="Arial"/>
          <w:b/>
          <w:bCs/>
          <w:i/>
          <w:iCs/>
          <w:lang w:eastAsia="en-US"/>
        </w:rPr>
        <w:t xml:space="preserve"> : </w:t>
      </w:r>
      <w:r w:rsidR="00E811AE" w:rsidRPr="007F5517">
        <w:rPr>
          <w:rFonts w:ascii="Calibri" w:eastAsia="Calibri" w:hAnsi="Calibri" w:cs="Arial"/>
          <w:b/>
          <w:bCs/>
          <w:i/>
          <w:iCs/>
          <w:lang w:eastAsia="en-US"/>
        </w:rPr>
        <w:t xml:space="preserve">Une mobilité sociale </w:t>
      </w:r>
      <w:r w:rsidR="00946C83" w:rsidRPr="007F5517">
        <w:rPr>
          <w:rFonts w:ascii="Calibri" w:eastAsia="Calibri" w:hAnsi="Calibri" w:cs="Arial"/>
          <w:b/>
          <w:bCs/>
          <w:i/>
          <w:iCs/>
          <w:lang w:eastAsia="en-US"/>
        </w:rPr>
        <w:t xml:space="preserve">ascendante plutôt masculine et urbaine </w:t>
      </w:r>
    </w:p>
    <w:p w:rsidR="00124A87" w:rsidRPr="007F5517" w:rsidRDefault="00946C83" w:rsidP="00065025">
      <w:pPr>
        <w:pStyle w:val="NormalWeb"/>
        <w:spacing w:before="0" w:beforeAutospacing="0" w:after="120" w:afterAutospacing="0" w:line="276" w:lineRule="auto"/>
        <w:ind w:firstLine="708"/>
        <w:jc w:val="both"/>
        <w:rPr>
          <w:rFonts w:ascii="Calibri" w:eastAsia="Calibri" w:hAnsi="Calibri" w:cs="Arial"/>
          <w:lang w:eastAsia="en-US"/>
        </w:rPr>
      </w:pPr>
      <w:r w:rsidRPr="007F5517">
        <w:rPr>
          <w:rFonts w:ascii="Calibri" w:eastAsia="Calibri" w:hAnsi="Calibri" w:cs="Arial"/>
          <w:lang w:eastAsia="en-US"/>
        </w:rPr>
        <w:t xml:space="preserve">C’est ainsi que la mobilité </w:t>
      </w:r>
      <w:r w:rsidR="00124A87" w:rsidRPr="007F5517">
        <w:rPr>
          <w:rFonts w:ascii="Calibri" w:eastAsia="Calibri" w:hAnsi="Calibri" w:cs="Arial"/>
          <w:lang w:eastAsia="en-US"/>
        </w:rPr>
        <w:t>sociale observée est de nature ascendante (</w:t>
      </w:r>
      <w:r w:rsidR="00065025">
        <w:rPr>
          <w:rFonts w:ascii="Calibri" w:eastAsia="Calibri" w:hAnsi="Calibri" w:cs="Arial"/>
          <w:lang w:eastAsia="en-US"/>
        </w:rPr>
        <w:t>promotion</w:t>
      </w:r>
      <w:r w:rsidR="00124A87" w:rsidRPr="007F5517">
        <w:rPr>
          <w:rFonts w:ascii="Calibri" w:eastAsia="Calibri" w:hAnsi="Calibri" w:cs="Arial"/>
          <w:lang w:eastAsia="en-US"/>
        </w:rPr>
        <w:t xml:space="preserve"> sociale) dans 35,1% des cas au niveau national. Elle profite beaucoup plus aux urbains et aux hommes qu’aux ruraux et aux femmes. Le taux de mobilité sociale ascendante est de, 51,1% </w:t>
      </w:r>
      <w:r w:rsidRPr="007F5517">
        <w:rPr>
          <w:rFonts w:ascii="Calibri" w:eastAsia="Calibri" w:hAnsi="Calibri" w:cs="Arial"/>
          <w:lang w:eastAsia="en-US"/>
        </w:rPr>
        <w:t>de la population urbaine</w:t>
      </w:r>
      <w:r w:rsidR="00124A87" w:rsidRPr="007F5517">
        <w:rPr>
          <w:rFonts w:ascii="Calibri" w:eastAsia="Calibri" w:hAnsi="Calibri" w:cs="Arial"/>
          <w:lang w:eastAsia="en-US"/>
        </w:rPr>
        <w:t xml:space="preserve"> et </w:t>
      </w:r>
      <w:r w:rsidR="001E3DAB">
        <w:rPr>
          <w:rFonts w:ascii="Calibri" w:eastAsia="Calibri" w:hAnsi="Calibri" w:cs="Arial"/>
          <w:lang w:eastAsia="en-US"/>
        </w:rPr>
        <w:t xml:space="preserve">de </w:t>
      </w:r>
      <w:r w:rsidR="00124A87" w:rsidRPr="007F5517">
        <w:rPr>
          <w:rFonts w:ascii="Calibri" w:eastAsia="Calibri" w:hAnsi="Calibri" w:cs="Arial"/>
          <w:lang w:eastAsia="en-US"/>
        </w:rPr>
        <w:t xml:space="preserve">14,8% </w:t>
      </w:r>
      <w:r w:rsidRPr="007F5517">
        <w:rPr>
          <w:rFonts w:ascii="Calibri" w:eastAsia="Calibri" w:hAnsi="Calibri" w:cs="Arial"/>
          <w:lang w:eastAsia="en-US"/>
        </w:rPr>
        <w:t xml:space="preserve">dans le monde </w:t>
      </w:r>
      <w:r w:rsidR="00124A87" w:rsidRPr="007F5517">
        <w:rPr>
          <w:rFonts w:ascii="Calibri" w:eastAsia="Calibri" w:hAnsi="Calibri" w:cs="Arial"/>
          <w:lang w:eastAsia="en-US"/>
        </w:rPr>
        <w:t>rura</w:t>
      </w:r>
      <w:r w:rsidRPr="007F5517">
        <w:rPr>
          <w:rFonts w:ascii="Calibri" w:eastAsia="Calibri" w:hAnsi="Calibri" w:cs="Arial"/>
          <w:lang w:eastAsia="en-US"/>
        </w:rPr>
        <w:t>l</w:t>
      </w:r>
      <w:r w:rsidR="00124A87" w:rsidRPr="007F5517">
        <w:rPr>
          <w:rFonts w:ascii="Calibri" w:eastAsia="Calibri" w:hAnsi="Calibri" w:cs="Arial"/>
          <w:lang w:eastAsia="en-US"/>
        </w:rPr>
        <w:t xml:space="preserve">. Il est plus important parmi les hommes (43,7%) que parmi les femmes (17,9%). Inversement, les femmes et les ruraux, malgré </w:t>
      </w:r>
      <w:r w:rsidRPr="007F5517">
        <w:rPr>
          <w:rFonts w:ascii="Calibri" w:eastAsia="Calibri" w:hAnsi="Calibri" w:cs="Arial"/>
          <w:lang w:eastAsia="en-US"/>
        </w:rPr>
        <w:t>l’importance de leur</w:t>
      </w:r>
      <w:r w:rsidR="00124A87" w:rsidRPr="007F5517">
        <w:rPr>
          <w:rFonts w:ascii="Calibri" w:eastAsia="Calibri" w:hAnsi="Calibri" w:cs="Arial"/>
          <w:lang w:eastAsia="en-US"/>
        </w:rPr>
        <w:t xml:space="preserve"> mobilité</w:t>
      </w:r>
      <w:r w:rsidRPr="007F5517">
        <w:rPr>
          <w:rFonts w:ascii="Calibri" w:eastAsia="Calibri" w:hAnsi="Calibri" w:cs="Arial"/>
          <w:lang w:eastAsia="en-US"/>
        </w:rPr>
        <w:t xml:space="preserve"> structurelle</w:t>
      </w:r>
      <w:r w:rsidR="00124A87" w:rsidRPr="007F5517">
        <w:rPr>
          <w:rFonts w:ascii="Calibri" w:eastAsia="Calibri" w:hAnsi="Calibri" w:cs="Arial"/>
          <w:lang w:eastAsia="en-US"/>
        </w:rPr>
        <w:t xml:space="preserve">, </w:t>
      </w:r>
      <w:r w:rsidR="000C582C" w:rsidRPr="007F5517">
        <w:rPr>
          <w:rFonts w:ascii="Calibri" w:eastAsia="Calibri" w:hAnsi="Calibri" w:cs="Arial"/>
          <w:lang w:eastAsia="en-US"/>
        </w:rPr>
        <w:t xml:space="preserve">enregistrent des taux de </w:t>
      </w:r>
      <w:r w:rsidR="00124A87" w:rsidRPr="007F5517">
        <w:rPr>
          <w:rFonts w:ascii="Calibri" w:eastAsia="Calibri" w:hAnsi="Calibri" w:cs="Arial"/>
          <w:lang w:eastAsia="en-US"/>
        </w:rPr>
        <w:t xml:space="preserve">mobilité sociale descendante </w:t>
      </w:r>
      <w:r w:rsidR="000C582C" w:rsidRPr="007F5517">
        <w:rPr>
          <w:rFonts w:ascii="Calibri" w:eastAsia="Calibri" w:hAnsi="Calibri" w:cs="Arial"/>
          <w:lang w:eastAsia="en-US"/>
        </w:rPr>
        <w:t>nettement plus élevés</w:t>
      </w:r>
      <w:r w:rsidR="00822977" w:rsidRPr="007F5517">
        <w:rPr>
          <w:rFonts w:ascii="Calibri" w:eastAsia="Calibri" w:hAnsi="Calibri" w:cs="Arial"/>
          <w:lang w:eastAsia="en-US"/>
        </w:rPr>
        <w:t xml:space="preserve"> (respectivement 61% et 44%)</w:t>
      </w:r>
      <w:r w:rsidR="001E3DAB">
        <w:rPr>
          <w:rFonts w:ascii="Calibri" w:eastAsia="Calibri" w:hAnsi="Calibri" w:cs="Arial"/>
          <w:lang w:eastAsia="en-US"/>
        </w:rPr>
        <w:t>,</w:t>
      </w:r>
      <w:r w:rsidR="00822977" w:rsidRPr="007F5517">
        <w:rPr>
          <w:rFonts w:ascii="Calibri" w:eastAsia="Calibri" w:hAnsi="Calibri" w:cs="Arial"/>
          <w:lang w:eastAsia="en-US"/>
        </w:rPr>
        <w:t xml:space="preserve"> comparé</w:t>
      </w:r>
      <w:r w:rsidR="001E3DAB">
        <w:rPr>
          <w:rFonts w:ascii="Calibri" w:eastAsia="Calibri" w:hAnsi="Calibri" w:cs="Arial"/>
          <w:lang w:eastAsia="en-US"/>
        </w:rPr>
        <w:t>s</w:t>
      </w:r>
      <w:r w:rsidR="00822977" w:rsidRPr="007F5517">
        <w:rPr>
          <w:rFonts w:ascii="Calibri" w:eastAsia="Calibri" w:hAnsi="Calibri" w:cs="Arial"/>
          <w:lang w:eastAsia="en-US"/>
        </w:rPr>
        <w:t xml:space="preserve"> aux hommes (24,1%) et aux urbains (19,3%). </w:t>
      </w:r>
    </w:p>
    <w:p w:rsidR="00124A87" w:rsidRPr="007F5517" w:rsidRDefault="004F271E" w:rsidP="007F5517">
      <w:pPr>
        <w:pStyle w:val="NormalWeb"/>
        <w:spacing w:before="0" w:beforeAutospacing="0" w:after="0" w:afterAutospacing="0" w:line="276" w:lineRule="auto"/>
        <w:ind w:left="360"/>
        <w:jc w:val="both"/>
        <w:rPr>
          <w:rFonts w:ascii="Calibri" w:hAnsi="Calibri"/>
        </w:rPr>
      </w:pPr>
      <w:r>
        <w:rPr>
          <w:rFonts w:ascii="Calibri" w:hAnsi="Calibri"/>
          <w:noProof/>
        </w:rPr>
        <w:drawing>
          <wp:anchor distT="0" distB="0" distL="114300" distR="114300" simplePos="0" relativeHeight="251657728" behindDoc="0" locked="0" layoutInCell="1" allowOverlap="1">
            <wp:simplePos x="0" y="0"/>
            <wp:positionH relativeFrom="column">
              <wp:posOffset>1013460</wp:posOffset>
            </wp:positionH>
            <wp:positionV relativeFrom="paragraph">
              <wp:posOffset>147320</wp:posOffset>
            </wp:positionV>
            <wp:extent cx="3816350" cy="2304415"/>
            <wp:effectExtent l="3810" t="4445" r="0" b="0"/>
            <wp:wrapTopAndBottom/>
            <wp:docPr id="4" name="Obje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E3081" w:rsidRPr="007F5517" w:rsidRDefault="001E3081" w:rsidP="007F5517">
      <w:pPr>
        <w:jc w:val="both"/>
        <w:rPr>
          <w:rFonts w:cs="Times New Roman"/>
          <w:sz w:val="24"/>
          <w:szCs w:val="24"/>
        </w:rPr>
      </w:pPr>
    </w:p>
    <w:p w:rsidR="0056347B" w:rsidRPr="000F7C11" w:rsidRDefault="001E3081" w:rsidP="007F5517">
      <w:pPr>
        <w:spacing w:after="120"/>
        <w:jc w:val="both"/>
        <w:rPr>
          <w:rFonts w:cs="Times New Roman"/>
          <w:b/>
          <w:bCs/>
          <w:i/>
          <w:iCs/>
          <w:sz w:val="24"/>
          <w:szCs w:val="24"/>
        </w:rPr>
      </w:pPr>
      <w:r w:rsidRPr="000F7C11">
        <w:rPr>
          <w:rFonts w:cs="Times New Roman"/>
          <w:b/>
          <w:bCs/>
          <w:i/>
          <w:iCs/>
          <w:sz w:val="24"/>
          <w:szCs w:val="24"/>
          <w:u w:val="single"/>
        </w:rPr>
        <w:lastRenderedPageBreak/>
        <w:t>3</w:t>
      </w:r>
      <w:r w:rsidRPr="000F7C11">
        <w:rPr>
          <w:rFonts w:cs="Times New Roman"/>
          <w:b/>
          <w:bCs/>
          <w:i/>
          <w:iCs/>
          <w:sz w:val="24"/>
          <w:szCs w:val="24"/>
          <w:u w:val="single"/>
          <w:vertAlign w:val="superscript"/>
        </w:rPr>
        <w:t>ème</w:t>
      </w:r>
      <w:r w:rsidRPr="000F7C11">
        <w:rPr>
          <w:rFonts w:cs="Times New Roman"/>
          <w:b/>
          <w:bCs/>
          <w:i/>
          <w:iCs/>
          <w:sz w:val="24"/>
          <w:szCs w:val="24"/>
          <w:u w:val="single"/>
        </w:rPr>
        <w:t xml:space="preserve"> remarque</w:t>
      </w:r>
      <w:r w:rsidRPr="000F7C11">
        <w:rPr>
          <w:rFonts w:cs="Times New Roman"/>
          <w:b/>
          <w:bCs/>
          <w:i/>
          <w:iCs/>
          <w:sz w:val="24"/>
          <w:szCs w:val="24"/>
        </w:rPr>
        <w:t xml:space="preserve"> : </w:t>
      </w:r>
      <w:r w:rsidR="0056347B" w:rsidRPr="000F7C11">
        <w:rPr>
          <w:rFonts w:cs="Times New Roman"/>
          <w:b/>
          <w:bCs/>
          <w:i/>
          <w:iCs/>
          <w:sz w:val="24"/>
          <w:szCs w:val="24"/>
        </w:rPr>
        <w:t>une faible fluidité de la société marocaine</w:t>
      </w:r>
    </w:p>
    <w:p w:rsidR="00FF7941" w:rsidRPr="007F5517" w:rsidRDefault="0056347B" w:rsidP="00ED74B2">
      <w:pPr>
        <w:spacing w:after="120"/>
        <w:ind w:firstLine="708"/>
        <w:jc w:val="both"/>
        <w:rPr>
          <w:rFonts w:cs="Times New Roman"/>
          <w:sz w:val="24"/>
          <w:szCs w:val="24"/>
        </w:rPr>
      </w:pPr>
      <w:r w:rsidRPr="007F5517">
        <w:rPr>
          <w:rFonts w:cs="Times New Roman"/>
          <w:sz w:val="24"/>
          <w:szCs w:val="24"/>
        </w:rPr>
        <w:t>C’est ainsi que</w:t>
      </w:r>
      <w:r w:rsidR="00B91128">
        <w:rPr>
          <w:rFonts w:cs="Times New Roman"/>
          <w:sz w:val="24"/>
          <w:szCs w:val="24"/>
        </w:rPr>
        <w:t xml:space="preserve"> q</w:t>
      </w:r>
      <w:r w:rsidR="00124A87" w:rsidRPr="007F5517">
        <w:rPr>
          <w:rFonts w:cs="Times New Roman"/>
          <w:sz w:val="24"/>
          <w:szCs w:val="24"/>
        </w:rPr>
        <w:t>uel</w:t>
      </w:r>
      <w:r w:rsidR="001E3081" w:rsidRPr="007F5517">
        <w:rPr>
          <w:rFonts w:cs="Times New Roman"/>
          <w:sz w:val="24"/>
          <w:szCs w:val="24"/>
        </w:rPr>
        <w:t>le</w:t>
      </w:r>
      <w:r w:rsidR="00124A87" w:rsidRPr="007F5517">
        <w:rPr>
          <w:rFonts w:cs="Times New Roman"/>
          <w:sz w:val="24"/>
          <w:szCs w:val="24"/>
        </w:rPr>
        <w:t xml:space="preserve"> que soit la forme de mobilité (ascendante ou descendante), les déplacements des individus sur l’échelle sociale se réalisent entre </w:t>
      </w:r>
      <w:r w:rsidR="00FF7941" w:rsidRPr="007F5517">
        <w:rPr>
          <w:rFonts w:cs="Times New Roman"/>
          <w:sz w:val="24"/>
          <w:szCs w:val="24"/>
        </w:rPr>
        <w:t>l</w:t>
      </w:r>
      <w:r w:rsidR="00124A87" w:rsidRPr="007F5517">
        <w:rPr>
          <w:rFonts w:cs="Times New Roman"/>
          <w:sz w:val="24"/>
          <w:szCs w:val="24"/>
        </w:rPr>
        <w:t xml:space="preserve">es catégories </w:t>
      </w:r>
      <w:r w:rsidR="001E3081" w:rsidRPr="007F5517">
        <w:rPr>
          <w:rFonts w:cs="Times New Roman"/>
          <w:sz w:val="24"/>
          <w:szCs w:val="24"/>
        </w:rPr>
        <w:t>socioprofessionnelles les plus</w:t>
      </w:r>
      <w:r w:rsidR="00124A87" w:rsidRPr="007F5517">
        <w:rPr>
          <w:rFonts w:cs="Times New Roman"/>
          <w:sz w:val="24"/>
          <w:szCs w:val="24"/>
        </w:rPr>
        <w:t xml:space="preserve"> proches. </w:t>
      </w:r>
      <w:r w:rsidRPr="007F5517">
        <w:rPr>
          <w:rFonts w:cs="Times New Roman"/>
          <w:sz w:val="24"/>
          <w:szCs w:val="24"/>
        </w:rPr>
        <w:t xml:space="preserve">La proportion des cas de mobilité sociale ascendante accédant </w:t>
      </w:r>
      <w:r w:rsidR="00B91128">
        <w:rPr>
          <w:rFonts w:cs="Times New Roman"/>
          <w:sz w:val="24"/>
          <w:szCs w:val="24"/>
        </w:rPr>
        <w:t>au maximum à</w:t>
      </w:r>
      <w:r w:rsidRPr="007F5517">
        <w:rPr>
          <w:rFonts w:cs="Times New Roman"/>
          <w:sz w:val="24"/>
          <w:szCs w:val="24"/>
        </w:rPr>
        <w:t xml:space="preserve"> deux positions sociales </w:t>
      </w:r>
      <w:r w:rsidR="00360063">
        <w:rPr>
          <w:rFonts w:cs="Times New Roman"/>
          <w:sz w:val="24"/>
          <w:szCs w:val="24"/>
        </w:rPr>
        <w:t>immédiatement</w:t>
      </w:r>
      <w:r w:rsidRPr="007F5517">
        <w:rPr>
          <w:rFonts w:cs="Times New Roman"/>
          <w:sz w:val="24"/>
          <w:szCs w:val="24"/>
        </w:rPr>
        <w:t xml:space="preserve"> supérieures à celle de leur père est de 83%. </w:t>
      </w:r>
      <w:r w:rsidR="00ED74B2">
        <w:rPr>
          <w:rFonts w:cs="Times New Roman"/>
          <w:sz w:val="24"/>
          <w:szCs w:val="24"/>
        </w:rPr>
        <w:t xml:space="preserve">Dans les cas </w:t>
      </w:r>
      <w:r w:rsidR="00ED74B2" w:rsidRPr="007F5517">
        <w:rPr>
          <w:rFonts w:cs="Times New Roman"/>
          <w:sz w:val="24"/>
          <w:szCs w:val="24"/>
        </w:rPr>
        <w:t>de mobilité descendante</w:t>
      </w:r>
      <w:r w:rsidRPr="007F5517">
        <w:rPr>
          <w:rFonts w:cs="Times New Roman"/>
          <w:sz w:val="24"/>
          <w:szCs w:val="24"/>
        </w:rPr>
        <w:t xml:space="preserve">, 82,5% </w:t>
      </w:r>
      <w:r w:rsidR="00ED74B2">
        <w:rPr>
          <w:rFonts w:cs="Times New Roman"/>
          <w:sz w:val="24"/>
          <w:szCs w:val="24"/>
        </w:rPr>
        <w:t xml:space="preserve">connaissent </w:t>
      </w:r>
      <w:r w:rsidRPr="007F5517">
        <w:rPr>
          <w:rFonts w:cs="Times New Roman"/>
          <w:sz w:val="24"/>
          <w:szCs w:val="24"/>
        </w:rPr>
        <w:t xml:space="preserve">une régression d’une position </w:t>
      </w:r>
      <w:r w:rsidR="00ED74B2">
        <w:rPr>
          <w:rFonts w:cs="Times New Roman"/>
          <w:sz w:val="24"/>
          <w:szCs w:val="24"/>
        </w:rPr>
        <w:t>immédiatement inférieure à</w:t>
      </w:r>
      <w:r w:rsidRPr="007F5517">
        <w:rPr>
          <w:rFonts w:cs="Times New Roman"/>
          <w:sz w:val="24"/>
          <w:szCs w:val="24"/>
        </w:rPr>
        <w:t xml:space="preserve"> celle d</w:t>
      </w:r>
      <w:r w:rsidR="00ED74B2">
        <w:rPr>
          <w:rFonts w:cs="Times New Roman"/>
          <w:sz w:val="24"/>
          <w:szCs w:val="24"/>
        </w:rPr>
        <w:t>e leur</w:t>
      </w:r>
      <w:r w:rsidRPr="007F5517">
        <w:rPr>
          <w:rFonts w:cs="Times New Roman"/>
          <w:sz w:val="24"/>
          <w:szCs w:val="24"/>
        </w:rPr>
        <w:t xml:space="preserve"> père. Cela montre, malgré le taux important de mobilité brute observée, que le Maroc est une société qui n’est pas très fluide. </w:t>
      </w:r>
    </w:p>
    <w:p w:rsidR="00ED74B2" w:rsidRDefault="0056347B" w:rsidP="00ED74B2">
      <w:pPr>
        <w:spacing w:after="120"/>
        <w:ind w:firstLine="708"/>
        <w:jc w:val="both"/>
        <w:rPr>
          <w:rFonts w:eastAsia="Times New Roman" w:cs="Times New Roman"/>
          <w:color w:val="000000"/>
          <w:sz w:val="24"/>
          <w:szCs w:val="24"/>
          <w:lang w:eastAsia="fr-FR"/>
        </w:rPr>
      </w:pPr>
      <w:r w:rsidRPr="007F5517">
        <w:rPr>
          <w:rFonts w:cs="Times New Roman"/>
          <w:sz w:val="24"/>
          <w:szCs w:val="24"/>
        </w:rPr>
        <w:t xml:space="preserve">Dans ce cadre, </w:t>
      </w:r>
      <w:r w:rsidR="00ED74B2">
        <w:rPr>
          <w:rFonts w:cs="Times New Roman"/>
          <w:sz w:val="24"/>
          <w:szCs w:val="24"/>
        </w:rPr>
        <w:t xml:space="preserve">il y a lieu de relever que </w:t>
      </w:r>
      <w:r w:rsidR="00124A87" w:rsidRPr="007F5517">
        <w:rPr>
          <w:rFonts w:cs="Times New Roman"/>
          <w:sz w:val="24"/>
          <w:szCs w:val="24"/>
        </w:rPr>
        <w:t>l</w:t>
      </w:r>
      <w:r w:rsidR="00124A87" w:rsidRPr="007F5517">
        <w:rPr>
          <w:rFonts w:eastAsia="Times New Roman" w:cs="Times New Roman"/>
          <w:color w:val="000000"/>
          <w:sz w:val="24"/>
          <w:szCs w:val="24"/>
          <w:lang w:eastAsia="fr-FR"/>
        </w:rPr>
        <w:t xml:space="preserve">es chances des descendants d’un </w:t>
      </w:r>
      <w:r w:rsidR="00B91128">
        <w:rPr>
          <w:rFonts w:eastAsia="Times New Roman" w:cs="Times New Roman"/>
          <w:color w:val="000000"/>
          <w:sz w:val="24"/>
          <w:szCs w:val="24"/>
          <w:lang w:eastAsia="fr-FR"/>
        </w:rPr>
        <w:t>« </w:t>
      </w:r>
      <w:r w:rsidR="00124A87" w:rsidRPr="007F5517">
        <w:rPr>
          <w:rFonts w:eastAsia="Times New Roman" w:cs="Times New Roman"/>
          <w:color w:val="000000"/>
          <w:sz w:val="24"/>
          <w:szCs w:val="24"/>
          <w:lang w:eastAsia="fr-FR"/>
        </w:rPr>
        <w:t>ouvrier ou manœuvre</w:t>
      </w:r>
      <w:r w:rsidR="00B91128">
        <w:rPr>
          <w:rFonts w:eastAsia="Times New Roman" w:cs="Times New Roman"/>
          <w:color w:val="000000"/>
          <w:sz w:val="24"/>
          <w:szCs w:val="24"/>
          <w:lang w:eastAsia="fr-FR"/>
        </w:rPr>
        <w:t> »</w:t>
      </w:r>
      <w:r w:rsidR="00124A87" w:rsidRPr="007F5517">
        <w:rPr>
          <w:rFonts w:eastAsia="Times New Roman" w:cs="Times New Roman"/>
          <w:color w:val="000000"/>
          <w:sz w:val="24"/>
          <w:szCs w:val="24"/>
          <w:lang w:eastAsia="fr-FR"/>
        </w:rPr>
        <w:t xml:space="preserve"> d’accéder à la catégorie des «employeurs non agricoles, cadres supérieurs </w:t>
      </w:r>
      <w:r w:rsidR="00ED74B2">
        <w:rPr>
          <w:rFonts w:eastAsia="Times New Roman" w:cs="Times New Roman"/>
          <w:color w:val="000000"/>
          <w:sz w:val="24"/>
          <w:szCs w:val="24"/>
          <w:lang w:eastAsia="fr-FR"/>
        </w:rPr>
        <w:t>ou</w:t>
      </w:r>
      <w:r w:rsidR="00124A87" w:rsidRPr="007F5517">
        <w:rPr>
          <w:rFonts w:eastAsia="Times New Roman" w:cs="Times New Roman"/>
          <w:color w:val="000000"/>
          <w:sz w:val="24"/>
          <w:szCs w:val="24"/>
          <w:lang w:eastAsia="fr-FR"/>
        </w:rPr>
        <w:t xml:space="preserve"> membres des professions libérales» demeurent limitées </w:t>
      </w:r>
      <w:r w:rsidR="00ED74B2">
        <w:rPr>
          <w:rFonts w:eastAsia="Times New Roman" w:cs="Times New Roman"/>
          <w:color w:val="000000"/>
          <w:sz w:val="24"/>
          <w:szCs w:val="24"/>
          <w:lang w:eastAsia="fr-FR"/>
        </w:rPr>
        <w:t>de l’ordre de</w:t>
      </w:r>
      <w:r w:rsidR="00124A87" w:rsidRPr="007F5517">
        <w:rPr>
          <w:rFonts w:eastAsia="Times New Roman" w:cs="Times New Roman"/>
          <w:color w:val="000000"/>
          <w:sz w:val="24"/>
          <w:szCs w:val="24"/>
          <w:lang w:eastAsia="fr-FR"/>
        </w:rPr>
        <w:t xml:space="preserve"> 1,9%. </w:t>
      </w:r>
    </w:p>
    <w:p w:rsidR="00ED74B2" w:rsidRDefault="00124A87" w:rsidP="007B1145">
      <w:pPr>
        <w:spacing w:after="120"/>
        <w:ind w:firstLine="708"/>
        <w:jc w:val="both"/>
        <w:rPr>
          <w:rFonts w:eastAsia="Times New Roman" w:cs="Times New Roman"/>
          <w:color w:val="000000"/>
          <w:sz w:val="24"/>
          <w:szCs w:val="24"/>
          <w:lang w:eastAsia="fr-FR"/>
        </w:rPr>
      </w:pPr>
      <w:r w:rsidRPr="007F5517">
        <w:rPr>
          <w:rFonts w:eastAsia="Times New Roman" w:cs="Times New Roman"/>
          <w:color w:val="000000"/>
          <w:sz w:val="24"/>
          <w:szCs w:val="24"/>
          <w:lang w:eastAsia="fr-FR"/>
        </w:rPr>
        <w:t xml:space="preserve">Parallèlement, les descendants des «employeurs non agricoles, cadres supérieurs </w:t>
      </w:r>
      <w:r w:rsidR="00260FB2">
        <w:rPr>
          <w:rFonts w:eastAsia="Times New Roman" w:cs="Times New Roman"/>
          <w:color w:val="000000"/>
          <w:sz w:val="24"/>
          <w:szCs w:val="24"/>
          <w:lang w:eastAsia="fr-FR"/>
        </w:rPr>
        <w:t>et</w:t>
      </w:r>
      <w:r w:rsidRPr="007F5517">
        <w:rPr>
          <w:rFonts w:eastAsia="Times New Roman" w:cs="Times New Roman"/>
          <w:color w:val="000000"/>
          <w:sz w:val="24"/>
          <w:szCs w:val="24"/>
          <w:lang w:eastAsia="fr-FR"/>
        </w:rPr>
        <w:t xml:space="preserve"> membres des professions libérales» </w:t>
      </w:r>
      <w:r w:rsidR="00EC5C00" w:rsidRPr="007F5517">
        <w:rPr>
          <w:rFonts w:eastAsia="Times New Roman" w:cs="Times New Roman"/>
          <w:color w:val="000000"/>
          <w:sz w:val="24"/>
          <w:szCs w:val="24"/>
          <w:lang w:eastAsia="fr-FR"/>
        </w:rPr>
        <w:t xml:space="preserve">ont </w:t>
      </w:r>
      <w:r w:rsidR="00260FB2">
        <w:rPr>
          <w:rFonts w:eastAsia="Times New Roman" w:cs="Times New Roman"/>
          <w:color w:val="000000"/>
          <w:sz w:val="24"/>
          <w:szCs w:val="24"/>
          <w:lang w:eastAsia="fr-FR"/>
        </w:rPr>
        <w:t xml:space="preserve">un taux identiques </w:t>
      </w:r>
      <w:r w:rsidR="00260FB2" w:rsidRPr="007F5517">
        <w:rPr>
          <w:rFonts w:eastAsia="Times New Roman" w:cs="Times New Roman"/>
          <w:color w:val="000000"/>
          <w:sz w:val="24"/>
          <w:szCs w:val="24"/>
          <w:lang w:eastAsia="fr-FR"/>
        </w:rPr>
        <w:t>(2,1%)</w:t>
      </w:r>
      <w:r w:rsidR="00260FB2">
        <w:rPr>
          <w:rFonts w:eastAsia="Times New Roman" w:cs="Times New Roman"/>
          <w:color w:val="000000"/>
          <w:sz w:val="24"/>
          <w:szCs w:val="24"/>
          <w:lang w:eastAsia="fr-FR"/>
        </w:rPr>
        <w:t xml:space="preserve"> </w:t>
      </w:r>
      <w:r w:rsidR="007B1145">
        <w:rPr>
          <w:rFonts w:eastAsia="Times New Roman" w:cs="Times New Roman"/>
          <w:color w:val="000000"/>
          <w:sz w:val="24"/>
          <w:szCs w:val="24"/>
          <w:lang w:eastAsia="fr-FR"/>
        </w:rPr>
        <w:t xml:space="preserve">cette fois-ci </w:t>
      </w:r>
      <w:r w:rsidR="00EC5C00" w:rsidRPr="007F5517">
        <w:rPr>
          <w:rFonts w:eastAsia="Times New Roman" w:cs="Times New Roman"/>
          <w:color w:val="000000"/>
          <w:sz w:val="24"/>
          <w:szCs w:val="24"/>
          <w:lang w:eastAsia="fr-FR"/>
        </w:rPr>
        <w:t xml:space="preserve">de </w:t>
      </w:r>
      <w:r w:rsidRPr="007F5517">
        <w:rPr>
          <w:rFonts w:eastAsia="Times New Roman" w:cs="Times New Roman"/>
          <w:color w:val="000000"/>
          <w:sz w:val="24"/>
          <w:szCs w:val="24"/>
          <w:lang w:eastAsia="fr-FR"/>
        </w:rPr>
        <w:t>risque</w:t>
      </w:r>
      <w:r w:rsidR="00EC5C00" w:rsidRPr="007F5517">
        <w:rPr>
          <w:rFonts w:eastAsia="Times New Roman" w:cs="Times New Roman"/>
          <w:color w:val="000000"/>
          <w:sz w:val="24"/>
          <w:szCs w:val="24"/>
          <w:lang w:eastAsia="fr-FR"/>
        </w:rPr>
        <w:t>s</w:t>
      </w:r>
      <w:r w:rsidRPr="007F5517">
        <w:rPr>
          <w:rFonts w:eastAsia="Times New Roman" w:cs="Times New Roman"/>
          <w:color w:val="000000"/>
          <w:sz w:val="24"/>
          <w:szCs w:val="24"/>
          <w:lang w:eastAsia="fr-FR"/>
        </w:rPr>
        <w:t xml:space="preserve"> d</w:t>
      </w:r>
      <w:r w:rsidR="00EC5C00" w:rsidRPr="007F5517">
        <w:rPr>
          <w:rFonts w:eastAsia="Times New Roman" w:cs="Times New Roman"/>
          <w:color w:val="000000"/>
          <w:sz w:val="24"/>
          <w:szCs w:val="24"/>
          <w:lang w:eastAsia="fr-FR"/>
        </w:rPr>
        <w:t xml:space="preserve">e devenir </w:t>
      </w:r>
      <w:r w:rsidRPr="007F5517">
        <w:rPr>
          <w:rFonts w:eastAsia="Times New Roman" w:cs="Times New Roman"/>
          <w:color w:val="000000"/>
          <w:sz w:val="24"/>
          <w:szCs w:val="24"/>
          <w:lang w:eastAsia="fr-FR"/>
        </w:rPr>
        <w:t xml:space="preserve">ouvriers </w:t>
      </w:r>
      <w:r w:rsidR="007B1145">
        <w:rPr>
          <w:rFonts w:eastAsia="Times New Roman" w:cs="Times New Roman"/>
          <w:color w:val="000000"/>
          <w:sz w:val="24"/>
          <w:szCs w:val="24"/>
          <w:lang w:eastAsia="fr-FR"/>
        </w:rPr>
        <w:t>ou</w:t>
      </w:r>
      <w:r w:rsidRPr="007F5517">
        <w:rPr>
          <w:rFonts w:eastAsia="Times New Roman" w:cs="Times New Roman"/>
          <w:color w:val="000000"/>
          <w:sz w:val="24"/>
          <w:szCs w:val="24"/>
          <w:lang w:eastAsia="fr-FR"/>
        </w:rPr>
        <w:t xml:space="preserve"> manœuvres</w:t>
      </w:r>
      <w:r w:rsidR="00260FB2" w:rsidRPr="007F5517">
        <w:rPr>
          <w:rFonts w:eastAsia="Times New Roman" w:cs="Times New Roman"/>
          <w:color w:val="000000"/>
          <w:sz w:val="24"/>
          <w:szCs w:val="24"/>
          <w:lang w:eastAsia="fr-FR"/>
        </w:rPr>
        <w:t>.</w:t>
      </w:r>
    </w:p>
    <w:p w:rsidR="00124A87" w:rsidRPr="007F5517" w:rsidRDefault="00124A87" w:rsidP="00B91128">
      <w:pPr>
        <w:spacing w:after="120"/>
        <w:ind w:firstLine="708"/>
        <w:jc w:val="both"/>
        <w:rPr>
          <w:rFonts w:eastAsia="Times New Roman" w:cs="Times New Roman"/>
          <w:b/>
          <w:bCs/>
          <w:sz w:val="24"/>
          <w:szCs w:val="24"/>
          <w:lang w:eastAsia="fr-FR"/>
        </w:rPr>
      </w:pPr>
      <w:r w:rsidRPr="007F5517">
        <w:rPr>
          <w:rFonts w:eastAsia="Times New Roman" w:cs="Times New Roman"/>
          <w:color w:val="000000"/>
          <w:sz w:val="24"/>
          <w:szCs w:val="24"/>
          <w:lang w:eastAsia="fr-FR"/>
        </w:rPr>
        <w:t xml:space="preserve"> </w:t>
      </w:r>
    </w:p>
    <w:p w:rsidR="00124A87" w:rsidRPr="007F5517" w:rsidRDefault="00EC5C00" w:rsidP="007F5517">
      <w:pPr>
        <w:spacing w:after="120"/>
        <w:rPr>
          <w:rFonts w:eastAsia="Times New Roman" w:cs="Times New Roman"/>
          <w:b/>
          <w:bCs/>
          <w:sz w:val="24"/>
          <w:szCs w:val="24"/>
          <w:u w:val="single"/>
          <w:lang w:eastAsia="fr-FR"/>
        </w:rPr>
      </w:pPr>
      <w:r w:rsidRPr="007F5517">
        <w:rPr>
          <w:rFonts w:eastAsia="Times New Roman" w:cs="Times New Roman"/>
          <w:b/>
          <w:bCs/>
          <w:sz w:val="24"/>
          <w:szCs w:val="24"/>
          <w:u w:val="single"/>
          <w:lang w:eastAsia="fr-FR"/>
        </w:rPr>
        <w:t>2</w:t>
      </w:r>
      <w:r w:rsidRPr="007F5517">
        <w:rPr>
          <w:rFonts w:eastAsia="Times New Roman" w:cs="Times New Roman"/>
          <w:b/>
          <w:bCs/>
          <w:sz w:val="24"/>
          <w:szCs w:val="24"/>
          <w:u w:val="single"/>
          <w:vertAlign w:val="superscript"/>
          <w:lang w:eastAsia="fr-FR"/>
        </w:rPr>
        <w:t>ème</w:t>
      </w:r>
      <w:r w:rsidRPr="007F5517">
        <w:rPr>
          <w:rFonts w:eastAsia="Times New Roman" w:cs="Times New Roman"/>
          <w:b/>
          <w:bCs/>
          <w:sz w:val="24"/>
          <w:szCs w:val="24"/>
          <w:u w:val="single"/>
          <w:lang w:eastAsia="fr-FR"/>
        </w:rPr>
        <w:t xml:space="preserve"> partie : les f</w:t>
      </w:r>
      <w:r w:rsidR="00124A87" w:rsidRPr="007F5517">
        <w:rPr>
          <w:rFonts w:eastAsia="Times New Roman" w:cs="Times New Roman"/>
          <w:b/>
          <w:bCs/>
          <w:sz w:val="24"/>
          <w:szCs w:val="24"/>
          <w:u w:val="single"/>
          <w:lang w:eastAsia="fr-FR"/>
        </w:rPr>
        <w:t>acteurs de mobilité sociale ascendante </w:t>
      </w:r>
    </w:p>
    <w:p w:rsidR="00677B1A" w:rsidRPr="007F5517" w:rsidRDefault="00677B1A" w:rsidP="00260FB2">
      <w:pPr>
        <w:autoSpaceDE w:val="0"/>
        <w:autoSpaceDN w:val="0"/>
        <w:adjustRightInd w:val="0"/>
        <w:spacing w:after="120"/>
        <w:ind w:right="60" w:firstLine="708"/>
        <w:jc w:val="both"/>
        <w:rPr>
          <w:rFonts w:cs="Times New Roman"/>
          <w:sz w:val="24"/>
          <w:szCs w:val="24"/>
        </w:rPr>
      </w:pPr>
      <w:r w:rsidRPr="007F5517">
        <w:rPr>
          <w:rFonts w:cs="Times New Roman"/>
          <w:sz w:val="24"/>
          <w:szCs w:val="24"/>
        </w:rPr>
        <w:t>Je me limiterais ici également à quelques remarques seulement :</w:t>
      </w:r>
    </w:p>
    <w:p w:rsidR="00677B1A" w:rsidRPr="000F7C11" w:rsidRDefault="00677B1A" w:rsidP="007F5517">
      <w:pPr>
        <w:autoSpaceDE w:val="0"/>
        <w:autoSpaceDN w:val="0"/>
        <w:adjustRightInd w:val="0"/>
        <w:spacing w:after="120"/>
        <w:ind w:right="60"/>
        <w:jc w:val="both"/>
        <w:rPr>
          <w:rFonts w:eastAsia="Times New Roman" w:cs="Times New Roman"/>
          <w:b/>
          <w:bCs/>
          <w:i/>
          <w:iCs/>
          <w:sz w:val="24"/>
          <w:szCs w:val="24"/>
          <w:lang w:eastAsia="fr-FR"/>
        </w:rPr>
      </w:pPr>
      <w:r w:rsidRPr="000F7C11">
        <w:rPr>
          <w:rFonts w:cs="Times New Roman"/>
          <w:b/>
          <w:bCs/>
          <w:i/>
          <w:iCs/>
          <w:sz w:val="24"/>
          <w:szCs w:val="24"/>
          <w:u w:val="single"/>
        </w:rPr>
        <w:t>1</w:t>
      </w:r>
      <w:r w:rsidRPr="000F7C11">
        <w:rPr>
          <w:rFonts w:cs="Times New Roman"/>
          <w:b/>
          <w:bCs/>
          <w:i/>
          <w:iCs/>
          <w:sz w:val="24"/>
          <w:szCs w:val="24"/>
          <w:u w:val="single"/>
          <w:vertAlign w:val="superscript"/>
        </w:rPr>
        <w:t>ère</w:t>
      </w:r>
      <w:r w:rsidRPr="000F7C11">
        <w:rPr>
          <w:rFonts w:cs="Times New Roman"/>
          <w:b/>
          <w:bCs/>
          <w:i/>
          <w:iCs/>
          <w:sz w:val="24"/>
          <w:szCs w:val="24"/>
          <w:u w:val="single"/>
        </w:rPr>
        <w:t xml:space="preserve"> remarque</w:t>
      </w:r>
      <w:r w:rsidRPr="000F7C11">
        <w:rPr>
          <w:rFonts w:cs="Times New Roman"/>
          <w:b/>
          <w:bCs/>
          <w:i/>
          <w:iCs/>
          <w:sz w:val="24"/>
          <w:szCs w:val="24"/>
        </w:rPr>
        <w:t xml:space="preserve"> </w:t>
      </w:r>
      <w:r w:rsidR="00124A87" w:rsidRPr="000F7C11">
        <w:rPr>
          <w:rFonts w:cs="Times New Roman"/>
          <w:b/>
          <w:bCs/>
          <w:i/>
          <w:iCs/>
          <w:sz w:val="24"/>
          <w:szCs w:val="24"/>
        </w:rPr>
        <w:t>:</w:t>
      </w:r>
      <w:r w:rsidRPr="000F7C11">
        <w:rPr>
          <w:rFonts w:cs="Times New Roman"/>
          <w:b/>
          <w:bCs/>
          <w:i/>
          <w:iCs/>
          <w:sz w:val="24"/>
          <w:szCs w:val="24"/>
        </w:rPr>
        <w:t xml:space="preserve"> </w:t>
      </w:r>
      <w:r w:rsidR="00124A87" w:rsidRPr="000F7C11">
        <w:rPr>
          <w:rFonts w:eastAsia="Times New Roman" w:cs="Times New Roman"/>
          <w:b/>
          <w:bCs/>
          <w:i/>
          <w:iCs/>
          <w:sz w:val="24"/>
          <w:szCs w:val="24"/>
          <w:lang w:eastAsia="fr-FR"/>
        </w:rPr>
        <w:t xml:space="preserve">L’école </w:t>
      </w:r>
      <w:r w:rsidR="000A1971" w:rsidRPr="000F7C11">
        <w:rPr>
          <w:rFonts w:eastAsia="Times New Roman" w:cs="Times New Roman"/>
          <w:b/>
          <w:bCs/>
          <w:i/>
          <w:iCs/>
          <w:sz w:val="24"/>
          <w:szCs w:val="24"/>
          <w:lang w:eastAsia="fr-FR"/>
        </w:rPr>
        <w:t>moteur</w:t>
      </w:r>
      <w:r w:rsidR="00124A87" w:rsidRPr="000F7C11">
        <w:rPr>
          <w:rFonts w:eastAsia="Times New Roman" w:cs="Times New Roman"/>
          <w:b/>
          <w:bCs/>
          <w:i/>
          <w:iCs/>
          <w:sz w:val="24"/>
          <w:szCs w:val="24"/>
          <w:lang w:eastAsia="fr-FR"/>
        </w:rPr>
        <w:t xml:space="preserve"> </w:t>
      </w:r>
      <w:r w:rsidR="000A1971" w:rsidRPr="000F7C11">
        <w:rPr>
          <w:rFonts w:eastAsia="Times New Roman" w:cs="Times New Roman"/>
          <w:b/>
          <w:bCs/>
          <w:i/>
          <w:iCs/>
          <w:sz w:val="24"/>
          <w:szCs w:val="24"/>
          <w:lang w:eastAsia="fr-FR"/>
        </w:rPr>
        <w:t>de promotion sociale</w:t>
      </w:r>
    </w:p>
    <w:p w:rsidR="00124A87" w:rsidRPr="007F5517" w:rsidRDefault="000A1971" w:rsidP="007B1145">
      <w:pPr>
        <w:autoSpaceDE w:val="0"/>
        <w:autoSpaceDN w:val="0"/>
        <w:adjustRightInd w:val="0"/>
        <w:spacing w:after="120"/>
        <w:ind w:right="60" w:firstLine="708"/>
        <w:jc w:val="both"/>
        <w:rPr>
          <w:rFonts w:cs="Times New Roman"/>
          <w:sz w:val="24"/>
          <w:szCs w:val="24"/>
        </w:rPr>
      </w:pPr>
      <w:r w:rsidRPr="007F5517">
        <w:rPr>
          <w:rFonts w:eastAsia="Times New Roman" w:cs="Times New Roman"/>
          <w:sz w:val="24"/>
          <w:szCs w:val="24"/>
          <w:lang w:eastAsia="fr-FR"/>
        </w:rPr>
        <w:t>L’analyse des déterminants de la mobilité ascendante montre qu’</w:t>
      </w:r>
      <w:r w:rsidR="00124A87" w:rsidRPr="007F5517">
        <w:rPr>
          <w:rFonts w:eastAsia="Times New Roman" w:cs="Times New Roman"/>
          <w:sz w:val="24"/>
          <w:szCs w:val="24"/>
          <w:lang w:eastAsia="fr-FR"/>
        </w:rPr>
        <w:t>u</w:t>
      </w:r>
      <w:r w:rsidR="00124A87" w:rsidRPr="007F5517">
        <w:rPr>
          <w:rFonts w:cs="Times New Roman"/>
          <w:sz w:val="24"/>
          <w:szCs w:val="24"/>
        </w:rPr>
        <w:t xml:space="preserve">n actif de niveau scolaire fondamental a 1,6 fois de chances de plus que son homologue </w:t>
      </w:r>
      <w:r w:rsidR="000F7C11">
        <w:rPr>
          <w:rFonts w:cs="Times New Roman"/>
          <w:i/>
          <w:iCs/>
          <w:sz w:val="24"/>
          <w:szCs w:val="24"/>
        </w:rPr>
        <w:t>« </w:t>
      </w:r>
      <w:r w:rsidR="00124A87" w:rsidRPr="007F5517">
        <w:rPr>
          <w:rFonts w:cs="Times New Roman"/>
          <w:sz w:val="24"/>
          <w:szCs w:val="24"/>
        </w:rPr>
        <w:t>sans niveau scolaire</w:t>
      </w:r>
      <w:r w:rsidR="000F7C11">
        <w:rPr>
          <w:rFonts w:cs="Times New Roman"/>
          <w:sz w:val="24"/>
          <w:szCs w:val="24"/>
        </w:rPr>
        <w:t xml:space="preserve"> » </w:t>
      </w:r>
      <w:r w:rsidR="00124A87" w:rsidRPr="007F5517">
        <w:rPr>
          <w:rFonts w:cs="Times New Roman"/>
          <w:sz w:val="24"/>
          <w:szCs w:val="24"/>
        </w:rPr>
        <w:t xml:space="preserve">d’occuper une position sociale </w:t>
      </w:r>
      <w:r w:rsidRPr="007F5517">
        <w:rPr>
          <w:rFonts w:cs="Times New Roman"/>
          <w:sz w:val="24"/>
          <w:szCs w:val="24"/>
        </w:rPr>
        <w:t>plus valorisante que</w:t>
      </w:r>
      <w:r w:rsidR="00124A87" w:rsidRPr="007F5517">
        <w:rPr>
          <w:rFonts w:cs="Times New Roman"/>
          <w:sz w:val="24"/>
          <w:szCs w:val="24"/>
        </w:rPr>
        <w:t xml:space="preserve"> celle de son père. Ce rapport de chances s’élève à 4,6 fois </w:t>
      </w:r>
      <w:r w:rsidR="00101ED5" w:rsidRPr="007F5517">
        <w:rPr>
          <w:rFonts w:cs="Times New Roman"/>
          <w:sz w:val="24"/>
          <w:szCs w:val="24"/>
        </w:rPr>
        <w:t xml:space="preserve">par rapport aux actifs de niveau d’enseignement secondaire </w:t>
      </w:r>
      <w:r w:rsidR="00124A87" w:rsidRPr="007F5517">
        <w:rPr>
          <w:rFonts w:cs="Times New Roman"/>
          <w:sz w:val="24"/>
          <w:szCs w:val="24"/>
        </w:rPr>
        <w:t xml:space="preserve">et à 16,2 fois </w:t>
      </w:r>
      <w:r w:rsidR="007B1145">
        <w:rPr>
          <w:rFonts w:cs="Times New Roman"/>
          <w:sz w:val="24"/>
          <w:szCs w:val="24"/>
        </w:rPr>
        <w:t>par rapport à celui ayant un niveau d’enseignement</w:t>
      </w:r>
      <w:r w:rsidR="00124A87" w:rsidRPr="007F5517">
        <w:rPr>
          <w:rFonts w:cs="Times New Roman"/>
          <w:sz w:val="24"/>
          <w:szCs w:val="24"/>
        </w:rPr>
        <w:t xml:space="preserve"> supérieur. En résumé, l’augmentation d’une année </w:t>
      </w:r>
      <w:r w:rsidR="007B1145" w:rsidRPr="007F5517">
        <w:rPr>
          <w:rFonts w:cs="Times New Roman"/>
          <w:sz w:val="24"/>
          <w:szCs w:val="24"/>
        </w:rPr>
        <w:t xml:space="preserve">de scolarité </w:t>
      </w:r>
      <w:r w:rsidR="00124A87" w:rsidRPr="007F5517">
        <w:rPr>
          <w:rFonts w:cs="Times New Roman"/>
          <w:sz w:val="24"/>
          <w:szCs w:val="24"/>
        </w:rPr>
        <w:t xml:space="preserve">améliore les chances d’ascension sociale de 13,7%. </w:t>
      </w:r>
    </w:p>
    <w:p w:rsidR="00124A87" w:rsidRPr="007F5517" w:rsidRDefault="00124A87" w:rsidP="007F5517">
      <w:pPr>
        <w:pStyle w:val="Paragraphedeliste"/>
        <w:autoSpaceDE w:val="0"/>
        <w:autoSpaceDN w:val="0"/>
        <w:adjustRightInd w:val="0"/>
        <w:spacing w:after="120"/>
        <w:ind w:left="360" w:right="60"/>
        <w:jc w:val="both"/>
        <w:rPr>
          <w:rFonts w:cs="Times New Roman"/>
          <w:sz w:val="24"/>
          <w:szCs w:val="24"/>
        </w:rPr>
      </w:pPr>
    </w:p>
    <w:p w:rsidR="00124A87" w:rsidRPr="007F5517" w:rsidRDefault="004F271E" w:rsidP="007F5517">
      <w:pPr>
        <w:pStyle w:val="NormalWeb"/>
        <w:spacing w:before="0" w:beforeAutospacing="0" w:after="0" w:afterAutospacing="0" w:line="276" w:lineRule="auto"/>
        <w:jc w:val="center"/>
        <w:rPr>
          <w:rFonts w:ascii="Calibri" w:hAnsi="Calibri"/>
        </w:rPr>
      </w:pPr>
      <w:r>
        <w:rPr>
          <w:rFonts w:ascii="Calibri" w:hAnsi="Calibri"/>
          <w:noProof/>
        </w:rPr>
        <w:drawing>
          <wp:inline distT="0" distB="0" distL="0" distR="0">
            <wp:extent cx="3886200" cy="2082800"/>
            <wp:effectExtent l="0" t="0" r="0" b="0"/>
            <wp:docPr id="2" name="Obje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24A87" w:rsidRPr="007F5517" w:rsidRDefault="00124A87" w:rsidP="007F5517">
      <w:pPr>
        <w:pStyle w:val="NormalWeb"/>
        <w:spacing w:before="0" w:beforeAutospacing="0" w:after="0" w:afterAutospacing="0" w:line="276" w:lineRule="auto"/>
        <w:jc w:val="both"/>
        <w:rPr>
          <w:rFonts w:ascii="Calibri" w:hAnsi="Calibri"/>
        </w:rPr>
      </w:pPr>
    </w:p>
    <w:p w:rsidR="00B12E58" w:rsidRPr="007F5517" w:rsidRDefault="00A21805" w:rsidP="00FB1CAE">
      <w:pPr>
        <w:pStyle w:val="NormalWeb"/>
        <w:spacing w:before="0" w:beforeAutospacing="0" w:after="120" w:afterAutospacing="0" w:line="276" w:lineRule="auto"/>
        <w:ind w:firstLine="708"/>
        <w:jc w:val="both"/>
        <w:rPr>
          <w:rFonts w:ascii="Calibri" w:hAnsi="Calibri"/>
        </w:rPr>
      </w:pPr>
      <w:r w:rsidRPr="007F5517">
        <w:rPr>
          <w:rFonts w:ascii="Calibri" w:hAnsi="Calibri"/>
        </w:rPr>
        <w:lastRenderedPageBreak/>
        <w:t xml:space="preserve">Sur un autre registre l’enquête montre qu’à l’échelle nationale, le taux de mobilité ascendante </w:t>
      </w:r>
      <w:r w:rsidR="00FB1CAE">
        <w:rPr>
          <w:rFonts w:ascii="Calibri" w:hAnsi="Calibri"/>
        </w:rPr>
        <w:t>est</w:t>
      </w:r>
      <w:r w:rsidRPr="007F5517">
        <w:rPr>
          <w:rFonts w:ascii="Calibri" w:hAnsi="Calibri"/>
        </w:rPr>
        <w:t xml:space="preserve"> de 26,5% parmi les </w:t>
      </w:r>
      <w:r w:rsidR="007B1145">
        <w:rPr>
          <w:rFonts w:ascii="Calibri" w:hAnsi="Calibri"/>
        </w:rPr>
        <w:t xml:space="preserve">actifs </w:t>
      </w:r>
      <w:r w:rsidRPr="007F5517">
        <w:rPr>
          <w:rFonts w:ascii="Calibri" w:hAnsi="Calibri"/>
        </w:rPr>
        <w:t>sans diplôme</w:t>
      </w:r>
      <w:r w:rsidR="00FB1CAE">
        <w:rPr>
          <w:rFonts w:ascii="Calibri" w:hAnsi="Calibri"/>
        </w:rPr>
        <w:t xml:space="preserve">, contre 37,1% pour les hommes et 8,5% pour les femmes. En revanche Le taux de mobilité ascendante passe </w:t>
      </w:r>
      <w:r w:rsidRPr="007F5517">
        <w:rPr>
          <w:rFonts w:ascii="Calibri" w:hAnsi="Calibri"/>
        </w:rPr>
        <w:t xml:space="preserve">à 84,3% parmi </w:t>
      </w:r>
      <w:r w:rsidR="00FB1CAE">
        <w:rPr>
          <w:rFonts w:ascii="Calibri" w:hAnsi="Calibri"/>
        </w:rPr>
        <w:t>les</w:t>
      </w:r>
      <w:r w:rsidR="007B1145">
        <w:rPr>
          <w:rFonts w:ascii="Calibri" w:hAnsi="Calibri"/>
        </w:rPr>
        <w:t xml:space="preserve"> diplôm</w:t>
      </w:r>
      <w:r w:rsidR="00FB1CAE">
        <w:rPr>
          <w:rFonts w:ascii="Calibri" w:hAnsi="Calibri"/>
        </w:rPr>
        <w:t>é</w:t>
      </w:r>
      <w:r w:rsidR="007B1145">
        <w:rPr>
          <w:rFonts w:ascii="Calibri" w:hAnsi="Calibri"/>
        </w:rPr>
        <w:t xml:space="preserve">s </w:t>
      </w:r>
      <w:r w:rsidRPr="007F5517">
        <w:rPr>
          <w:rFonts w:ascii="Calibri" w:hAnsi="Calibri"/>
        </w:rPr>
        <w:t>des écoles et instituts supérieurs</w:t>
      </w:r>
      <w:r w:rsidR="00FB1CAE">
        <w:rPr>
          <w:rFonts w:ascii="Calibri" w:hAnsi="Calibri"/>
        </w:rPr>
        <w:t xml:space="preserve"> avec 86% parmi les hommes et </w:t>
      </w:r>
      <w:r w:rsidRPr="007F5517">
        <w:rPr>
          <w:rFonts w:ascii="Calibri" w:hAnsi="Calibri"/>
        </w:rPr>
        <w:t>78,9% p</w:t>
      </w:r>
      <w:r w:rsidR="00FB1CAE">
        <w:rPr>
          <w:rFonts w:ascii="Calibri" w:hAnsi="Calibri"/>
        </w:rPr>
        <w:t>armi</w:t>
      </w:r>
      <w:r w:rsidRPr="007F5517">
        <w:rPr>
          <w:rFonts w:ascii="Calibri" w:hAnsi="Calibri"/>
        </w:rPr>
        <w:t xml:space="preserve"> les femmes.  </w:t>
      </w: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4F271E" w:rsidP="007F5517">
      <w:pPr>
        <w:pStyle w:val="NormalWeb"/>
        <w:spacing w:before="0" w:beforeAutospacing="0" w:after="0" w:afterAutospacing="0" w:line="276" w:lineRule="auto"/>
        <w:jc w:val="both"/>
        <w:rPr>
          <w:rFonts w:ascii="Calibri" w:hAnsi="Calibri"/>
        </w:rPr>
      </w:pPr>
      <w:r>
        <w:rPr>
          <w:rFonts w:ascii="Calibri" w:hAnsi="Calibri"/>
          <w:noProof/>
        </w:rPr>
        <w:drawing>
          <wp:anchor distT="0" distB="0" distL="114300" distR="114300" simplePos="0" relativeHeight="251658752" behindDoc="0" locked="0" layoutInCell="1" allowOverlap="1">
            <wp:simplePos x="0" y="0"/>
            <wp:positionH relativeFrom="column">
              <wp:posOffset>1104265</wp:posOffset>
            </wp:positionH>
            <wp:positionV relativeFrom="paragraph">
              <wp:posOffset>78105</wp:posOffset>
            </wp:positionV>
            <wp:extent cx="4066540" cy="217043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066540" cy="2170430"/>
                    </a:xfrm>
                    <a:prstGeom prst="rect">
                      <a:avLst/>
                    </a:prstGeom>
                    <a:noFill/>
                    <a:ln w="9525">
                      <a:noFill/>
                      <a:miter lim="800000"/>
                      <a:headEnd/>
                      <a:tailEnd/>
                    </a:ln>
                  </pic:spPr>
                </pic:pic>
              </a:graphicData>
            </a:graphic>
          </wp:anchor>
        </w:drawing>
      </w: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7F5517" w:rsidRDefault="00B12E58" w:rsidP="007F5517">
      <w:pPr>
        <w:pStyle w:val="NormalWeb"/>
        <w:spacing w:before="0" w:beforeAutospacing="0" w:after="0" w:afterAutospacing="0" w:line="276" w:lineRule="auto"/>
        <w:jc w:val="both"/>
        <w:rPr>
          <w:rFonts w:ascii="Calibri" w:hAnsi="Calibri"/>
        </w:rPr>
      </w:pPr>
    </w:p>
    <w:p w:rsidR="00B12E58" w:rsidRPr="000F7C11" w:rsidRDefault="00B12E58" w:rsidP="007F5517">
      <w:pPr>
        <w:pStyle w:val="NormalWeb"/>
        <w:spacing w:before="0" w:beforeAutospacing="0" w:after="120" w:afterAutospacing="0" w:line="276" w:lineRule="auto"/>
        <w:jc w:val="both"/>
        <w:rPr>
          <w:rFonts w:ascii="Calibri" w:hAnsi="Calibri"/>
          <w:b/>
          <w:bCs/>
          <w:i/>
          <w:iCs/>
        </w:rPr>
      </w:pPr>
      <w:r w:rsidRPr="000F7C11">
        <w:rPr>
          <w:rFonts w:ascii="Calibri" w:hAnsi="Calibri"/>
          <w:b/>
          <w:bCs/>
          <w:i/>
          <w:iCs/>
          <w:u w:val="single"/>
        </w:rPr>
        <w:t>2</w:t>
      </w:r>
      <w:r w:rsidRPr="000F7C11">
        <w:rPr>
          <w:rFonts w:ascii="Calibri" w:hAnsi="Calibri"/>
          <w:b/>
          <w:bCs/>
          <w:i/>
          <w:iCs/>
          <w:u w:val="single"/>
          <w:vertAlign w:val="superscript"/>
        </w:rPr>
        <w:t>ème</w:t>
      </w:r>
      <w:r w:rsidRPr="000F7C11">
        <w:rPr>
          <w:rFonts w:ascii="Calibri" w:hAnsi="Calibri"/>
          <w:b/>
          <w:bCs/>
          <w:i/>
          <w:iCs/>
          <w:u w:val="single"/>
        </w:rPr>
        <w:t xml:space="preserve"> remarque</w:t>
      </w:r>
      <w:r w:rsidRPr="000F7C11">
        <w:rPr>
          <w:rFonts w:ascii="Calibri" w:hAnsi="Calibri"/>
          <w:b/>
          <w:bCs/>
          <w:i/>
          <w:iCs/>
        </w:rPr>
        <w:t xml:space="preserve"> : l’expérience professionnelle renforce les chances de l’ascension sociale des générations. </w:t>
      </w:r>
    </w:p>
    <w:p w:rsidR="00B12E58" w:rsidRPr="007F5517" w:rsidRDefault="00B12E58" w:rsidP="000F3B92">
      <w:pPr>
        <w:pStyle w:val="NormalWeb"/>
        <w:spacing w:before="0" w:beforeAutospacing="0" w:after="120" w:afterAutospacing="0" w:line="276" w:lineRule="auto"/>
        <w:ind w:firstLine="708"/>
        <w:jc w:val="both"/>
        <w:rPr>
          <w:rFonts w:ascii="Calibri" w:hAnsi="Calibri"/>
        </w:rPr>
      </w:pPr>
      <w:r w:rsidRPr="007F5517">
        <w:rPr>
          <w:rFonts w:ascii="Calibri" w:hAnsi="Calibri"/>
        </w:rPr>
        <w:t xml:space="preserve">C’est ainsi que la hausse d’une année d’ancienneté dans la vie active améliore de 12% les chances de mobilité sociale ascendante. Cet effet s’annule aux alentours de l’âge de 50 ans, seuil à partir duquel l’âge commence à handicaper les chances de mobilité sociale ascendante. </w:t>
      </w:r>
    </w:p>
    <w:p w:rsidR="00B12E58" w:rsidRPr="007F5517" w:rsidRDefault="00B12E58" w:rsidP="007F5517">
      <w:pPr>
        <w:spacing w:after="120"/>
        <w:ind w:left="-142"/>
        <w:jc w:val="both"/>
        <w:rPr>
          <w:rFonts w:eastAsia="Times New Roman" w:cs="Times New Roman"/>
          <w:b/>
          <w:bCs/>
          <w:sz w:val="24"/>
          <w:szCs w:val="24"/>
          <w:lang w:eastAsia="fr-FR"/>
        </w:rPr>
      </w:pPr>
    </w:p>
    <w:p w:rsidR="004D375C" w:rsidRPr="000F7C11" w:rsidRDefault="00A21805" w:rsidP="000F3B92">
      <w:pPr>
        <w:pStyle w:val="NormalWeb"/>
        <w:spacing w:before="0" w:beforeAutospacing="0" w:after="120" w:afterAutospacing="0" w:line="276" w:lineRule="auto"/>
        <w:jc w:val="both"/>
        <w:rPr>
          <w:rFonts w:ascii="Calibri" w:hAnsi="Calibri"/>
          <w:b/>
          <w:bCs/>
          <w:i/>
          <w:iCs/>
        </w:rPr>
      </w:pPr>
      <w:r w:rsidRPr="000F7C11">
        <w:rPr>
          <w:rFonts w:ascii="Calibri" w:hAnsi="Calibri"/>
          <w:b/>
          <w:bCs/>
          <w:i/>
          <w:iCs/>
          <w:u w:val="single"/>
        </w:rPr>
        <w:t>3</w:t>
      </w:r>
      <w:r w:rsidRPr="000F7C11">
        <w:rPr>
          <w:rFonts w:ascii="Calibri" w:hAnsi="Calibri"/>
          <w:b/>
          <w:bCs/>
          <w:i/>
          <w:iCs/>
          <w:u w:val="single"/>
          <w:vertAlign w:val="superscript"/>
        </w:rPr>
        <w:t>ème</w:t>
      </w:r>
      <w:r w:rsidRPr="000F7C11">
        <w:rPr>
          <w:rFonts w:ascii="Calibri" w:hAnsi="Calibri"/>
          <w:b/>
          <w:bCs/>
          <w:i/>
          <w:iCs/>
          <w:u w:val="single"/>
        </w:rPr>
        <w:t xml:space="preserve"> remarque</w:t>
      </w:r>
      <w:r w:rsidRPr="000F7C11">
        <w:rPr>
          <w:rFonts w:ascii="Calibri" w:hAnsi="Calibri"/>
          <w:b/>
          <w:bCs/>
          <w:i/>
          <w:iCs/>
        </w:rPr>
        <w:t xml:space="preserve"> : </w:t>
      </w:r>
      <w:r w:rsidR="004D375C" w:rsidRPr="000F7C11">
        <w:rPr>
          <w:rFonts w:ascii="Calibri" w:hAnsi="Calibri"/>
          <w:b/>
          <w:bCs/>
          <w:i/>
          <w:iCs/>
        </w:rPr>
        <w:t xml:space="preserve">Un indice de discrimination structurelle de type genre </w:t>
      </w:r>
    </w:p>
    <w:p w:rsidR="00124A87" w:rsidRPr="007F5517" w:rsidRDefault="004D375C" w:rsidP="00FB1CAE">
      <w:pPr>
        <w:pStyle w:val="NormalWeb"/>
        <w:spacing w:before="0" w:beforeAutospacing="0" w:after="120" w:afterAutospacing="0" w:line="276" w:lineRule="auto"/>
        <w:ind w:firstLine="708"/>
        <w:jc w:val="both"/>
      </w:pPr>
      <w:r w:rsidRPr="007F5517">
        <w:rPr>
          <w:rFonts w:ascii="Calibri" w:hAnsi="Calibri"/>
        </w:rPr>
        <w:t xml:space="preserve">Les résultats de l’enquête montrent que </w:t>
      </w:r>
      <w:r w:rsidR="00A21805" w:rsidRPr="007F5517">
        <w:rPr>
          <w:rFonts w:ascii="Calibri" w:hAnsi="Calibri"/>
        </w:rPr>
        <w:t xml:space="preserve">malgré la forte mobilité </w:t>
      </w:r>
      <w:r w:rsidR="00C833D5" w:rsidRPr="007F5517">
        <w:rPr>
          <w:rFonts w:ascii="Calibri" w:hAnsi="Calibri"/>
        </w:rPr>
        <w:t xml:space="preserve">structurelle </w:t>
      </w:r>
      <w:r w:rsidR="00A21805" w:rsidRPr="007F5517">
        <w:rPr>
          <w:rFonts w:ascii="Calibri" w:hAnsi="Calibri"/>
        </w:rPr>
        <w:t>que connaissen</w:t>
      </w:r>
      <w:r w:rsidR="00C833D5" w:rsidRPr="007F5517">
        <w:rPr>
          <w:rFonts w:ascii="Calibri" w:hAnsi="Calibri"/>
        </w:rPr>
        <w:t>t les personnes de sexe féminin</w:t>
      </w:r>
      <w:r w:rsidRPr="007F5517">
        <w:rPr>
          <w:rFonts w:ascii="Calibri" w:hAnsi="Calibri"/>
        </w:rPr>
        <w:t>, leur faible accès à une mobilité sociale ascendante (de l’ordre de 18%) semble être surdéterminé par une discrimination de type genre. C’est ainsi qu’</w:t>
      </w:r>
      <w:r w:rsidR="00124A87" w:rsidRPr="007F5517">
        <w:rPr>
          <w:rFonts w:ascii="Calibri" w:hAnsi="Calibri"/>
        </w:rPr>
        <w:t xml:space="preserve">à même âge, milieu de résidence, niveau d’études et statut socioprofessionnel du père, un homme a 7,1 fois de chances de plus qu’une femme d’occuper une position sociale supérieure à celle de son père. </w:t>
      </w:r>
    </w:p>
    <w:p w:rsidR="000F7C11" w:rsidRDefault="000F7C11" w:rsidP="000F7C11">
      <w:pPr>
        <w:spacing w:after="120"/>
        <w:rPr>
          <w:rFonts w:eastAsia="Times New Roman" w:cs="Times New Roman"/>
          <w:b/>
          <w:bCs/>
          <w:i/>
          <w:iCs/>
          <w:sz w:val="24"/>
          <w:szCs w:val="24"/>
          <w:lang w:eastAsia="fr-FR"/>
        </w:rPr>
      </w:pPr>
    </w:p>
    <w:p w:rsidR="000F3B92" w:rsidRDefault="000F3B92" w:rsidP="000F7C11">
      <w:pPr>
        <w:spacing w:after="120"/>
        <w:rPr>
          <w:rFonts w:eastAsia="Times New Roman" w:cs="Times New Roman"/>
          <w:b/>
          <w:bCs/>
          <w:i/>
          <w:iCs/>
          <w:sz w:val="24"/>
          <w:szCs w:val="24"/>
          <w:lang w:eastAsia="fr-FR"/>
        </w:rPr>
      </w:pPr>
    </w:p>
    <w:p w:rsidR="000F3B92" w:rsidRDefault="000F3B92" w:rsidP="000F7C11">
      <w:pPr>
        <w:spacing w:after="120"/>
        <w:rPr>
          <w:rFonts w:eastAsia="Times New Roman" w:cs="Times New Roman"/>
          <w:b/>
          <w:bCs/>
          <w:i/>
          <w:iCs/>
          <w:sz w:val="24"/>
          <w:szCs w:val="24"/>
          <w:lang w:eastAsia="fr-FR"/>
        </w:rPr>
      </w:pPr>
    </w:p>
    <w:p w:rsidR="000F3B92" w:rsidRDefault="000F3B92" w:rsidP="000F7C11">
      <w:pPr>
        <w:spacing w:after="120"/>
        <w:rPr>
          <w:rFonts w:eastAsia="Times New Roman" w:cs="Times New Roman"/>
          <w:b/>
          <w:bCs/>
          <w:i/>
          <w:iCs/>
          <w:sz w:val="24"/>
          <w:szCs w:val="24"/>
          <w:lang w:eastAsia="fr-FR"/>
        </w:rPr>
      </w:pPr>
    </w:p>
    <w:p w:rsidR="00124A87" w:rsidRPr="000F3B92" w:rsidRDefault="00124A87" w:rsidP="000F3B92">
      <w:pPr>
        <w:spacing w:after="120"/>
        <w:jc w:val="both"/>
        <w:rPr>
          <w:rFonts w:eastAsia="Times New Roman" w:cs="Times New Roman"/>
          <w:b/>
          <w:bCs/>
          <w:i/>
          <w:iCs/>
          <w:sz w:val="24"/>
          <w:szCs w:val="24"/>
          <w:lang w:eastAsia="fr-FR"/>
        </w:rPr>
      </w:pPr>
      <w:r w:rsidRPr="000F7C11">
        <w:rPr>
          <w:rFonts w:eastAsia="Times New Roman" w:cs="Times New Roman"/>
          <w:b/>
          <w:bCs/>
          <w:i/>
          <w:iCs/>
          <w:sz w:val="24"/>
          <w:szCs w:val="24"/>
          <w:lang w:eastAsia="fr-FR"/>
        </w:rPr>
        <w:lastRenderedPageBreak/>
        <w:t xml:space="preserve">En conclusion, les résultats de </w:t>
      </w:r>
      <w:r w:rsidR="000F3B92" w:rsidRPr="000F3B92">
        <w:rPr>
          <w:rFonts w:eastAsia="Times New Roman" w:cs="Times New Roman"/>
          <w:b/>
          <w:bCs/>
          <w:i/>
          <w:iCs/>
          <w:sz w:val="24"/>
          <w:szCs w:val="24"/>
          <w:lang w:eastAsia="fr-FR"/>
        </w:rPr>
        <w:t>l’Enquête Nationale sur la Mobilité Sociale Intergénérationnelle</w:t>
      </w:r>
      <w:r w:rsidRPr="000F7C11">
        <w:rPr>
          <w:rFonts w:eastAsia="Times New Roman" w:cs="Times New Roman"/>
          <w:b/>
          <w:bCs/>
          <w:i/>
          <w:iCs/>
          <w:sz w:val="24"/>
          <w:szCs w:val="24"/>
          <w:lang w:eastAsia="fr-FR"/>
        </w:rPr>
        <w:t xml:space="preserve"> 2011 montrent que</w:t>
      </w:r>
      <w:r w:rsidR="007F5511" w:rsidRPr="000F7C11">
        <w:rPr>
          <w:rFonts w:eastAsia="Times New Roman" w:cs="Times New Roman"/>
          <w:b/>
          <w:bCs/>
          <w:i/>
          <w:iCs/>
          <w:sz w:val="24"/>
          <w:szCs w:val="24"/>
          <w:lang w:eastAsia="fr-FR"/>
        </w:rPr>
        <w:t xml:space="preserve"> </w:t>
      </w:r>
      <w:r w:rsidRPr="000F7C11">
        <w:rPr>
          <w:rFonts w:eastAsia="Times New Roman" w:cs="Times New Roman"/>
          <w:b/>
          <w:bCs/>
          <w:i/>
          <w:iCs/>
          <w:sz w:val="24"/>
          <w:szCs w:val="24"/>
          <w:lang w:eastAsia="fr-FR"/>
        </w:rPr>
        <w:t>:</w:t>
      </w:r>
    </w:p>
    <w:p w:rsidR="00124A87" w:rsidRPr="007F5517" w:rsidRDefault="00124A87" w:rsidP="007F5517">
      <w:pPr>
        <w:pStyle w:val="Paragraphedeliste"/>
        <w:numPr>
          <w:ilvl w:val="3"/>
          <w:numId w:val="1"/>
        </w:numPr>
        <w:spacing w:after="120"/>
        <w:jc w:val="both"/>
        <w:rPr>
          <w:rFonts w:cs="Times New Roman"/>
          <w:b/>
          <w:bCs/>
          <w:sz w:val="24"/>
          <w:szCs w:val="24"/>
        </w:rPr>
      </w:pPr>
      <w:r w:rsidRPr="007F5517">
        <w:rPr>
          <w:rFonts w:cs="Times New Roman"/>
          <w:sz w:val="24"/>
          <w:szCs w:val="24"/>
        </w:rPr>
        <w:t xml:space="preserve">Globalement, </w:t>
      </w:r>
      <w:r w:rsidR="007F5511" w:rsidRPr="007F5517">
        <w:rPr>
          <w:rFonts w:cs="Times New Roman"/>
          <w:sz w:val="24"/>
          <w:szCs w:val="24"/>
        </w:rPr>
        <w:t>le Maroc connait une forte mobilité sociale qui affecte 61,2% de sa population et</w:t>
      </w:r>
      <w:r w:rsidRPr="007F5517">
        <w:rPr>
          <w:rFonts w:cs="Times New Roman"/>
          <w:sz w:val="24"/>
          <w:szCs w:val="24"/>
        </w:rPr>
        <w:t xml:space="preserve"> </w:t>
      </w:r>
      <w:r w:rsidR="007F5511" w:rsidRPr="007F5517">
        <w:rPr>
          <w:rFonts w:cs="Times New Roman"/>
          <w:sz w:val="24"/>
          <w:szCs w:val="24"/>
        </w:rPr>
        <w:t xml:space="preserve">dont les changements que connaissent ses structures économiques, sociales et institutionnelles constituent le principal moteur </w:t>
      </w:r>
      <w:r w:rsidRPr="007F5517">
        <w:rPr>
          <w:rFonts w:cs="Times New Roman"/>
          <w:sz w:val="24"/>
          <w:szCs w:val="24"/>
        </w:rPr>
        <w:t xml:space="preserve">; </w:t>
      </w:r>
    </w:p>
    <w:p w:rsidR="00124A87" w:rsidRPr="007F5517" w:rsidRDefault="007F5511" w:rsidP="007F5517">
      <w:pPr>
        <w:pStyle w:val="Paragraphedeliste"/>
        <w:numPr>
          <w:ilvl w:val="3"/>
          <w:numId w:val="1"/>
        </w:numPr>
        <w:spacing w:after="120"/>
        <w:jc w:val="both"/>
        <w:rPr>
          <w:rFonts w:cs="Times New Roman"/>
          <w:sz w:val="24"/>
          <w:szCs w:val="24"/>
        </w:rPr>
      </w:pPr>
      <w:r w:rsidRPr="007F5517">
        <w:rPr>
          <w:rFonts w:cs="Times New Roman"/>
          <w:sz w:val="24"/>
          <w:szCs w:val="24"/>
        </w:rPr>
        <w:t xml:space="preserve">Cette </w:t>
      </w:r>
      <w:r w:rsidR="00124A87" w:rsidRPr="007F5517">
        <w:rPr>
          <w:rFonts w:cs="Times New Roman"/>
          <w:sz w:val="24"/>
          <w:szCs w:val="24"/>
        </w:rPr>
        <w:t xml:space="preserve">mobilité </w:t>
      </w:r>
      <w:r w:rsidRPr="007F5517">
        <w:rPr>
          <w:rFonts w:cs="Times New Roman"/>
          <w:sz w:val="24"/>
          <w:szCs w:val="24"/>
        </w:rPr>
        <w:t xml:space="preserve">s’opère beaucoup plus au profit des citadins et des personnes de sexe masculin avec une amplitude très souvent courte des déplacements d’une position sociale à une autre indiquant une faible fluidité de la société marocaine ;  </w:t>
      </w:r>
    </w:p>
    <w:p w:rsidR="00124A87" w:rsidRPr="007F5517" w:rsidRDefault="00124A87" w:rsidP="007F5517">
      <w:pPr>
        <w:pStyle w:val="Paragraphedeliste"/>
        <w:numPr>
          <w:ilvl w:val="3"/>
          <w:numId w:val="1"/>
        </w:numPr>
        <w:spacing w:after="120"/>
        <w:jc w:val="both"/>
        <w:rPr>
          <w:rFonts w:cs="Times New Roman"/>
          <w:b/>
          <w:bCs/>
          <w:sz w:val="24"/>
          <w:szCs w:val="24"/>
        </w:rPr>
      </w:pPr>
      <w:r w:rsidRPr="007F5517">
        <w:rPr>
          <w:rFonts w:cs="Times New Roman"/>
          <w:sz w:val="24"/>
          <w:szCs w:val="24"/>
        </w:rPr>
        <w:t xml:space="preserve">l’enseignement </w:t>
      </w:r>
      <w:r w:rsidR="007F5511" w:rsidRPr="007F5517">
        <w:rPr>
          <w:rFonts w:cs="Times New Roman"/>
          <w:sz w:val="24"/>
          <w:szCs w:val="24"/>
        </w:rPr>
        <w:t xml:space="preserve">et la formation restent les moteurs de la </w:t>
      </w:r>
      <w:r w:rsidRPr="007F5517">
        <w:rPr>
          <w:rFonts w:cs="Times New Roman"/>
          <w:sz w:val="24"/>
          <w:szCs w:val="24"/>
        </w:rPr>
        <w:t>promotion sociale (le taux de mobilité ascendante est de 78,1% parmi les diplômés supérieurs contre 26,5% pour les sans diplômes)</w:t>
      </w:r>
      <w:r w:rsidR="007F5511" w:rsidRPr="007F5517">
        <w:rPr>
          <w:rFonts w:cs="Times New Roman"/>
          <w:sz w:val="24"/>
          <w:szCs w:val="24"/>
        </w:rPr>
        <w:t xml:space="preserve"> </w:t>
      </w:r>
      <w:r w:rsidRPr="007F5517">
        <w:rPr>
          <w:rFonts w:cs="Times New Roman"/>
          <w:sz w:val="24"/>
          <w:szCs w:val="24"/>
        </w:rPr>
        <w:t>;</w:t>
      </w:r>
      <w:r w:rsidRPr="007F5517">
        <w:rPr>
          <w:rFonts w:cs="Times New Roman"/>
          <w:b/>
          <w:bCs/>
          <w:sz w:val="24"/>
          <w:szCs w:val="24"/>
        </w:rPr>
        <w:t xml:space="preserve"> </w:t>
      </w:r>
    </w:p>
    <w:p w:rsidR="00124A87" w:rsidRPr="007F5517" w:rsidRDefault="00124A87" w:rsidP="007F5517">
      <w:pPr>
        <w:pStyle w:val="Paragraphedeliste"/>
        <w:numPr>
          <w:ilvl w:val="3"/>
          <w:numId w:val="1"/>
        </w:numPr>
        <w:spacing w:after="120"/>
        <w:jc w:val="both"/>
        <w:rPr>
          <w:rFonts w:cs="Times New Roman"/>
          <w:b/>
          <w:bCs/>
          <w:sz w:val="24"/>
          <w:szCs w:val="24"/>
        </w:rPr>
      </w:pPr>
      <w:r w:rsidRPr="007F5517">
        <w:rPr>
          <w:rFonts w:cs="Times New Roman"/>
          <w:sz w:val="24"/>
          <w:szCs w:val="24"/>
        </w:rPr>
        <w:t xml:space="preserve">le milieu </w:t>
      </w:r>
      <w:r w:rsidR="007F5511" w:rsidRPr="007F5517">
        <w:rPr>
          <w:rFonts w:cs="Times New Roman"/>
          <w:sz w:val="24"/>
          <w:szCs w:val="24"/>
        </w:rPr>
        <w:t xml:space="preserve">de résidence et la position </w:t>
      </w:r>
      <w:r w:rsidRPr="007F5517">
        <w:rPr>
          <w:rFonts w:cs="Times New Roman"/>
          <w:sz w:val="24"/>
          <w:szCs w:val="24"/>
        </w:rPr>
        <w:t xml:space="preserve">sociale </w:t>
      </w:r>
      <w:r w:rsidR="007F5511" w:rsidRPr="007F5517">
        <w:rPr>
          <w:rFonts w:cs="Times New Roman"/>
          <w:sz w:val="24"/>
          <w:szCs w:val="24"/>
        </w:rPr>
        <w:t>d’origine restent un des facteurs favorisant d’</w:t>
      </w:r>
      <w:r w:rsidRPr="007F5517">
        <w:rPr>
          <w:rFonts w:cs="Times New Roman"/>
          <w:sz w:val="24"/>
          <w:szCs w:val="24"/>
        </w:rPr>
        <w:t>ascension sociale ;</w:t>
      </w:r>
    </w:p>
    <w:p w:rsidR="00124A87" w:rsidRPr="007F5517" w:rsidRDefault="00124A87" w:rsidP="007F5517">
      <w:pPr>
        <w:numPr>
          <w:ilvl w:val="3"/>
          <w:numId w:val="1"/>
        </w:numPr>
        <w:spacing w:after="120"/>
        <w:jc w:val="both"/>
        <w:rPr>
          <w:rFonts w:cs="Times New Roman"/>
          <w:b/>
          <w:bCs/>
          <w:sz w:val="24"/>
          <w:szCs w:val="24"/>
        </w:rPr>
      </w:pPr>
      <w:r w:rsidRPr="007F5517">
        <w:rPr>
          <w:rFonts w:cs="Times New Roman"/>
          <w:sz w:val="24"/>
          <w:szCs w:val="24"/>
        </w:rPr>
        <w:t>l’expérience professionnelle, l’urbanisation et le sexe de l’individu continuent à influencer l’égalité des chances et la mobilité sociale ascendante</w:t>
      </w:r>
      <w:r w:rsidR="004C6D84" w:rsidRPr="007F5517">
        <w:rPr>
          <w:rFonts w:cs="Times New Roman"/>
          <w:sz w:val="24"/>
          <w:szCs w:val="24"/>
        </w:rPr>
        <w:t> ;</w:t>
      </w:r>
    </w:p>
    <w:p w:rsidR="001C4198" w:rsidRDefault="00124A87" w:rsidP="001C4198">
      <w:pPr>
        <w:pStyle w:val="Paragraphedeliste"/>
        <w:numPr>
          <w:ilvl w:val="3"/>
          <w:numId w:val="1"/>
        </w:numPr>
        <w:spacing w:after="0" w:line="360" w:lineRule="auto"/>
        <w:jc w:val="both"/>
        <w:outlineLvl w:val="0"/>
        <w:rPr>
          <w:rFonts w:cs="Times New Roman"/>
          <w:sz w:val="24"/>
          <w:szCs w:val="24"/>
        </w:rPr>
      </w:pPr>
      <w:r w:rsidRPr="001C4198">
        <w:rPr>
          <w:rFonts w:cs="Times New Roman"/>
          <w:sz w:val="24"/>
          <w:szCs w:val="24"/>
        </w:rPr>
        <w:t xml:space="preserve">Cette mobilité reste importante </w:t>
      </w:r>
      <w:r w:rsidR="007F0C42" w:rsidRPr="001C4198">
        <w:rPr>
          <w:rFonts w:cs="Times New Roman"/>
          <w:sz w:val="24"/>
          <w:szCs w:val="24"/>
        </w:rPr>
        <w:t xml:space="preserve">et ses impacts marqués, en particulier, par le triple phénomène d’une avancée spectaculaire de la transition démographique, d’une urbanisation accélérée et avec son accès croissant au système d’enseignement et de formation, l’émergence de la femme dans le marché du travail. </w:t>
      </w:r>
      <w:r w:rsidR="001C4198" w:rsidRPr="001C4198">
        <w:rPr>
          <w:rFonts w:cs="Times New Roman"/>
          <w:sz w:val="24"/>
          <w:szCs w:val="24"/>
        </w:rPr>
        <w:t xml:space="preserve">Aussi l’Enquête Nationale sur la Mobilité Sociale Intergénérationnelle jette un éclairage supplémentaire sur les ressorts profonds des changements que la Maroc est appelé à connaitre et sur le rôle que devrait y jouer une jeunesse de plus en plus féminisée et mieux formée. </w:t>
      </w:r>
    </w:p>
    <w:p w:rsidR="001C4198" w:rsidRDefault="001C4198" w:rsidP="001C4198">
      <w:pPr>
        <w:pStyle w:val="Paragraphedeliste"/>
        <w:spacing w:after="0" w:line="360" w:lineRule="auto"/>
        <w:ind w:left="0"/>
        <w:jc w:val="both"/>
        <w:outlineLvl w:val="0"/>
        <w:rPr>
          <w:rFonts w:cs="Times New Roman"/>
          <w:sz w:val="24"/>
          <w:szCs w:val="24"/>
        </w:rPr>
      </w:pPr>
    </w:p>
    <w:p w:rsidR="001C4198" w:rsidRPr="00E44855" w:rsidRDefault="001C4198" w:rsidP="00E44855">
      <w:pPr>
        <w:pStyle w:val="Paragraphedeliste"/>
        <w:spacing w:after="0" w:line="240" w:lineRule="auto"/>
        <w:ind w:left="0" w:firstLine="6379"/>
        <w:jc w:val="both"/>
        <w:outlineLvl w:val="0"/>
        <w:rPr>
          <w:rFonts w:cs="Times New Roman"/>
          <w:b/>
          <w:bCs/>
          <w:sz w:val="24"/>
          <w:szCs w:val="24"/>
        </w:rPr>
      </w:pPr>
      <w:r w:rsidRPr="00E44855">
        <w:rPr>
          <w:rFonts w:cs="Times New Roman"/>
          <w:b/>
          <w:bCs/>
          <w:sz w:val="24"/>
          <w:szCs w:val="24"/>
        </w:rPr>
        <w:t>Ahmed LAHLIMI ALAMI</w:t>
      </w:r>
    </w:p>
    <w:p w:rsidR="001C4198" w:rsidRPr="00E44855" w:rsidRDefault="001C4198" w:rsidP="00E44855">
      <w:pPr>
        <w:pStyle w:val="Paragraphedeliste"/>
        <w:spacing w:after="0" w:line="240" w:lineRule="auto"/>
        <w:ind w:left="0" w:firstLine="6237"/>
        <w:jc w:val="both"/>
        <w:outlineLvl w:val="0"/>
        <w:rPr>
          <w:rFonts w:cs="Times New Roman"/>
          <w:b/>
          <w:bCs/>
          <w:sz w:val="24"/>
          <w:szCs w:val="24"/>
        </w:rPr>
      </w:pPr>
      <w:r w:rsidRPr="00E44855">
        <w:rPr>
          <w:rFonts w:cs="Times New Roman"/>
          <w:b/>
          <w:bCs/>
          <w:sz w:val="24"/>
          <w:szCs w:val="24"/>
        </w:rPr>
        <w:t xml:space="preserve">Haut Commissaire au Plan </w:t>
      </w:r>
    </w:p>
    <w:p w:rsidR="001C4198" w:rsidRPr="007F5517" w:rsidRDefault="001C4198" w:rsidP="001C4198">
      <w:pPr>
        <w:pStyle w:val="Paragraphedeliste"/>
        <w:spacing w:after="120"/>
        <w:ind w:left="1800"/>
        <w:rPr>
          <w:rFonts w:cs="Times New Roman"/>
          <w:sz w:val="24"/>
          <w:szCs w:val="24"/>
        </w:rPr>
      </w:pPr>
    </w:p>
    <w:sectPr w:rsidR="001C4198" w:rsidRPr="007F5517" w:rsidSect="00AC0A0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D09" w:rsidRDefault="002A0D09" w:rsidP="00063E28">
      <w:pPr>
        <w:spacing w:after="0" w:line="240" w:lineRule="auto"/>
      </w:pPr>
      <w:r>
        <w:separator/>
      </w:r>
    </w:p>
  </w:endnote>
  <w:endnote w:type="continuationSeparator" w:id="1">
    <w:p w:rsidR="002A0D09" w:rsidRDefault="002A0D09" w:rsidP="00063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05" w:rsidRPr="00E73DC3" w:rsidRDefault="00F568B1">
    <w:pPr>
      <w:pStyle w:val="Pieddepage"/>
      <w:jc w:val="right"/>
      <w:rPr>
        <w:sz w:val="20"/>
        <w:szCs w:val="20"/>
      </w:rPr>
    </w:pPr>
    <w:r w:rsidRPr="00E73DC3">
      <w:rPr>
        <w:sz w:val="20"/>
        <w:szCs w:val="20"/>
      </w:rPr>
      <w:fldChar w:fldCharType="begin"/>
    </w:r>
    <w:r w:rsidR="00A21805" w:rsidRPr="00E73DC3">
      <w:rPr>
        <w:sz w:val="20"/>
        <w:szCs w:val="20"/>
      </w:rPr>
      <w:instrText xml:space="preserve"> PAGE   \* MERGEFORMAT </w:instrText>
    </w:r>
    <w:r w:rsidRPr="00E73DC3">
      <w:rPr>
        <w:sz w:val="20"/>
        <w:szCs w:val="20"/>
      </w:rPr>
      <w:fldChar w:fldCharType="separate"/>
    </w:r>
    <w:r w:rsidR="00AB6AEB">
      <w:rPr>
        <w:noProof/>
        <w:sz w:val="20"/>
        <w:szCs w:val="20"/>
      </w:rPr>
      <w:t>1</w:t>
    </w:r>
    <w:r w:rsidRPr="00E73DC3">
      <w:rPr>
        <w:sz w:val="20"/>
        <w:szCs w:val="20"/>
      </w:rPr>
      <w:fldChar w:fldCharType="end"/>
    </w:r>
  </w:p>
  <w:p w:rsidR="00A21805" w:rsidRDefault="00A2180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D09" w:rsidRDefault="002A0D09" w:rsidP="00063E28">
      <w:pPr>
        <w:spacing w:after="0" w:line="240" w:lineRule="auto"/>
      </w:pPr>
      <w:r>
        <w:separator/>
      </w:r>
    </w:p>
  </w:footnote>
  <w:footnote w:type="continuationSeparator" w:id="1">
    <w:p w:rsidR="002A0D09" w:rsidRDefault="002A0D09" w:rsidP="00063E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F3FBA"/>
    <w:multiLevelType w:val="hybridMultilevel"/>
    <w:tmpl w:val="3FB0CEAE"/>
    <w:lvl w:ilvl="0" w:tplc="DD0487A2">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1DBCFDC2">
      <w:numFmt w:val="bullet"/>
      <w:lvlText w:val="-"/>
      <w:lvlJc w:val="left"/>
      <w:pPr>
        <w:ind w:left="360" w:hanging="360"/>
      </w:pPr>
      <w:rPr>
        <w:rFonts w:ascii="Gill Sans MT" w:eastAsia="Times New Roman" w:hAnsi="Gill Sans MT" w:cs="Times New Roman" w:hint="default"/>
        <w:b/>
        <w:bCs/>
        <w:color w:val="000000"/>
        <w:sz w:val="28"/>
        <w:szCs w:val="28"/>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F472FB"/>
    <w:rsid w:val="00012EE0"/>
    <w:rsid w:val="00024265"/>
    <w:rsid w:val="0004205B"/>
    <w:rsid w:val="00053CED"/>
    <w:rsid w:val="00062150"/>
    <w:rsid w:val="00063E28"/>
    <w:rsid w:val="00065025"/>
    <w:rsid w:val="00066A2D"/>
    <w:rsid w:val="00096D74"/>
    <w:rsid w:val="000A1971"/>
    <w:rsid w:val="000A3BC5"/>
    <w:rsid w:val="000C039C"/>
    <w:rsid w:val="000C582C"/>
    <w:rsid w:val="000E1AA8"/>
    <w:rsid w:val="000E3DE7"/>
    <w:rsid w:val="000E7440"/>
    <w:rsid w:val="000F3B92"/>
    <w:rsid w:val="000F7C11"/>
    <w:rsid w:val="00101ED5"/>
    <w:rsid w:val="00124A87"/>
    <w:rsid w:val="00165763"/>
    <w:rsid w:val="00191249"/>
    <w:rsid w:val="001A7D6F"/>
    <w:rsid w:val="001B315A"/>
    <w:rsid w:val="001C21EE"/>
    <w:rsid w:val="001C4198"/>
    <w:rsid w:val="001D4B25"/>
    <w:rsid w:val="001D5902"/>
    <w:rsid w:val="001E3081"/>
    <w:rsid w:val="001E3DAB"/>
    <w:rsid w:val="001F186A"/>
    <w:rsid w:val="0022505D"/>
    <w:rsid w:val="002259DB"/>
    <w:rsid w:val="002564B6"/>
    <w:rsid w:val="00257613"/>
    <w:rsid w:val="00260FB2"/>
    <w:rsid w:val="0026201E"/>
    <w:rsid w:val="00267ED6"/>
    <w:rsid w:val="002829C2"/>
    <w:rsid w:val="00295ACC"/>
    <w:rsid w:val="0029719C"/>
    <w:rsid w:val="002A0D09"/>
    <w:rsid w:val="00327A41"/>
    <w:rsid w:val="00357CD3"/>
    <w:rsid w:val="00360063"/>
    <w:rsid w:val="003806BD"/>
    <w:rsid w:val="00386A26"/>
    <w:rsid w:val="003A20C8"/>
    <w:rsid w:val="003C6B6A"/>
    <w:rsid w:val="003F7CDB"/>
    <w:rsid w:val="00434C15"/>
    <w:rsid w:val="00453DFD"/>
    <w:rsid w:val="004718B5"/>
    <w:rsid w:val="004C6D84"/>
    <w:rsid w:val="004D29FE"/>
    <w:rsid w:val="004D3350"/>
    <w:rsid w:val="004D375C"/>
    <w:rsid w:val="004F271E"/>
    <w:rsid w:val="005045BC"/>
    <w:rsid w:val="0052731B"/>
    <w:rsid w:val="0053232F"/>
    <w:rsid w:val="005445DE"/>
    <w:rsid w:val="0056347B"/>
    <w:rsid w:val="005A57A6"/>
    <w:rsid w:val="0062443B"/>
    <w:rsid w:val="00634C31"/>
    <w:rsid w:val="0064520B"/>
    <w:rsid w:val="00677B1A"/>
    <w:rsid w:val="006D4079"/>
    <w:rsid w:val="006E1F0C"/>
    <w:rsid w:val="006E514E"/>
    <w:rsid w:val="007110E0"/>
    <w:rsid w:val="007264AA"/>
    <w:rsid w:val="0073147B"/>
    <w:rsid w:val="007415BE"/>
    <w:rsid w:val="007713C2"/>
    <w:rsid w:val="007B1145"/>
    <w:rsid w:val="007B162E"/>
    <w:rsid w:val="007C1FF6"/>
    <w:rsid w:val="007C5A29"/>
    <w:rsid w:val="007D763E"/>
    <w:rsid w:val="007F0C42"/>
    <w:rsid w:val="007F5511"/>
    <w:rsid w:val="007F5517"/>
    <w:rsid w:val="00820168"/>
    <w:rsid w:val="00822977"/>
    <w:rsid w:val="00833AF5"/>
    <w:rsid w:val="00843DF2"/>
    <w:rsid w:val="00846CA4"/>
    <w:rsid w:val="008657D3"/>
    <w:rsid w:val="0087721B"/>
    <w:rsid w:val="00885237"/>
    <w:rsid w:val="00946C83"/>
    <w:rsid w:val="00951E62"/>
    <w:rsid w:val="009536AD"/>
    <w:rsid w:val="009C54DD"/>
    <w:rsid w:val="009E61AC"/>
    <w:rsid w:val="009F7357"/>
    <w:rsid w:val="00A21805"/>
    <w:rsid w:val="00A404B5"/>
    <w:rsid w:val="00A63F69"/>
    <w:rsid w:val="00A73017"/>
    <w:rsid w:val="00AA7DA2"/>
    <w:rsid w:val="00AB1AED"/>
    <w:rsid w:val="00AB5C0C"/>
    <w:rsid w:val="00AB6AEB"/>
    <w:rsid w:val="00AC0A01"/>
    <w:rsid w:val="00AE560E"/>
    <w:rsid w:val="00B07919"/>
    <w:rsid w:val="00B12E58"/>
    <w:rsid w:val="00B563C6"/>
    <w:rsid w:val="00B65911"/>
    <w:rsid w:val="00B708CC"/>
    <w:rsid w:val="00B91128"/>
    <w:rsid w:val="00BF77A6"/>
    <w:rsid w:val="00C63A64"/>
    <w:rsid w:val="00C741E4"/>
    <w:rsid w:val="00C833D5"/>
    <w:rsid w:val="00C85567"/>
    <w:rsid w:val="00CA43DB"/>
    <w:rsid w:val="00CB294D"/>
    <w:rsid w:val="00CD5934"/>
    <w:rsid w:val="00CF39AB"/>
    <w:rsid w:val="00D43171"/>
    <w:rsid w:val="00D6629E"/>
    <w:rsid w:val="00D70690"/>
    <w:rsid w:val="00D849F9"/>
    <w:rsid w:val="00DB2819"/>
    <w:rsid w:val="00DD4A1A"/>
    <w:rsid w:val="00E44855"/>
    <w:rsid w:val="00E6562C"/>
    <w:rsid w:val="00E66336"/>
    <w:rsid w:val="00E726AA"/>
    <w:rsid w:val="00E73DC3"/>
    <w:rsid w:val="00E76057"/>
    <w:rsid w:val="00E811AE"/>
    <w:rsid w:val="00E968F2"/>
    <w:rsid w:val="00EA6BDC"/>
    <w:rsid w:val="00EB5A6B"/>
    <w:rsid w:val="00EC45D8"/>
    <w:rsid w:val="00EC5C00"/>
    <w:rsid w:val="00ED3ABB"/>
    <w:rsid w:val="00ED74B2"/>
    <w:rsid w:val="00EF43D2"/>
    <w:rsid w:val="00F01DD5"/>
    <w:rsid w:val="00F15BFB"/>
    <w:rsid w:val="00F472FB"/>
    <w:rsid w:val="00F568B1"/>
    <w:rsid w:val="00F61C91"/>
    <w:rsid w:val="00FA219C"/>
    <w:rsid w:val="00FA376B"/>
    <w:rsid w:val="00FA73F6"/>
    <w:rsid w:val="00FB1CAE"/>
    <w:rsid w:val="00FD4C70"/>
    <w:rsid w:val="00FF79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paragraph" w:styleId="Titre1">
    <w:name w:val="heading 1"/>
    <w:basedOn w:val="Normal"/>
    <w:link w:val="Titre1Car"/>
    <w:uiPriority w:val="9"/>
    <w:qFormat/>
    <w:rsid w:val="005323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63E28"/>
    <w:pPr>
      <w:tabs>
        <w:tab w:val="center" w:pos="4536"/>
        <w:tab w:val="right" w:pos="9072"/>
      </w:tabs>
    </w:pPr>
  </w:style>
  <w:style w:type="character" w:customStyle="1" w:styleId="En-tteCar">
    <w:name w:val="En-tête Car"/>
    <w:basedOn w:val="Policepardfaut"/>
    <w:link w:val="En-tte"/>
    <w:uiPriority w:val="99"/>
    <w:semiHidden/>
    <w:rsid w:val="00063E28"/>
    <w:rPr>
      <w:sz w:val="22"/>
      <w:szCs w:val="22"/>
      <w:lang w:eastAsia="en-US"/>
    </w:rPr>
  </w:style>
  <w:style w:type="paragraph" w:styleId="Pieddepage">
    <w:name w:val="footer"/>
    <w:basedOn w:val="Normal"/>
    <w:link w:val="PieddepageCar"/>
    <w:uiPriority w:val="99"/>
    <w:unhideWhenUsed/>
    <w:rsid w:val="00063E28"/>
    <w:pPr>
      <w:tabs>
        <w:tab w:val="center" w:pos="4536"/>
        <w:tab w:val="right" w:pos="9072"/>
      </w:tabs>
    </w:pPr>
  </w:style>
  <w:style w:type="character" w:customStyle="1" w:styleId="PieddepageCar">
    <w:name w:val="Pied de page Car"/>
    <w:basedOn w:val="Policepardfaut"/>
    <w:link w:val="Pieddepage"/>
    <w:uiPriority w:val="99"/>
    <w:rsid w:val="00063E28"/>
    <w:rPr>
      <w:sz w:val="22"/>
      <w:szCs w:val="22"/>
      <w:lang w:eastAsia="en-US"/>
    </w:rPr>
  </w:style>
  <w:style w:type="character" w:customStyle="1" w:styleId="Titre1Car">
    <w:name w:val="Titre 1 Car"/>
    <w:basedOn w:val="Policepardfaut"/>
    <w:link w:val="Titre1"/>
    <w:uiPriority w:val="9"/>
    <w:rsid w:val="0053232F"/>
    <w:rPr>
      <w:rFonts w:ascii="Times New Roman" w:eastAsia="Times New Roman" w:hAnsi="Times New Roman" w:cs="Times New Roman"/>
      <w:b/>
      <w:bCs/>
      <w:kern w:val="36"/>
      <w:sz w:val="48"/>
      <w:szCs w:val="48"/>
    </w:rPr>
  </w:style>
  <w:style w:type="paragraph" w:styleId="Textedebulles">
    <w:name w:val="Balloon Text"/>
    <w:basedOn w:val="Normal"/>
    <w:link w:val="TextedebullesCar"/>
    <w:uiPriority w:val="99"/>
    <w:semiHidden/>
    <w:unhideWhenUsed/>
    <w:rsid w:val="00453D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3DFD"/>
    <w:rPr>
      <w:rFonts w:ascii="Tahoma" w:hAnsi="Tahoma" w:cs="Tahoma"/>
      <w:sz w:val="16"/>
      <w:szCs w:val="16"/>
      <w:lang w:eastAsia="en-US"/>
    </w:rPr>
  </w:style>
  <w:style w:type="paragraph" w:styleId="NormalWeb">
    <w:name w:val="Normal (Web)"/>
    <w:basedOn w:val="Normal"/>
    <w:uiPriority w:val="99"/>
    <w:unhideWhenUsed/>
    <w:rsid w:val="00124A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24A87"/>
    <w:pPr>
      <w:ind w:left="720"/>
      <w:contextualSpacing/>
    </w:pPr>
    <w:rPr>
      <w:lang w:bidi="ar-MA"/>
    </w:rPr>
  </w:style>
</w:styles>
</file>

<file path=word/webSettings.xml><?xml version="1.0" encoding="utf-8"?>
<w:webSettings xmlns:r="http://schemas.openxmlformats.org/officeDocument/2006/relationships" xmlns:w="http://schemas.openxmlformats.org/wordprocessingml/2006/main">
  <w:divs>
    <w:div w:id="920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Feuille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Feuille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title>
      <c:tx>
        <c:rich>
          <a:bodyPr/>
          <a:lstStyle/>
          <a:p>
            <a:pPr>
              <a:defRPr sz="898" b="0">
                <a:latin typeface="Gill Sans MT" pitchFamily="34" charset="0"/>
              </a:defRPr>
            </a:pPr>
            <a:r>
              <a:rPr lang="fr-FR" sz="898" b="0" dirty="0" smtClean="0">
                <a:latin typeface="Gill Sans MT" pitchFamily="34" charset="0"/>
              </a:rPr>
              <a:t>Contribution en % des formes de </a:t>
            </a:r>
            <a:r>
              <a:rPr lang="fr-FR" sz="898" b="0" baseline="0" dirty="0" smtClean="0">
                <a:latin typeface="Gill Sans MT" pitchFamily="34" charset="0"/>
              </a:rPr>
              <a:t>mobilité à la mobilité brute  selon le milieu de résidence et le sexe.</a:t>
            </a:r>
            <a:endParaRPr lang="fr-FR" sz="900" b="0" dirty="0">
              <a:latin typeface="Gill Sans MT" pitchFamily="34" charset="0"/>
            </a:endParaRPr>
          </a:p>
        </c:rich>
      </c:tx>
      <c:layout>
        <c:manualLayout>
          <c:xMode val="edge"/>
          <c:yMode val="edge"/>
          <c:x val="0.13586744405040987"/>
          <c:y val="2.3104403616214641E-2"/>
        </c:manualLayout>
      </c:layout>
    </c:title>
    <c:plotArea>
      <c:layout>
        <c:manualLayout>
          <c:layoutTarget val="inner"/>
          <c:xMode val="edge"/>
          <c:yMode val="edge"/>
          <c:x val="0.17537343503344441"/>
          <c:y val="0.19546510840872694"/>
          <c:w val="0.78457550948816523"/>
          <c:h val="0.56828033374061426"/>
        </c:manualLayout>
      </c:layout>
      <c:barChart>
        <c:barDir val="bar"/>
        <c:grouping val="stacked"/>
        <c:ser>
          <c:idx val="0"/>
          <c:order val="0"/>
          <c:tx>
            <c:strRef>
              <c:f>Feuil1!$B$1</c:f>
              <c:strCache>
                <c:ptCount val="1"/>
                <c:pt idx="0">
                  <c:v>Mobilité structurelle</c:v>
                </c:pt>
              </c:strCache>
            </c:strRef>
          </c:tx>
          <c:spPr>
            <a:solidFill>
              <a:srgbClr val="3399FF"/>
            </a:solidFill>
          </c:spPr>
          <c:dLbls>
            <c:txPr>
              <a:bodyPr/>
              <a:lstStyle/>
              <a:p>
                <a:pPr>
                  <a:defRPr sz="998" b="0">
                    <a:latin typeface="Gill Sans MT" pitchFamily="34" charset="0"/>
                  </a:defRPr>
                </a:pPr>
                <a:endParaRPr lang="fr-FR"/>
              </a:p>
            </c:txPr>
            <c:showVal val="1"/>
          </c:dLbls>
          <c:cat>
            <c:strRef>
              <c:f>Feuil1!$A$2:$A$6</c:f>
              <c:strCache>
                <c:ptCount val="5"/>
                <c:pt idx="0">
                  <c:v>Ensemble</c:v>
                </c:pt>
                <c:pt idx="1">
                  <c:v>Urbain</c:v>
                </c:pt>
                <c:pt idx="2">
                  <c:v>Rural</c:v>
                </c:pt>
                <c:pt idx="3">
                  <c:v>Homme</c:v>
                </c:pt>
                <c:pt idx="4">
                  <c:v>Femme</c:v>
                </c:pt>
              </c:strCache>
            </c:strRef>
          </c:cat>
          <c:val>
            <c:numRef>
              <c:f>Feuil1!$B$2:$B$6</c:f>
              <c:numCache>
                <c:formatCode>0.0</c:formatCode>
                <c:ptCount val="5"/>
                <c:pt idx="0">
                  <c:v>61.233480176211444</c:v>
                </c:pt>
                <c:pt idx="1">
                  <c:v>52.197070572569913</c:v>
                </c:pt>
                <c:pt idx="2">
                  <c:v>75.844594594594582</c:v>
                </c:pt>
                <c:pt idx="3">
                  <c:v>55.7</c:v>
                </c:pt>
                <c:pt idx="4">
                  <c:v>70.099999999999994</c:v>
                </c:pt>
              </c:numCache>
            </c:numRef>
          </c:val>
        </c:ser>
        <c:ser>
          <c:idx val="1"/>
          <c:order val="1"/>
          <c:tx>
            <c:strRef>
              <c:f>Feuil1!$C$1</c:f>
              <c:strCache>
                <c:ptCount val="1"/>
                <c:pt idx="0">
                  <c:v>Mobilité nette</c:v>
                </c:pt>
              </c:strCache>
            </c:strRef>
          </c:tx>
          <c:spPr>
            <a:solidFill>
              <a:srgbClr val="92D050"/>
            </a:solidFill>
          </c:spPr>
          <c:dLbls>
            <c:txPr>
              <a:bodyPr/>
              <a:lstStyle/>
              <a:p>
                <a:pPr>
                  <a:defRPr sz="998">
                    <a:latin typeface="Gill Sans MT" pitchFamily="34" charset="0"/>
                  </a:defRPr>
                </a:pPr>
                <a:endParaRPr lang="fr-FR"/>
              </a:p>
            </c:txPr>
            <c:showVal val="1"/>
          </c:dLbls>
          <c:cat>
            <c:strRef>
              <c:f>Feuil1!$A$2:$A$6</c:f>
              <c:strCache>
                <c:ptCount val="5"/>
                <c:pt idx="0">
                  <c:v>Ensemble</c:v>
                </c:pt>
                <c:pt idx="1">
                  <c:v>Urbain</c:v>
                </c:pt>
                <c:pt idx="2">
                  <c:v>Rural</c:v>
                </c:pt>
                <c:pt idx="3">
                  <c:v>Homme</c:v>
                </c:pt>
                <c:pt idx="4">
                  <c:v>Femme</c:v>
                </c:pt>
              </c:strCache>
            </c:strRef>
          </c:cat>
          <c:val>
            <c:numRef>
              <c:f>Feuil1!$C$2:$C$6</c:f>
              <c:numCache>
                <c:formatCode>0.0</c:formatCode>
                <c:ptCount val="5"/>
                <c:pt idx="0">
                  <c:v>38.766519823788563</c:v>
                </c:pt>
                <c:pt idx="1">
                  <c:v>47.802929427430094</c:v>
                </c:pt>
                <c:pt idx="2">
                  <c:v>24.155405405405421</c:v>
                </c:pt>
                <c:pt idx="3">
                  <c:v>44.3</c:v>
                </c:pt>
                <c:pt idx="4">
                  <c:v>29.9</c:v>
                </c:pt>
              </c:numCache>
            </c:numRef>
          </c:val>
        </c:ser>
        <c:gapWidth val="75"/>
        <c:overlap val="100"/>
        <c:axId val="93562368"/>
        <c:axId val="93563904"/>
      </c:barChart>
      <c:catAx>
        <c:axId val="93562368"/>
        <c:scaling>
          <c:orientation val="minMax"/>
        </c:scaling>
        <c:axPos val="l"/>
        <c:numFmt formatCode="General" sourceLinked="1"/>
        <c:majorTickMark val="none"/>
        <c:tickLblPos val="nextTo"/>
        <c:txPr>
          <a:bodyPr/>
          <a:lstStyle/>
          <a:p>
            <a:pPr>
              <a:defRPr sz="886" b="0" i="0">
                <a:latin typeface="Gill Sans MT" pitchFamily="34" charset="0"/>
              </a:defRPr>
            </a:pPr>
            <a:endParaRPr lang="fr-FR"/>
          </a:p>
        </c:txPr>
        <c:crossAx val="93563904"/>
        <c:crosses val="autoZero"/>
        <c:auto val="1"/>
        <c:lblAlgn val="ctr"/>
        <c:lblOffset val="100"/>
      </c:catAx>
      <c:valAx>
        <c:axId val="93563904"/>
        <c:scaling>
          <c:orientation val="minMax"/>
          <c:max val="100"/>
          <c:min val="0"/>
        </c:scaling>
        <c:axPos val="b"/>
        <c:numFmt formatCode="0" sourceLinked="0"/>
        <c:majorTickMark val="none"/>
        <c:tickLblPos val="nextTo"/>
        <c:spPr>
          <a:ln w="8428">
            <a:noFill/>
          </a:ln>
        </c:spPr>
        <c:txPr>
          <a:bodyPr/>
          <a:lstStyle/>
          <a:p>
            <a:pPr>
              <a:defRPr sz="972">
                <a:latin typeface="Gill Sans MT" pitchFamily="34" charset="0"/>
              </a:defRPr>
            </a:pPr>
            <a:endParaRPr lang="fr-FR"/>
          </a:p>
        </c:txPr>
        <c:crossAx val="93562368"/>
        <c:crosses val="autoZero"/>
        <c:crossBetween val="between"/>
        <c:majorUnit val="20"/>
      </c:valAx>
    </c:plotArea>
    <c:legend>
      <c:legendPos val="r"/>
      <c:layout>
        <c:manualLayout>
          <c:xMode val="edge"/>
          <c:yMode val="edge"/>
          <c:wMode val="edge"/>
          <c:hMode val="edge"/>
          <c:x val="8.0408727535012325E-2"/>
          <c:y val="0.9113269174686498"/>
          <c:w val="0.93425684384871743"/>
          <c:h val="0.98474482356372195"/>
        </c:manualLayout>
      </c:layout>
      <c:txPr>
        <a:bodyPr/>
        <a:lstStyle/>
        <a:p>
          <a:pPr>
            <a:defRPr sz="898" b="0">
              <a:latin typeface="Gill Sans MT" pitchFamily="34" charset="0"/>
            </a:defRPr>
          </a:pPr>
          <a:endParaRPr lang="fr-FR"/>
        </a:p>
      </c:txPr>
    </c:legend>
    <c:plotVisOnly val="1"/>
    <c:dispBlanksAs val="gap"/>
  </c:chart>
  <c:spPr>
    <a:ln w="12650">
      <a:solidFill>
        <a:schemeClr val="tx1"/>
      </a:solidFill>
    </a:ln>
  </c:spPr>
  <c:txPr>
    <a:bodyPr/>
    <a:lstStyle/>
    <a:p>
      <a:pPr>
        <a:defRPr sz="1594"/>
      </a:pPr>
      <a:endParaRPr lang="fr-F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title>
      <c:tx>
        <c:rich>
          <a:bodyPr/>
          <a:lstStyle/>
          <a:p>
            <a:pPr>
              <a:defRPr sz="912" b="0">
                <a:latin typeface="Gill Sans MT" pitchFamily="34" charset="0"/>
              </a:defRPr>
            </a:pPr>
            <a:r>
              <a:rPr lang="fr-FR" sz="906" b="0" dirty="0" smtClean="0">
                <a:latin typeface="Gill Sans MT" pitchFamily="34" charset="0"/>
              </a:rPr>
              <a:t>Taux de mobilité ascendante et descendante en % </a:t>
            </a:r>
          </a:p>
          <a:p>
            <a:pPr>
              <a:defRPr sz="912" b="0">
                <a:latin typeface="Gill Sans MT" pitchFamily="34" charset="0"/>
              </a:defRPr>
            </a:pPr>
            <a:r>
              <a:rPr lang="fr-FR" sz="906" b="0" dirty="0" smtClean="0">
                <a:latin typeface="Gill Sans MT" pitchFamily="34" charset="0"/>
              </a:rPr>
              <a:t>selon le milieu et le sexe.</a:t>
            </a:r>
            <a:r>
              <a:rPr lang="fr-FR" sz="906" b="0" baseline="0" dirty="0" smtClean="0">
                <a:latin typeface="Gill Sans MT" pitchFamily="34" charset="0"/>
              </a:rPr>
              <a:t> </a:t>
            </a:r>
            <a:endParaRPr lang="fr-FR" sz="900" b="0" dirty="0">
              <a:latin typeface="Gill Sans MT" pitchFamily="34" charset="0"/>
            </a:endParaRPr>
          </a:p>
        </c:rich>
      </c:tx>
      <c:layout>
        <c:manualLayout>
          <c:xMode val="edge"/>
          <c:yMode val="edge"/>
          <c:x val="0.17838460914035231"/>
          <c:y val="0"/>
        </c:manualLayout>
      </c:layout>
    </c:title>
    <c:plotArea>
      <c:layout>
        <c:manualLayout>
          <c:layoutTarget val="inner"/>
          <c:xMode val="edge"/>
          <c:yMode val="edge"/>
          <c:x val="0.1698586213957298"/>
          <c:y val="0.2335306923843822"/>
          <c:w val="0.78697231476689999"/>
          <c:h val="0.5434907119168243"/>
        </c:manualLayout>
      </c:layout>
      <c:barChart>
        <c:barDir val="bar"/>
        <c:grouping val="stacked"/>
        <c:ser>
          <c:idx val="0"/>
          <c:order val="0"/>
          <c:tx>
            <c:strRef>
              <c:f>Feuil1!$B$1</c:f>
              <c:strCache>
                <c:ptCount val="1"/>
                <c:pt idx="0">
                  <c:v>Ascendante</c:v>
                </c:pt>
              </c:strCache>
            </c:strRef>
          </c:tx>
          <c:spPr>
            <a:solidFill>
              <a:srgbClr val="FFC000"/>
            </a:solidFill>
          </c:spPr>
          <c:dLbls>
            <c:txPr>
              <a:bodyPr/>
              <a:lstStyle/>
              <a:p>
                <a:pPr>
                  <a:defRPr sz="1007" b="1"/>
                </a:pPr>
                <a:endParaRPr lang="fr-FR"/>
              </a:p>
            </c:txPr>
            <c:showVal val="1"/>
          </c:dLbls>
          <c:cat>
            <c:strRef>
              <c:f>Feuil1!$A$2:$A$6</c:f>
              <c:strCache>
                <c:ptCount val="5"/>
                <c:pt idx="0">
                  <c:v>Ensemble</c:v>
                </c:pt>
                <c:pt idx="1">
                  <c:v>Urbain</c:v>
                </c:pt>
                <c:pt idx="2">
                  <c:v>Rural</c:v>
                </c:pt>
                <c:pt idx="3">
                  <c:v>Hommes</c:v>
                </c:pt>
                <c:pt idx="4">
                  <c:v>Femmes</c:v>
                </c:pt>
              </c:strCache>
            </c:strRef>
          </c:cat>
          <c:val>
            <c:numRef>
              <c:f>Feuil1!$B$2:$B$6</c:f>
              <c:numCache>
                <c:formatCode>General</c:formatCode>
                <c:ptCount val="5"/>
                <c:pt idx="0">
                  <c:v>35.200000000000003</c:v>
                </c:pt>
                <c:pt idx="1">
                  <c:v>51.1</c:v>
                </c:pt>
                <c:pt idx="2">
                  <c:v>14.8</c:v>
                </c:pt>
                <c:pt idx="3">
                  <c:v>43.7</c:v>
                </c:pt>
                <c:pt idx="4">
                  <c:v>17.899999999999999</c:v>
                </c:pt>
              </c:numCache>
            </c:numRef>
          </c:val>
        </c:ser>
        <c:ser>
          <c:idx val="1"/>
          <c:order val="1"/>
          <c:tx>
            <c:strRef>
              <c:f>Feuil1!$C$1</c:f>
              <c:strCache>
                <c:ptCount val="1"/>
                <c:pt idx="0">
                  <c:v>Descendante</c:v>
                </c:pt>
              </c:strCache>
            </c:strRef>
          </c:tx>
          <c:spPr>
            <a:solidFill>
              <a:srgbClr val="00B050"/>
            </a:solidFill>
            <a:ln w="12786" cap="sq"/>
          </c:spPr>
          <c:dLbls>
            <c:txPr>
              <a:bodyPr/>
              <a:lstStyle/>
              <a:p>
                <a:pPr>
                  <a:defRPr sz="1007" b="1"/>
                </a:pPr>
                <a:endParaRPr lang="fr-FR"/>
              </a:p>
            </c:txPr>
            <c:showVal val="1"/>
          </c:dLbls>
          <c:cat>
            <c:strRef>
              <c:f>Feuil1!$A$2:$A$6</c:f>
              <c:strCache>
                <c:ptCount val="5"/>
                <c:pt idx="0">
                  <c:v>Ensemble</c:v>
                </c:pt>
                <c:pt idx="1">
                  <c:v>Urbain</c:v>
                </c:pt>
                <c:pt idx="2">
                  <c:v>Rural</c:v>
                </c:pt>
                <c:pt idx="3">
                  <c:v>Hommes</c:v>
                </c:pt>
                <c:pt idx="4">
                  <c:v>Femmes</c:v>
                </c:pt>
              </c:strCache>
            </c:strRef>
          </c:cat>
          <c:val>
            <c:numRef>
              <c:f>Feuil1!$C$2:$C$6</c:f>
              <c:numCache>
                <c:formatCode>General</c:formatCode>
                <c:ptCount val="5"/>
                <c:pt idx="0">
                  <c:v>33</c:v>
                </c:pt>
                <c:pt idx="1">
                  <c:v>24.1</c:v>
                </c:pt>
                <c:pt idx="2">
                  <c:v>44.4</c:v>
                </c:pt>
                <c:pt idx="3">
                  <c:v>19.3</c:v>
                </c:pt>
                <c:pt idx="4">
                  <c:v>60.7</c:v>
                </c:pt>
              </c:numCache>
            </c:numRef>
          </c:val>
        </c:ser>
        <c:ser>
          <c:idx val="2"/>
          <c:order val="2"/>
          <c:tx>
            <c:strRef>
              <c:f>Feuil1!$D$1</c:f>
              <c:strCache>
                <c:ptCount val="1"/>
                <c:pt idx="0">
                  <c:v>immobilité</c:v>
                </c:pt>
              </c:strCache>
            </c:strRef>
          </c:tx>
          <c:spPr>
            <a:solidFill>
              <a:srgbClr val="FFFF00"/>
            </a:solidFill>
            <a:ln>
              <a:solidFill>
                <a:schemeClr val="accent1"/>
              </a:solidFill>
            </a:ln>
          </c:spPr>
          <c:dLbls>
            <c:txPr>
              <a:bodyPr/>
              <a:lstStyle/>
              <a:p>
                <a:pPr>
                  <a:defRPr sz="1107" b="1"/>
                </a:pPr>
                <a:endParaRPr lang="fr-FR"/>
              </a:p>
            </c:txPr>
            <c:showVal val="1"/>
          </c:dLbls>
          <c:cat>
            <c:strRef>
              <c:f>Feuil1!$A$2:$A$6</c:f>
              <c:strCache>
                <c:ptCount val="5"/>
                <c:pt idx="0">
                  <c:v>Ensemble</c:v>
                </c:pt>
                <c:pt idx="1">
                  <c:v>Urbain</c:v>
                </c:pt>
                <c:pt idx="2">
                  <c:v>Rural</c:v>
                </c:pt>
                <c:pt idx="3">
                  <c:v>Hommes</c:v>
                </c:pt>
                <c:pt idx="4">
                  <c:v>Femmes</c:v>
                </c:pt>
              </c:strCache>
            </c:strRef>
          </c:cat>
          <c:val>
            <c:numRef>
              <c:f>Feuil1!$D$2:$D$6</c:f>
              <c:numCache>
                <c:formatCode>General</c:formatCode>
                <c:ptCount val="5"/>
                <c:pt idx="0">
                  <c:v>31.9</c:v>
                </c:pt>
                <c:pt idx="1">
                  <c:v>24.9</c:v>
                </c:pt>
                <c:pt idx="2">
                  <c:v>40.800000000000004</c:v>
                </c:pt>
                <c:pt idx="3">
                  <c:v>37</c:v>
                </c:pt>
                <c:pt idx="4">
                  <c:v>21.4</c:v>
                </c:pt>
              </c:numCache>
            </c:numRef>
          </c:val>
        </c:ser>
        <c:gapWidth val="75"/>
        <c:overlap val="100"/>
        <c:axId val="93660672"/>
        <c:axId val="93662208"/>
      </c:barChart>
      <c:catAx>
        <c:axId val="93660672"/>
        <c:scaling>
          <c:orientation val="minMax"/>
        </c:scaling>
        <c:axPos val="l"/>
        <c:numFmt formatCode="General" sourceLinked="1"/>
        <c:majorTickMark val="none"/>
        <c:tickLblPos val="nextTo"/>
        <c:txPr>
          <a:bodyPr/>
          <a:lstStyle/>
          <a:p>
            <a:pPr>
              <a:defRPr sz="906" b="0" i="0">
                <a:latin typeface="Gill Sans MT" pitchFamily="34" charset="0"/>
              </a:defRPr>
            </a:pPr>
            <a:endParaRPr lang="fr-FR"/>
          </a:p>
        </c:txPr>
        <c:crossAx val="93662208"/>
        <c:crosses val="autoZero"/>
        <c:auto val="1"/>
        <c:lblAlgn val="ctr"/>
        <c:lblOffset val="100"/>
      </c:catAx>
      <c:valAx>
        <c:axId val="93662208"/>
        <c:scaling>
          <c:orientation val="minMax"/>
          <c:max val="100"/>
          <c:min val="0"/>
        </c:scaling>
        <c:axPos val="b"/>
        <c:numFmt formatCode="0" sourceLinked="0"/>
        <c:majorTickMark val="none"/>
        <c:tickLblPos val="nextTo"/>
        <c:spPr>
          <a:ln w="8507">
            <a:noFill/>
          </a:ln>
        </c:spPr>
        <c:txPr>
          <a:bodyPr/>
          <a:lstStyle/>
          <a:p>
            <a:pPr>
              <a:defRPr sz="985">
                <a:latin typeface="Gill Sans MT" pitchFamily="34" charset="0"/>
              </a:defRPr>
            </a:pPr>
            <a:endParaRPr lang="fr-FR"/>
          </a:p>
        </c:txPr>
        <c:crossAx val="93660672"/>
        <c:crosses val="autoZero"/>
        <c:crossBetween val="between"/>
        <c:majorUnit val="20"/>
      </c:valAx>
    </c:plotArea>
    <c:legend>
      <c:legendPos val="b"/>
      <c:layout>
        <c:manualLayout>
          <c:xMode val="edge"/>
          <c:yMode val="edge"/>
          <c:wMode val="edge"/>
          <c:hMode val="edge"/>
          <c:x val="0.20602700435641433"/>
          <c:y val="0.8937628665981977"/>
          <c:w val="0.85266201260924912"/>
          <c:h val="0.98595184297614979"/>
        </c:manualLayout>
      </c:layout>
      <c:txPr>
        <a:bodyPr/>
        <a:lstStyle/>
        <a:p>
          <a:pPr>
            <a:defRPr sz="906" b="0">
              <a:latin typeface="Gill Sans MT" pitchFamily="34" charset="0"/>
            </a:defRPr>
          </a:pPr>
          <a:endParaRPr lang="fr-FR"/>
        </a:p>
      </c:txPr>
    </c:legend>
    <c:plotVisOnly val="1"/>
    <c:dispBlanksAs val="gap"/>
  </c:chart>
  <c:spPr>
    <a:ln w="22688">
      <a:solidFill>
        <a:schemeClr val="tx1"/>
      </a:solidFill>
    </a:ln>
  </c:spPr>
  <c:txPr>
    <a:bodyPr/>
    <a:lstStyle/>
    <a:p>
      <a:pPr>
        <a:defRPr sz="1610"/>
      </a:pPr>
      <a:endParaRPr lang="fr-F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960">
                <a:latin typeface="Gill Sans MT" pitchFamily="34" charset="0"/>
              </a:defRPr>
            </a:pPr>
            <a:r>
              <a:rPr lang="fr-FR" sz="1012" dirty="0" smtClean="0">
                <a:latin typeface="Gill Sans MT" pitchFamily="34" charset="0"/>
              </a:rPr>
              <a:t>Rapport de chances de m</a:t>
            </a:r>
            <a:r>
              <a:rPr lang="fr-FR" sz="1012" baseline="0" dirty="0" smtClean="0">
                <a:latin typeface="Gill Sans MT" pitchFamily="34" charset="0"/>
              </a:rPr>
              <a:t>obilité ascendante selon le niveau d'études comparé aux sans niveau</a:t>
            </a:r>
            <a:endParaRPr lang="fr-FR" sz="1200" dirty="0">
              <a:latin typeface="Gill Sans MT" pitchFamily="34" charset="0"/>
            </a:endParaRPr>
          </a:p>
        </c:rich>
      </c:tx>
      <c:layout>
        <c:manualLayout>
          <c:xMode val="edge"/>
          <c:yMode val="edge"/>
          <c:x val="0.19887799488873734"/>
          <c:y val="3.850622138247442E-2"/>
        </c:manualLayout>
      </c:layout>
    </c:title>
    <c:plotArea>
      <c:layout>
        <c:manualLayout>
          <c:layoutTarget val="inner"/>
          <c:xMode val="edge"/>
          <c:yMode val="edge"/>
          <c:x val="6.78391959798995E-2"/>
          <c:y val="0.25961538461538464"/>
          <c:w val="0.87688442211055329"/>
          <c:h val="0.53846153846153844"/>
        </c:manualLayout>
      </c:layout>
      <c:barChart>
        <c:barDir val="col"/>
        <c:grouping val="clustered"/>
        <c:ser>
          <c:idx val="0"/>
          <c:order val="0"/>
          <c:tx>
            <c:strRef>
              <c:f>Feuil1!$B$1</c:f>
              <c:strCache>
                <c:ptCount val="1"/>
                <c:pt idx="0">
                  <c:v>Descendante</c:v>
                </c:pt>
              </c:strCache>
            </c:strRef>
          </c:tx>
          <c:spPr>
            <a:solidFill>
              <a:srgbClr val="FFC000"/>
            </a:solidFill>
          </c:spPr>
          <c:dLbls>
            <c:txPr>
              <a:bodyPr/>
              <a:lstStyle/>
              <a:p>
                <a:pPr>
                  <a:defRPr sz="1139" b="1">
                    <a:solidFill>
                      <a:srgbClr val="FF9933"/>
                    </a:solidFill>
                    <a:latin typeface="Gill Sans MT" pitchFamily="34" charset="0"/>
                  </a:defRPr>
                </a:pPr>
                <a:endParaRPr lang="fr-FR"/>
              </a:p>
            </c:txPr>
            <c:showVal val="1"/>
          </c:dLbls>
          <c:cat>
            <c:strRef>
              <c:f>Feuil1!$A$2:$A$4</c:f>
              <c:strCache>
                <c:ptCount val="3"/>
                <c:pt idx="0">
                  <c:v>Fondamental</c:v>
                </c:pt>
                <c:pt idx="1">
                  <c:v>Secondaire</c:v>
                </c:pt>
                <c:pt idx="2">
                  <c:v>Supérieur</c:v>
                </c:pt>
              </c:strCache>
            </c:strRef>
          </c:cat>
          <c:val>
            <c:numRef>
              <c:f>Feuil1!$B$2:$B$4</c:f>
              <c:numCache>
                <c:formatCode>General</c:formatCode>
                <c:ptCount val="3"/>
                <c:pt idx="0">
                  <c:v>1.6</c:v>
                </c:pt>
                <c:pt idx="1">
                  <c:v>4.5999999999999996</c:v>
                </c:pt>
                <c:pt idx="2">
                  <c:v>16.2</c:v>
                </c:pt>
              </c:numCache>
            </c:numRef>
          </c:val>
        </c:ser>
        <c:gapWidth val="75"/>
        <c:axId val="94243840"/>
        <c:axId val="94290688"/>
      </c:barChart>
      <c:catAx>
        <c:axId val="94243840"/>
        <c:scaling>
          <c:orientation val="minMax"/>
        </c:scaling>
        <c:axPos val="b"/>
        <c:numFmt formatCode="General" sourceLinked="1"/>
        <c:majorTickMark val="none"/>
        <c:tickLblPos val="nextTo"/>
        <c:txPr>
          <a:bodyPr/>
          <a:lstStyle/>
          <a:p>
            <a:pPr>
              <a:defRPr sz="843" b="1" i="0">
                <a:latin typeface="Gill Sans MT" pitchFamily="34" charset="0"/>
              </a:defRPr>
            </a:pPr>
            <a:endParaRPr lang="fr-FR"/>
          </a:p>
        </c:txPr>
        <c:crossAx val="94290688"/>
        <c:crosses val="autoZero"/>
        <c:auto val="1"/>
        <c:lblAlgn val="ctr"/>
        <c:lblOffset val="100"/>
      </c:catAx>
      <c:valAx>
        <c:axId val="94290688"/>
        <c:scaling>
          <c:orientation val="minMax"/>
          <c:max val="20"/>
        </c:scaling>
        <c:axPos val="l"/>
        <c:majorGridlines/>
        <c:numFmt formatCode="0" sourceLinked="0"/>
        <c:majorTickMark val="none"/>
        <c:tickLblPos val="nextTo"/>
        <c:spPr>
          <a:ln w="8040">
            <a:noFill/>
          </a:ln>
        </c:spPr>
        <c:txPr>
          <a:bodyPr/>
          <a:lstStyle/>
          <a:p>
            <a:pPr>
              <a:defRPr sz="927">
                <a:latin typeface="Gill Sans MT" pitchFamily="34" charset="0"/>
              </a:defRPr>
            </a:pPr>
            <a:endParaRPr lang="fr-FR"/>
          </a:p>
        </c:txPr>
        <c:crossAx val="94243840"/>
        <c:crosses val="autoZero"/>
        <c:crossBetween val="between"/>
        <c:majorUnit val="5"/>
        <c:minorUnit val="4"/>
      </c:valAx>
    </c:plotArea>
    <c:plotVisOnly val="1"/>
    <c:dispBlanksAs val="gap"/>
  </c:chart>
  <c:spPr>
    <a:ln w="12069">
      <a:solidFill>
        <a:schemeClr val="tx1"/>
      </a:solidFill>
    </a:ln>
  </c:spPr>
  <c:txPr>
    <a:bodyPr/>
    <a:lstStyle/>
    <a:p>
      <a:pPr>
        <a:defRPr sz="1522"/>
      </a:pPr>
      <a:endParaRPr lang="fr-FR"/>
    </a:p>
  </c:txPr>
  <c:externalData r:id="rId2"/>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6</Pages>
  <Words>1686</Words>
  <Characters>9273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dc:creator>
  <cp:keywords/>
  <cp:lastModifiedBy> </cp:lastModifiedBy>
  <cp:revision>4</cp:revision>
  <cp:lastPrinted>2013-11-27T13:52:00Z</cp:lastPrinted>
  <dcterms:created xsi:type="dcterms:W3CDTF">2013-11-27T19:30:00Z</dcterms:created>
  <dcterms:modified xsi:type="dcterms:W3CDTF">2013-11-27T19:33:00Z</dcterms:modified>
</cp:coreProperties>
</file>