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FB2" w:rsidRDefault="00C87413" w:rsidP="00CE2139">
      <w:pPr>
        <w:bidi/>
        <w:jc w:val="center"/>
        <w:outlineLvl w:val="0"/>
      </w:pPr>
      <w:r>
        <w:rPr>
          <w:noProof/>
        </w:rPr>
        <w:pict>
          <v:rect id="_x0000_s1026" style="position:absolute;left:0;text-align:left;margin-left:-101.05pt;margin-top:-68.15pt;width:655pt;height:324.05pt;z-index:-251658752" o:preferrelative="t" filled="f" stroked="f" insetpen="t" o:cliptowrap="t">
            <v:imagedata r:id="rId8" o:title=""/>
            <v:path o:extrusionok="f"/>
            <o:lock v:ext="edit" aspectratio="t"/>
            <w10:wrap anchorx="page"/>
          </v:rect>
          <o:OLEObject Type="Embed" ProgID="PBrush" ShapeID="_x0000_s1026" DrawAspect="Content" ObjectID="_1711833118" r:id="rId9"/>
        </w:pict>
      </w:r>
      <w:r w:rsidR="00981F00">
        <w:rPr>
          <w:rFonts w:hint="cs"/>
          <w:rtl/>
        </w:rPr>
        <w:t xml:space="preserve">  </w:t>
      </w:r>
    </w:p>
    <w:p w:rsidR="00453FB2" w:rsidRDefault="00453FB2" w:rsidP="00B32235">
      <w:pPr>
        <w:bidi/>
        <w:jc w:val="center"/>
        <w:outlineLvl w:val="0"/>
      </w:pPr>
    </w:p>
    <w:p w:rsidR="00453FB2" w:rsidRDefault="00453FB2" w:rsidP="00B32235">
      <w:pPr>
        <w:bidi/>
        <w:jc w:val="center"/>
        <w:outlineLvl w:val="0"/>
      </w:pPr>
    </w:p>
    <w:p w:rsidR="00CE7BED" w:rsidRDefault="00CE7BED" w:rsidP="008E1A8F">
      <w:pPr>
        <w:autoSpaceDE w:val="0"/>
        <w:autoSpaceDN w:val="0"/>
        <w:adjustRightInd w:val="0"/>
        <w:ind w:right="-233"/>
        <w:jc w:val="both"/>
        <w:rPr>
          <w:b/>
          <w:bCs/>
        </w:rPr>
      </w:pPr>
    </w:p>
    <w:p w:rsidR="00453FB2" w:rsidRDefault="00453FB2" w:rsidP="00053BAE">
      <w:pPr>
        <w:jc w:val="both"/>
      </w:pPr>
    </w:p>
    <w:p w:rsidR="00C22738" w:rsidRDefault="00C22738" w:rsidP="00053BAE">
      <w:pPr>
        <w:jc w:val="both"/>
      </w:pPr>
    </w:p>
    <w:p w:rsidR="00C22738" w:rsidRPr="00A00613" w:rsidRDefault="00C22738" w:rsidP="00053BAE">
      <w:pPr>
        <w:jc w:val="both"/>
      </w:pPr>
    </w:p>
    <w:tbl>
      <w:tblPr>
        <w:tblW w:w="9781" w:type="dxa"/>
        <w:tblInd w:w="-72" w:type="dxa"/>
        <w:tblCellMar>
          <w:left w:w="70" w:type="dxa"/>
          <w:right w:w="70" w:type="dxa"/>
        </w:tblCellMar>
        <w:tblLook w:val="00A0"/>
      </w:tblPr>
      <w:tblGrid>
        <w:gridCol w:w="9781"/>
      </w:tblGrid>
      <w:tr w:rsidR="00453FB2" w:rsidRPr="00627A37" w:rsidTr="00FB2826">
        <w:trPr>
          <w:trHeight w:val="300"/>
        </w:trPr>
        <w:tc>
          <w:tcPr>
            <w:tcW w:w="9781" w:type="dxa"/>
            <w:tcBorders>
              <w:top w:val="nil"/>
              <w:left w:val="nil"/>
              <w:bottom w:val="nil"/>
              <w:right w:val="nil"/>
            </w:tcBorders>
            <w:noWrap/>
            <w:vAlign w:val="bottom"/>
          </w:tcPr>
          <w:p w:rsidR="00116550" w:rsidRDefault="00034A3F" w:rsidP="001F0C6D">
            <w:pPr>
              <w:pStyle w:val="Titre"/>
              <w:spacing w:line="312" w:lineRule="auto"/>
              <w:ind w:left="637" w:right="561"/>
              <w:rPr>
                <w:rFonts w:ascii="Times" w:eastAsia="Times New Roman" w:hAnsi="Times" w:cs="Times"/>
                <w:color w:val="660033"/>
                <w:lang w:val="fr-FR"/>
              </w:rPr>
            </w:pPr>
            <w:r w:rsidRPr="00116550">
              <w:rPr>
                <w:rFonts w:ascii="Times" w:eastAsia="Times New Roman" w:hAnsi="Times" w:cs="Times"/>
                <w:color w:val="660033"/>
                <w:lang w:val="fr-FR"/>
              </w:rPr>
              <w:t xml:space="preserve">Note d’information </w:t>
            </w:r>
            <w:r w:rsidR="00B827A1" w:rsidRPr="00116550">
              <w:rPr>
                <w:rFonts w:ascii="Times" w:eastAsia="Times New Roman" w:hAnsi="Times" w:cs="Times"/>
                <w:color w:val="660033"/>
                <w:lang w:val="fr-FR"/>
              </w:rPr>
              <w:t xml:space="preserve">du HCP </w:t>
            </w:r>
            <w:r w:rsidRPr="00116550">
              <w:rPr>
                <w:rFonts w:ascii="Times" w:eastAsia="Times New Roman" w:hAnsi="Times" w:cs="Times"/>
                <w:color w:val="660033"/>
                <w:lang w:val="fr-FR"/>
              </w:rPr>
              <w:t>sur l</w:t>
            </w:r>
            <w:r w:rsidR="00C97BC6" w:rsidRPr="00116550">
              <w:rPr>
                <w:rFonts w:ascii="Times" w:eastAsia="Times New Roman" w:hAnsi="Times" w:cs="Times"/>
                <w:color w:val="660033"/>
                <w:lang w:val="fr-FR"/>
              </w:rPr>
              <w:t xml:space="preserve">e changement de l’année </w:t>
            </w:r>
          </w:p>
          <w:p w:rsidR="00034A3F" w:rsidRPr="00116550" w:rsidRDefault="00C97BC6" w:rsidP="001F0C6D">
            <w:pPr>
              <w:pStyle w:val="Titre"/>
              <w:spacing w:line="312" w:lineRule="auto"/>
              <w:ind w:left="637" w:right="561"/>
              <w:rPr>
                <w:rFonts w:ascii="Times" w:eastAsia="Times New Roman" w:hAnsi="Times" w:cs="Times"/>
                <w:color w:val="660033"/>
                <w:lang w:val="fr-FR"/>
              </w:rPr>
            </w:pPr>
            <w:r w:rsidRPr="00116550">
              <w:rPr>
                <w:rFonts w:ascii="Times" w:eastAsia="Times New Roman" w:hAnsi="Times" w:cs="Times"/>
                <w:color w:val="660033"/>
                <w:lang w:val="fr-FR"/>
              </w:rPr>
              <w:t>de base des comptes nationaux</w:t>
            </w:r>
          </w:p>
          <w:p w:rsidR="006569C0" w:rsidRPr="00116550" w:rsidRDefault="00C97BC6" w:rsidP="00116550">
            <w:pPr>
              <w:pStyle w:val="Titre"/>
              <w:spacing w:after="240" w:line="312" w:lineRule="auto"/>
              <w:ind w:left="635" w:right="561"/>
              <w:rPr>
                <w:rFonts w:ascii="Times" w:eastAsia="Times New Roman" w:hAnsi="Times" w:cs="Times"/>
                <w:color w:val="660033"/>
                <w:lang w:val="fr-FR"/>
              </w:rPr>
            </w:pPr>
            <w:r w:rsidRPr="00116550">
              <w:rPr>
                <w:rFonts w:ascii="Times" w:eastAsia="Times New Roman" w:hAnsi="Times" w:cs="Times"/>
                <w:color w:val="660033"/>
                <w:lang w:val="fr-FR"/>
              </w:rPr>
              <w:t>2014 au lieu de 2007</w:t>
            </w:r>
          </w:p>
          <w:p w:rsidR="00C97BC6" w:rsidRDefault="00C97BC6" w:rsidP="00C97BC6">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Les comptes nationaux du Maroc sont établis selon les prescrits du </w:t>
            </w:r>
            <w:r>
              <w:rPr>
                <w:rFonts w:ascii="Calibri" w:eastAsia="Calibri" w:hAnsi="Calibri" w:cs="Calibri"/>
                <w:sz w:val="26"/>
                <w:szCs w:val="26"/>
              </w:rPr>
              <w:t>S</w:t>
            </w:r>
            <w:r w:rsidRPr="004C0F54">
              <w:rPr>
                <w:rFonts w:ascii="Calibri" w:eastAsia="Calibri" w:hAnsi="Calibri" w:cs="Calibri"/>
                <w:sz w:val="26"/>
                <w:szCs w:val="26"/>
              </w:rPr>
              <w:t xml:space="preserve">ystème de la </w:t>
            </w:r>
            <w:r>
              <w:rPr>
                <w:rFonts w:ascii="Calibri" w:eastAsia="Calibri" w:hAnsi="Calibri" w:cs="Calibri"/>
                <w:sz w:val="26"/>
                <w:szCs w:val="26"/>
              </w:rPr>
              <w:t>C</w:t>
            </w:r>
            <w:r w:rsidRPr="004C0F54">
              <w:rPr>
                <w:rFonts w:ascii="Calibri" w:eastAsia="Calibri" w:hAnsi="Calibri" w:cs="Calibri"/>
                <w:sz w:val="26"/>
                <w:szCs w:val="26"/>
              </w:rPr>
              <w:t xml:space="preserve">omptabilité </w:t>
            </w:r>
            <w:r>
              <w:rPr>
                <w:rFonts w:ascii="Calibri" w:eastAsia="Calibri" w:hAnsi="Calibri" w:cs="Calibri"/>
                <w:sz w:val="26"/>
                <w:szCs w:val="26"/>
              </w:rPr>
              <w:t>N</w:t>
            </w:r>
            <w:r w:rsidRPr="004C0F54">
              <w:rPr>
                <w:rFonts w:ascii="Calibri" w:eastAsia="Calibri" w:hAnsi="Calibri" w:cs="Calibri"/>
                <w:sz w:val="26"/>
                <w:szCs w:val="26"/>
              </w:rPr>
              <w:t xml:space="preserve">ationale (SCN), une </w:t>
            </w:r>
            <w:r w:rsidR="009E0DAA">
              <w:rPr>
                <w:rFonts w:ascii="Calibri" w:eastAsia="Calibri" w:hAnsi="Calibri" w:cs="Calibri"/>
                <w:sz w:val="26"/>
                <w:szCs w:val="26"/>
              </w:rPr>
              <w:t>norme</w:t>
            </w:r>
            <w:r w:rsidRPr="004C0F54">
              <w:rPr>
                <w:rFonts w:ascii="Calibri" w:eastAsia="Calibri" w:hAnsi="Calibri" w:cs="Calibri"/>
                <w:sz w:val="26"/>
                <w:szCs w:val="26"/>
              </w:rPr>
              <w:t xml:space="preserve"> internationale préparée et publiée sous l</w:t>
            </w:r>
            <w:r w:rsidR="009E0DAA">
              <w:rPr>
                <w:rFonts w:ascii="Calibri" w:eastAsia="Calibri" w:hAnsi="Calibri" w:cs="Calibri"/>
                <w:sz w:val="26"/>
                <w:szCs w:val="26"/>
              </w:rPr>
              <w:t xml:space="preserve">’égide </w:t>
            </w:r>
            <w:r w:rsidRPr="004C0F54">
              <w:rPr>
                <w:rFonts w:ascii="Calibri" w:eastAsia="Calibri" w:hAnsi="Calibri" w:cs="Calibri"/>
                <w:sz w:val="26"/>
                <w:szCs w:val="26"/>
              </w:rPr>
              <w:t xml:space="preserve">des Nations Unies, de la Commission européenne, de l’Organisation de coopération et de développement économiques, du Fond monétaire international et du Groupe de la Banque mondiale. </w:t>
            </w:r>
            <w:r w:rsidR="0033234F">
              <w:rPr>
                <w:rFonts w:ascii="Calibri" w:eastAsia="Calibri" w:hAnsi="Calibri" w:cs="Calibri"/>
                <w:sz w:val="26"/>
                <w:szCs w:val="26"/>
              </w:rPr>
              <w:t xml:space="preserve">  </w:t>
            </w:r>
          </w:p>
          <w:p w:rsidR="00C97BC6" w:rsidRPr="004C0F54" w:rsidRDefault="00C97BC6" w:rsidP="00493535">
            <w:pPr>
              <w:autoSpaceDE w:val="0"/>
              <w:autoSpaceDN w:val="0"/>
              <w:adjustRightInd w:val="0"/>
              <w:spacing w:after="120" w:line="360" w:lineRule="exact"/>
              <w:jc w:val="both"/>
              <w:rPr>
                <w:rFonts w:ascii="Calibri" w:eastAsia="Calibri" w:hAnsi="Calibri" w:cs="Calibri"/>
                <w:sz w:val="26"/>
                <w:szCs w:val="26"/>
              </w:rPr>
            </w:pPr>
            <w:r w:rsidRPr="004C0F54">
              <w:rPr>
                <w:rFonts w:ascii="Calibri" w:eastAsia="Calibri" w:hAnsi="Calibri" w:cs="Calibri"/>
                <w:sz w:val="26"/>
                <w:szCs w:val="26"/>
              </w:rPr>
              <w:t xml:space="preserve">En se référant aux SCN, les comptes nationaux marocains </w:t>
            </w:r>
            <w:r w:rsidR="000B5668">
              <w:rPr>
                <w:rFonts w:ascii="Calibri" w:eastAsia="Calibri" w:hAnsi="Calibri" w:cs="Calibri"/>
                <w:sz w:val="26"/>
                <w:szCs w:val="26"/>
              </w:rPr>
              <w:t>présentent</w:t>
            </w:r>
            <w:r w:rsidRPr="004C0F54">
              <w:rPr>
                <w:rFonts w:ascii="Calibri" w:eastAsia="Calibri" w:hAnsi="Calibri" w:cs="Calibri"/>
                <w:sz w:val="26"/>
                <w:szCs w:val="26"/>
              </w:rPr>
              <w:t xml:space="preserve"> une description cohérente, exhaustive et pertinente du </w:t>
            </w:r>
            <w:r w:rsidR="000B5668">
              <w:rPr>
                <w:rFonts w:ascii="Calibri" w:eastAsia="Calibri" w:hAnsi="Calibri" w:cs="Calibri"/>
                <w:sz w:val="26"/>
                <w:szCs w:val="26"/>
              </w:rPr>
              <w:t>fonctionnement de l'économie. Celle</w:t>
            </w:r>
            <w:r w:rsidRPr="004C0F54">
              <w:rPr>
                <w:rFonts w:ascii="Calibri" w:eastAsia="Calibri" w:hAnsi="Calibri" w:cs="Calibri"/>
                <w:sz w:val="26"/>
                <w:szCs w:val="26"/>
              </w:rPr>
              <w:t xml:space="preserve">-ci </w:t>
            </w:r>
            <w:r w:rsidR="00493535">
              <w:rPr>
                <w:rFonts w:ascii="Calibri" w:eastAsia="Calibri" w:hAnsi="Calibri" w:cs="Calibri"/>
                <w:sz w:val="26"/>
                <w:szCs w:val="26"/>
              </w:rPr>
              <w:t>a cependant vocation à connaitre des évolutions dans le</w:t>
            </w:r>
            <w:r w:rsidRPr="004C0F54">
              <w:rPr>
                <w:rFonts w:ascii="Calibri" w:eastAsia="Calibri" w:hAnsi="Calibri" w:cs="Calibri"/>
                <w:sz w:val="26"/>
                <w:szCs w:val="26"/>
              </w:rPr>
              <w:t xml:space="preserve"> temps. Le cadre conceptuel des comptes nationaux comme les nomenclatures utilisées pour présenter les résultats doivent donc évoluer pour s'adapter aux mutations de l'économie</w:t>
            </w:r>
            <w:r w:rsidR="00156305">
              <w:rPr>
                <w:rFonts w:ascii="Calibri" w:eastAsia="Calibri" w:hAnsi="Calibri" w:cs="Calibri"/>
                <w:sz w:val="26"/>
                <w:szCs w:val="26"/>
              </w:rPr>
              <w:t xml:space="preserve"> nationale</w:t>
            </w:r>
            <w:r w:rsidRPr="004C0F54">
              <w:rPr>
                <w:rFonts w:ascii="Calibri" w:eastAsia="Calibri" w:hAnsi="Calibri" w:cs="Calibri"/>
                <w:sz w:val="26"/>
                <w:szCs w:val="26"/>
              </w:rPr>
              <w:t>. Pour rendre compte de ces changements, des révisions</w:t>
            </w:r>
            <w:r w:rsidR="00F46CC0">
              <w:rPr>
                <w:rFonts w:ascii="Calibri" w:eastAsia="Calibri" w:hAnsi="Calibri" w:cs="Calibri"/>
                <w:sz w:val="26"/>
                <w:szCs w:val="26"/>
              </w:rPr>
              <w:t xml:space="preserve"> </w:t>
            </w:r>
            <w:r w:rsidRPr="004C0F54">
              <w:rPr>
                <w:rFonts w:ascii="Calibri" w:eastAsia="Calibri" w:hAnsi="Calibri" w:cs="Calibri"/>
                <w:sz w:val="26"/>
                <w:szCs w:val="26"/>
              </w:rPr>
              <w:t>des comptes nationaux marocains sont effectuées à intervalles périodiques : il s’agit des changements d’années de base de ces comptes.</w:t>
            </w:r>
          </w:p>
          <w:p w:rsidR="00116550" w:rsidRDefault="00C97BC6" w:rsidP="00493535">
            <w:pPr>
              <w:spacing w:line="360" w:lineRule="exact"/>
              <w:ind w:left="66"/>
              <w:jc w:val="both"/>
              <w:rPr>
                <w:rFonts w:ascii="Book Antiqua" w:hAnsi="Book Antiqua" w:cs="Calibri"/>
                <w:sz w:val="26"/>
                <w:szCs w:val="26"/>
              </w:rPr>
            </w:pPr>
            <w:r w:rsidRPr="004C0F54">
              <w:rPr>
                <w:rFonts w:ascii="Calibri" w:eastAsia="Calibri" w:hAnsi="Calibri" w:cs="Calibri"/>
                <w:sz w:val="26"/>
                <w:szCs w:val="26"/>
              </w:rPr>
              <w:t xml:space="preserve">En général, le changement de l’année de </w:t>
            </w:r>
            <w:r w:rsidRPr="00F46CC0">
              <w:rPr>
                <w:rFonts w:ascii="Calibri" w:eastAsia="Calibri" w:hAnsi="Calibri" w:cs="Calibri"/>
                <w:sz w:val="26"/>
                <w:szCs w:val="26"/>
              </w:rPr>
              <w:t xml:space="preserve">base des comptes </w:t>
            </w:r>
            <w:r w:rsidR="00B317EB">
              <w:rPr>
                <w:rFonts w:ascii="Calibri" w:eastAsia="Calibri" w:hAnsi="Calibri" w:cs="Calibri"/>
                <w:sz w:val="26"/>
                <w:szCs w:val="26"/>
              </w:rPr>
              <w:t xml:space="preserve">nationaux </w:t>
            </w:r>
            <w:r w:rsidRPr="00F46CC0">
              <w:rPr>
                <w:rFonts w:ascii="Calibri" w:eastAsia="Calibri" w:hAnsi="Calibri" w:cs="Calibri"/>
                <w:sz w:val="26"/>
                <w:szCs w:val="26"/>
              </w:rPr>
              <w:t xml:space="preserve">est une </w:t>
            </w:r>
            <w:r w:rsidR="00493535">
              <w:rPr>
                <w:rFonts w:ascii="Calibri" w:eastAsia="Calibri" w:hAnsi="Calibri" w:cs="Calibri"/>
                <w:sz w:val="26"/>
                <w:szCs w:val="26"/>
              </w:rPr>
              <w:t>revisite du</w:t>
            </w:r>
            <w:r w:rsidRPr="00F46CC0">
              <w:rPr>
                <w:rFonts w:ascii="Calibri" w:eastAsia="Calibri" w:hAnsi="Calibri" w:cs="Calibri"/>
                <w:sz w:val="26"/>
                <w:szCs w:val="26"/>
              </w:rPr>
              <w:t xml:space="preserve"> cadre </w:t>
            </w:r>
            <w:r w:rsidR="00B317EB">
              <w:rPr>
                <w:rFonts w:ascii="Calibri" w:eastAsia="Calibri" w:hAnsi="Calibri" w:cs="Calibri"/>
                <w:sz w:val="26"/>
                <w:szCs w:val="26"/>
              </w:rPr>
              <w:t>conceptuel et méthodologique de</w:t>
            </w:r>
            <w:r w:rsidR="000B5668">
              <w:rPr>
                <w:rFonts w:ascii="Calibri" w:eastAsia="Calibri" w:hAnsi="Calibri" w:cs="Calibri"/>
                <w:sz w:val="26"/>
                <w:szCs w:val="26"/>
              </w:rPr>
              <w:t>s comptes nationaux</w:t>
            </w:r>
            <w:r w:rsidR="00B317EB">
              <w:rPr>
                <w:rFonts w:ascii="Calibri" w:eastAsia="Calibri" w:hAnsi="Calibri" w:cs="Calibri"/>
                <w:sz w:val="26"/>
                <w:szCs w:val="26"/>
              </w:rPr>
              <w:t xml:space="preserve"> </w:t>
            </w:r>
            <w:r w:rsidRPr="00F46CC0">
              <w:rPr>
                <w:rFonts w:ascii="Calibri" w:eastAsia="Calibri" w:hAnsi="Calibri" w:cs="Calibri"/>
                <w:sz w:val="26"/>
                <w:szCs w:val="26"/>
              </w:rPr>
              <w:t xml:space="preserve">qui permet </w:t>
            </w:r>
            <w:r w:rsidR="00F46CC0" w:rsidRPr="00F46CC0">
              <w:rPr>
                <w:rFonts w:ascii="Calibri" w:eastAsia="Calibri" w:hAnsi="Calibri" w:cs="Calibri"/>
                <w:sz w:val="26"/>
                <w:szCs w:val="26"/>
              </w:rPr>
              <w:t xml:space="preserve">d’incorporer </w:t>
            </w:r>
            <w:r w:rsidR="009E0DAA">
              <w:rPr>
                <w:rFonts w:ascii="Calibri" w:eastAsia="Calibri" w:hAnsi="Calibri" w:cs="Calibri"/>
                <w:sz w:val="26"/>
                <w:szCs w:val="26"/>
              </w:rPr>
              <w:t>d</w:t>
            </w:r>
            <w:r w:rsidR="00C30E85">
              <w:rPr>
                <w:rFonts w:ascii="Calibri" w:eastAsia="Calibri" w:hAnsi="Calibri" w:cs="Calibri"/>
                <w:sz w:val="26"/>
                <w:szCs w:val="26"/>
              </w:rPr>
              <w:t xml:space="preserve">es </w:t>
            </w:r>
            <w:r w:rsidR="009E0DAA">
              <w:rPr>
                <w:rFonts w:ascii="Calibri" w:eastAsia="Calibri" w:hAnsi="Calibri" w:cs="Calibri"/>
                <w:sz w:val="26"/>
                <w:szCs w:val="26"/>
              </w:rPr>
              <w:t xml:space="preserve">nouvelles </w:t>
            </w:r>
            <w:r w:rsidR="000B5668">
              <w:rPr>
                <w:rFonts w:ascii="Calibri" w:eastAsia="Calibri" w:hAnsi="Calibri" w:cs="Calibri"/>
                <w:sz w:val="26"/>
                <w:szCs w:val="26"/>
              </w:rPr>
              <w:t>sources de données,</w:t>
            </w:r>
            <w:r w:rsidR="00493535">
              <w:rPr>
                <w:rFonts w:ascii="Calibri" w:eastAsia="Calibri" w:hAnsi="Calibri" w:cs="Calibri"/>
                <w:sz w:val="26"/>
                <w:szCs w:val="26"/>
              </w:rPr>
              <w:t xml:space="preserve"> </w:t>
            </w:r>
            <w:r w:rsidR="00F46CC0" w:rsidRPr="00F46CC0">
              <w:rPr>
                <w:rFonts w:ascii="Calibri" w:eastAsia="Calibri" w:hAnsi="Calibri" w:cs="Calibri"/>
                <w:sz w:val="26"/>
                <w:szCs w:val="26"/>
              </w:rPr>
              <w:t xml:space="preserve">d’apporter </w:t>
            </w:r>
            <w:r w:rsidR="009E0DAA" w:rsidRPr="00F46CC0">
              <w:rPr>
                <w:rFonts w:ascii="Calibri" w:eastAsia="Calibri" w:hAnsi="Calibri" w:cs="Calibri"/>
                <w:sz w:val="26"/>
                <w:szCs w:val="26"/>
              </w:rPr>
              <w:t xml:space="preserve">des </w:t>
            </w:r>
            <w:r w:rsidR="009E0DAA">
              <w:rPr>
                <w:rFonts w:ascii="Calibri" w:eastAsia="Calibri" w:hAnsi="Calibri" w:cs="Calibri"/>
                <w:sz w:val="26"/>
                <w:szCs w:val="26"/>
              </w:rPr>
              <w:t>changements</w:t>
            </w:r>
            <w:r w:rsidR="009E0DAA" w:rsidRPr="00F46CC0">
              <w:rPr>
                <w:rFonts w:ascii="Calibri" w:eastAsia="Calibri" w:hAnsi="Calibri" w:cs="Calibri"/>
                <w:sz w:val="26"/>
                <w:szCs w:val="26"/>
              </w:rPr>
              <w:t xml:space="preserve"> conceptuels</w:t>
            </w:r>
            <w:r w:rsidR="009E4CEE">
              <w:rPr>
                <w:rFonts w:ascii="Calibri" w:eastAsia="Calibri" w:hAnsi="Calibri" w:cs="Calibri"/>
                <w:sz w:val="26"/>
                <w:szCs w:val="26"/>
              </w:rPr>
              <w:t>,</w:t>
            </w:r>
            <w:r w:rsidR="00F46CC0" w:rsidRPr="00F46CC0">
              <w:rPr>
                <w:rFonts w:ascii="Calibri" w:eastAsia="Calibri" w:hAnsi="Calibri" w:cs="Calibri"/>
                <w:sz w:val="26"/>
                <w:szCs w:val="26"/>
              </w:rPr>
              <w:t xml:space="preserve"> d'améliorer les méthodes d'</w:t>
            </w:r>
            <w:r w:rsidR="00C30E85">
              <w:rPr>
                <w:rFonts w:ascii="Calibri" w:eastAsia="Calibri" w:hAnsi="Calibri" w:cs="Calibri"/>
                <w:sz w:val="26"/>
                <w:szCs w:val="26"/>
              </w:rPr>
              <w:t>évaluations</w:t>
            </w:r>
            <w:r w:rsidR="00493535">
              <w:rPr>
                <w:rFonts w:ascii="Calibri" w:eastAsia="Calibri" w:hAnsi="Calibri" w:cs="Calibri"/>
                <w:sz w:val="26"/>
                <w:szCs w:val="26"/>
              </w:rPr>
              <w:t xml:space="preserve"> et </w:t>
            </w:r>
            <w:r w:rsidR="000B5668" w:rsidRPr="00F46CC0">
              <w:rPr>
                <w:rFonts w:ascii="Calibri" w:eastAsia="Calibri" w:hAnsi="Calibri" w:cs="Calibri"/>
                <w:sz w:val="26"/>
                <w:szCs w:val="26"/>
              </w:rPr>
              <w:t xml:space="preserve">d’intégrer les nouvelles </w:t>
            </w:r>
            <w:r w:rsidR="000B5668">
              <w:rPr>
                <w:rFonts w:ascii="Calibri" w:eastAsia="Calibri" w:hAnsi="Calibri" w:cs="Calibri"/>
                <w:sz w:val="26"/>
                <w:szCs w:val="26"/>
              </w:rPr>
              <w:t xml:space="preserve">versions des </w:t>
            </w:r>
            <w:r w:rsidR="000B5668" w:rsidRPr="00F46CC0">
              <w:rPr>
                <w:rFonts w:ascii="Calibri" w:eastAsia="Calibri" w:hAnsi="Calibri" w:cs="Calibri"/>
                <w:sz w:val="26"/>
                <w:szCs w:val="26"/>
              </w:rPr>
              <w:t xml:space="preserve">normes </w:t>
            </w:r>
            <w:r w:rsidR="00493535">
              <w:rPr>
                <w:rFonts w:ascii="Calibri" w:eastAsia="Calibri" w:hAnsi="Calibri" w:cs="Calibri"/>
                <w:sz w:val="26"/>
                <w:szCs w:val="26"/>
              </w:rPr>
              <w:t>adoptées par la communauté internationale.</w:t>
            </w:r>
          </w:p>
          <w:p w:rsidR="00D67075" w:rsidRDefault="00116550" w:rsidP="00116550">
            <w:pPr>
              <w:spacing w:before="120" w:after="120" w:line="360" w:lineRule="exact"/>
              <w:ind w:left="68"/>
              <w:jc w:val="both"/>
              <w:rPr>
                <w:rFonts w:ascii="Calibri" w:eastAsia="Calibri" w:hAnsi="Calibri" w:cs="Calibri"/>
                <w:sz w:val="26"/>
                <w:szCs w:val="26"/>
              </w:rPr>
            </w:pPr>
            <w:r w:rsidRPr="00116550">
              <w:rPr>
                <w:rFonts w:ascii="Calibri" w:eastAsia="Calibri" w:hAnsi="Calibri" w:cs="Calibri"/>
                <w:sz w:val="26"/>
                <w:szCs w:val="26"/>
              </w:rPr>
              <w:t>C’est dans ce cadre que le Maroc a procédé à l’établissement d’une nouvelle année de base de ses comptes nationaux, en l’occurrence 2014, en se référant au SCN 2008</w:t>
            </w:r>
            <w:r w:rsidRPr="00511924">
              <w:rPr>
                <w:rFonts w:ascii="Book Antiqua" w:hAnsi="Book Antiqua" w:cs="Calibri"/>
                <w:sz w:val="26"/>
                <w:szCs w:val="26"/>
              </w:rPr>
              <w:t xml:space="preserve">. </w:t>
            </w:r>
            <w:r w:rsidR="00D67075" w:rsidRPr="00C30E85">
              <w:rPr>
                <w:rFonts w:ascii="Calibri" w:eastAsia="Calibri" w:hAnsi="Calibri" w:cs="Calibri"/>
                <w:sz w:val="26"/>
                <w:szCs w:val="26"/>
              </w:rPr>
              <w:t xml:space="preserve">Cette note présente les principaux changements du passage des comptes nationaux de la base 2007 à la base 2014 et leurs impacts sur les </w:t>
            </w:r>
            <w:r w:rsidR="00D67075">
              <w:rPr>
                <w:rFonts w:ascii="Calibri" w:eastAsia="Calibri" w:hAnsi="Calibri" w:cs="Calibri"/>
                <w:sz w:val="26"/>
                <w:szCs w:val="26"/>
              </w:rPr>
              <w:t xml:space="preserve">agrégats macroéconomiques, suite au calcul des </w:t>
            </w:r>
            <w:r w:rsidR="00D67075" w:rsidRPr="00E438EE">
              <w:rPr>
                <w:rFonts w:ascii="Calibri" w:eastAsia="Calibri" w:hAnsi="Calibri" w:cs="Calibri"/>
                <w:sz w:val="26"/>
                <w:szCs w:val="26"/>
              </w:rPr>
              <w:t xml:space="preserve"> ratios et </w:t>
            </w:r>
            <w:r w:rsidR="00D67075">
              <w:rPr>
                <w:rFonts w:ascii="Calibri" w:eastAsia="Calibri" w:hAnsi="Calibri" w:cs="Calibri"/>
                <w:sz w:val="26"/>
                <w:szCs w:val="26"/>
              </w:rPr>
              <w:t xml:space="preserve">des </w:t>
            </w:r>
            <w:r w:rsidR="00D67075" w:rsidRPr="00E438EE">
              <w:rPr>
                <w:rFonts w:ascii="Calibri" w:eastAsia="Calibri" w:hAnsi="Calibri" w:cs="Calibri"/>
                <w:sz w:val="26"/>
                <w:szCs w:val="26"/>
              </w:rPr>
              <w:t xml:space="preserve">agrégats relatifs à l’exercice 2014 </w:t>
            </w:r>
            <w:r w:rsidR="00D67075">
              <w:rPr>
                <w:rFonts w:ascii="Calibri" w:eastAsia="Calibri" w:hAnsi="Calibri" w:cs="Calibri"/>
                <w:sz w:val="26"/>
                <w:szCs w:val="26"/>
              </w:rPr>
              <w:t>en se référant aux</w:t>
            </w:r>
            <w:r w:rsidR="00D67075" w:rsidRPr="00E438EE">
              <w:rPr>
                <w:rFonts w:ascii="Calibri" w:eastAsia="Calibri" w:hAnsi="Calibri" w:cs="Calibri"/>
                <w:sz w:val="26"/>
                <w:szCs w:val="26"/>
              </w:rPr>
              <w:t xml:space="preserve"> deux bases.</w:t>
            </w:r>
          </w:p>
          <w:p w:rsidR="00C22738" w:rsidRDefault="00C22738" w:rsidP="00B175BD">
            <w:pPr>
              <w:autoSpaceDE w:val="0"/>
              <w:autoSpaceDN w:val="0"/>
              <w:adjustRightInd w:val="0"/>
              <w:spacing w:after="120" w:line="360" w:lineRule="exact"/>
              <w:jc w:val="both"/>
              <w:rPr>
                <w:rFonts w:ascii="Calibri" w:hAnsi="Calibri" w:cs="Calibri"/>
                <w:b/>
                <w:color w:val="7030A0"/>
                <w:sz w:val="28"/>
                <w:szCs w:val="28"/>
              </w:rPr>
            </w:pPr>
          </w:p>
          <w:p w:rsidR="00C22738" w:rsidRDefault="00C22738" w:rsidP="00B175BD">
            <w:pPr>
              <w:autoSpaceDE w:val="0"/>
              <w:autoSpaceDN w:val="0"/>
              <w:adjustRightInd w:val="0"/>
              <w:spacing w:after="120" w:line="360" w:lineRule="exact"/>
              <w:jc w:val="both"/>
              <w:rPr>
                <w:rFonts w:ascii="Calibri" w:hAnsi="Calibri" w:cs="Calibri"/>
                <w:b/>
                <w:color w:val="7030A0"/>
                <w:sz w:val="28"/>
                <w:szCs w:val="28"/>
              </w:rPr>
            </w:pPr>
          </w:p>
          <w:p w:rsidR="00C97BC6" w:rsidRPr="00DF2BF0" w:rsidRDefault="00C97BC6" w:rsidP="00B175BD">
            <w:pPr>
              <w:autoSpaceDE w:val="0"/>
              <w:autoSpaceDN w:val="0"/>
              <w:adjustRightInd w:val="0"/>
              <w:spacing w:after="120" w:line="360" w:lineRule="exact"/>
              <w:jc w:val="both"/>
              <w:rPr>
                <w:rFonts w:ascii="Calibri" w:hAnsi="Calibri" w:cs="Calibri"/>
                <w:b/>
                <w:color w:val="7030A0"/>
                <w:sz w:val="28"/>
                <w:szCs w:val="28"/>
              </w:rPr>
            </w:pPr>
            <w:r w:rsidRPr="00DF2BF0">
              <w:rPr>
                <w:rFonts w:ascii="Calibri" w:hAnsi="Calibri" w:cs="Calibri"/>
                <w:b/>
                <w:color w:val="7030A0"/>
                <w:sz w:val="28"/>
                <w:szCs w:val="28"/>
              </w:rPr>
              <w:lastRenderedPageBreak/>
              <w:t xml:space="preserve">Principaux changements introduits dans la base 2014 </w:t>
            </w:r>
          </w:p>
          <w:p w:rsidR="00C97BC6" w:rsidRPr="004C0F54" w:rsidRDefault="00C97BC6" w:rsidP="00C97BC6">
            <w:pPr>
              <w:autoSpaceDE w:val="0"/>
              <w:autoSpaceDN w:val="0"/>
              <w:adjustRightInd w:val="0"/>
              <w:spacing w:line="360" w:lineRule="exact"/>
              <w:jc w:val="both"/>
              <w:rPr>
                <w:rFonts w:ascii="Calibri" w:eastAsia="Calibri" w:hAnsi="Calibri" w:cs="Calibri"/>
                <w:b/>
                <w:bCs/>
                <w:i/>
                <w:iCs/>
                <w:sz w:val="28"/>
                <w:szCs w:val="28"/>
              </w:rPr>
            </w:pPr>
            <w:r w:rsidRPr="004C0F54">
              <w:rPr>
                <w:rFonts w:ascii="Calibri" w:eastAsia="Calibri" w:hAnsi="Calibri" w:cs="Calibri"/>
                <w:b/>
                <w:bCs/>
                <w:i/>
                <w:iCs/>
                <w:sz w:val="28"/>
                <w:szCs w:val="28"/>
              </w:rPr>
              <w:t>L’utilisation de nouvelles sources d’informations :</w:t>
            </w:r>
          </w:p>
          <w:p w:rsidR="00C97BC6" w:rsidRPr="004C0F54" w:rsidRDefault="00C97BC6" w:rsidP="00C97BC6">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 Il s’agit principalement : </w:t>
            </w:r>
          </w:p>
          <w:p w:rsidR="00C97BC6" w:rsidRPr="004C0F54" w:rsidRDefault="00C97BC6" w:rsidP="00C97BC6">
            <w:pPr>
              <w:autoSpaceDE w:val="0"/>
              <w:autoSpaceDN w:val="0"/>
              <w:adjustRightInd w:val="0"/>
              <w:spacing w:line="360" w:lineRule="exact"/>
              <w:ind w:left="851" w:hanging="143"/>
              <w:jc w:val="both"/>
              <w:rPr>
                <w:rFonts w:ascii="Calibri" w:eastAsia="Calibri" w:hAnsi="Calibri" w:cs="Calibri"/>
                <w:sz w:val="26"/>
                <w:szCs w:val="26"/>
              </w:rPr>
            </w:pPr>
            <w:r w:rsidRPr="004C0F54">
              <w:rPr>
                <w:rFonts w:ascii="Calibri" w:eastAsia="Calibri" w:hAnsi="Calibri" w:cs="Calibri"/>
                <w:sz w:val="26"/>
                <w:szCs w:val="26"/>
              </w:rPr>
              <w:t xml:space="preserve">- des enquêtes sur les structures économiques des entreprises </w:t>
            </w:r>
            <w:r>
              <w:rPr>
                <w:rFonts w:ascii="Calibri" w:eastAsia="Calibri" w:hAnsi="Calibri" w:cs="Calibri"/>
                <w:sz w:val="26"/>
                <w:szCs w:val="26"/>
              </w:rPr>
              <w:t xml:space="preserve">non financières </w:t>
            </w:r>
            <w:r w:rsidRPr="004C0F54">
              <w:rPr>
                <w:rFonts w:ascii="Calibri" w:eastAsia="Calibri" w:hAnsi="Calibri" w:cs="Calibri"/>
                <w:sz w:val="26"/>
                <w:szCs w:val="26"/>
              </w:rPr>
              <w:t>(2014) ;</w:t>
            </w:r>
          </w:p>
          <w:p w:rsidR="00C97BC6" w:rsidRPr="004C0F54" w:rsidRDefault="00C97BC6" w:rsidP="00C97BC6">
            <w:pPr>
              <w:autoSpaceDE w:val="0"/>
              <w:autoSpaceDN w:val="0"/>
              <w:adjustRightInd w:val="0"/>
              <w:spacing w:line="360" w:lineRule="exact"/>
              <w:ind w:firstLine="708"/>
              <w:jc w:val="both"/>
              <w:rPr>
                <w:rFonts w:ascii="Calibri" w:eastAsia="Calibri" w:hAnsi="Calibri" w:cs="Calibri"/>
                <w:sz w:val="26"/>
                <w:szCs w:val="26"/>
              </w:rPr>
            </w:pPr>
            <w:r w:rsidRPr="004C0F54">
              <w:rPr>
                <w:rFonts w:ascii="Calibri" w:eastAsia="Calibri" w:hAnsi="Calibri" w:cs="Calibri"/>
                <w:sz w:val="26"/>
                <w:szCs w:val="26"/>
              </w:rPr>
              <w:t>- de l’enquête nationale sur le secteur informel (ENSI 2013/2014) ;</w:t>
            </w:r>
          </w:p>
          <w:p w:rsidR="00C97BC6" w:rsidRPr="004C0F54" w:rsidRDefault="00C97BC6" w:rsidP="00C97BC6">
            <w:pPr>
              <w:autoSpaceDE w:val="0"/>
              <w:autoSpaceDN w:val="0"/>
              <w:adjustRightInd w:val="0"/>
              <w:spacing w:line="360" w:lineRule="exact"/>
              <w:ind w:left="851" w:hanging="143"/>
              <w:jc w:val="both"/>
              <w:rPr>
                <w:rFonts w:ascii="Calibri" w:eastAsia="Calibri" w:hAnsi="Calibri" w:cs="Calibri"/>
                <w:sz w:val="26"/>
                <w:szCs w:val="26"/>
              </w:rPr>
            </w:pPr>
            <w:r w:rsidRPr="004C0F54">
              <w:rPr>
                <w:rFonts w:ascii="Calibri" w:eastAsia="Calibri" w:hAnsi="Calibri" w:cs="Calibri"/>
                <w:sz w:val="26"/>
                <w:szCs w:val="26"/>
              </w:rPr>
              <w:t xml:space="preserve">- de l’enquête nationale sur </w:t>
            </w:r>
            <w:r w:rsidR="003C1119" w:rsidRPr="004C0F54">
              <w:rPr>
                <w:rFonts w:ascii="Calibri" w:eastAsia="Calibri" w:hAnsi="Calibri" w:cs="Calibri"/>
                <w:sz w:val="26"/>
                <w:szCs w:val="26"/>
              </w:rPr>
              <w:t xml:space="preserve">la consommation </w:t>
            </w:r>
            <w:r w:rsidR="003C1119">
              <w:rPr>
                <w:rFonts w:ascii="Calibri" w:eastAsia="Calibri" w:hAnsi="Calibri" w:cs="Calibri"/>
                <w:sz w:val="26"/>
                <w:szCs w:val="26"/>
              </w:rPr>
              <w:t xml:space="preserve">et </w:t>
            </w:r>
            <w:r w:rsidRPr="004C0F54">
              <w:rPr>
                <w:rFonts w:ascii="Calibri" w:eastAsia="Calibri" w:hAnsi="Calibri" w:cs="Calibri"/>
                <w:sz w:val="26"/>
                <w:szCs w:val="26"/>
              </w:rPr>
              <w:t>les dépenses des ménages (2014) ;</w:t>
            </w:r>
          </w:p>
          <w:p w:rsidR="00C97BC6" w:rsidRPr="004C0F54" w:rsidRDefault="00C97BC6" w:rsidP="00C97BC6">
            <w:pPr>
              <w:autoSpaceDE w:val="0"/>
              <w:autoSpaceDN w:val="0"/>
              <w:adjustRightInd w:val="0"/>
              <w:spacing w:line="360" w:lineRule="exact"/>
              <w:ind w:firstLine="708"/>
              <w:jc w:val="both"/>
              <w:rPr>
                <w:rFonts w:ascii="Calibri" w:eastAsia="Calibri" w:hAnsi="Calibri" w:cs="Calibri"/>
                <w:sz w:val="26"/>
                <w:szCs w:val="26"/>
              </w:rPr>
            </w:pPr>
            <w:r w:rsidRPr="004C0F54">
              <w:rPr>
                <w:rFonts w:ascii="Calibri" w:eastAsia="Calibri" w:hAnsi="Calibri" w:cs="Calibri"/>
                <w:sz w:val="26"/>
                <w:szCs w:val="26"/>
              </w:rPr>
              <w:t xml:space="preserve">- de l’enquête sur les investissements des </w:t>
            </w:r>
            <w:r>
              <w:rPr>
                <w:rFonts w:ascii="Calibri" w:eastAsia="Calibri" w:hAnsi="Calibri" w:cs="Calibri"/>
                <w:sz w:val="26"/>
                <w:szCs w:val="26"/>
              </w:rPr>
              <w:t>A</w:t>
            </w:r>
            <w:r w:rsidRPr="004C0F54">
              <w:rPr>
                <w:rFonts w:ascii="Calibri" w:eastAsia="Calibri" w:hAnsi="Calibri" w:cs="Calibri"/>
                <w:sz w:val="26"/>
                <w:szCs w:val="26"/>
              </w:rPr>
              <w:t xml:space="preserve">dministrations </w:t>
            </w:r>
            <w:r>
              <w:rPr>
                <w:rFonts w:ascii="Calibri" w:eastAsia="Calibri" w:hAnsi="Calibri" w:cs="Calibri"/>
                <w:sz w:val="26"/>
                <w:szCs w:val="26"/>
              </w:rPr>
              <w:t>P</w:t>
            </w:r>
            <w:r w:rsidRPr="004C0F54">
              <w:rPr>
                <w:rFonts w:ascii="Calibri" w:eastAsia="Calibri" w:hAnsi="Calibri" w:cs="Calibri"/>
                <w:sz w:val="26"/>
                <w:szCs w:val="26"/>
              </w:rPr>
              <w:t>ubliques</w:t>
            </w:r>
            <w:r w:rsidR="00614C23">
              <w:rPr>
                <w:rFonts w:ascii="Calibri" w:eastAsia="Calibri" w:hAnsi="Calibri" w:cs="Calibri"/>
                <w:sz w:val="26"/>
                <w:szCs w:val="26"/>
              </w:rPr>
              <w:t xml:space="preserve"> (2014)</w:t>
            </w:r>
            <w:r w:rsidRPr="004C0F54">
              <w:rPr>
                <w:rFonts w:ascii="Calibri" w:eastAsia="Calibri" w:hAnsi="Calibri" w:cs="Calibri"/>
                <w:sz w:val="26"/>
                <w:szCs w:val="26"/>
              </w:rPr>
              <w:t> ;</w:t>
            </w:r>
          </w:p>
          <w:p w:rsidR="00C97BC6" w:rsidRPr="004C0F54" w:rsidRDefault="00C97BC6" w:rsidP="00D67075">
            <w:pPr>
              <w:tabs>
                <w:tab w:val="left" w:pos="652"/>
              </w:tabs>
              <w:autoSpaceDE w:val="0"/>
              <w:autoSpaceDN w:val="0"/>
              <w:adjustRightInd w:val="0"/>
              <w:spacing w:line="360" w:lineRule="exact"/>
              <w:ind w:left="923" w:hanging="215"/>
              <w:jc w:val="both"/>
              <w:rPr>
                <w:rFonts w:ascii="Calibri" w:eastAsia="Calibri" w:hAnsi="Calibri" w:cs="Calibri"/>
                <w:sz w:val="26"/>
                <w:szCs w:val="26"/>
              </w:rPr>
            </w:pPr>
            <w:r w:rsidRPr="004C0F54">
              <w:rPr>
                <w:rFonts w:ascii="Calibri" w:eastAsia="Calibri" w:hAnsi="Calibri" w:cs="Calibri"/>
                <w:sz w:val="26"/>
                <w:szCs w:val="26"/>
              </w:rPr>
              <w:t>- de différentes sources de données administratives (Balance des paiements en 6</w:t>
            </w:r>
            <w:r w:rsidRPr="00C77049">
              <w:rPr>
                <w:rFonts w:ascii="Calibri" w:eastAsia="Calibri" w:hAnsi="Calibri" w:cs="Calibri"/>
                <w:sz w:val="26"/>
                <w:szCs w:val="26"/>
                <w:vertAlign w:val="superscript"/>
              </w:rPr>
              <w:t>ème</w:t>
            </w:r>
            <w:r w:rsidRPr="004C0F54">
              <w:rPr>
                <w:rFonts w:ascii="Calibri" w:eastAsia="Calibri" w:hAnsi="Calibri" w:cs="Calibri"/>
                <w:sz w:val="26"/>
                <w:szCs w:val="26"/>
              </w:rPr>
              <w:t xml:space="preserve"> édition, statistiques des finances publiques, statistiques douanières).</w:t>
            </w:r>
          </w:p>
          <w:p w:rsidR="00C97BC6" w:rsidRPr="004C0F54" w:rsidRDefault="00C97BC6" w:rsidP="00C97BC6">
            <w:pPr>
              <w:autoSpaceDE w:val="0"/>
              <w:autoSpaceDN w:val="0"/>
              <w:adjustRightInd w:val="0"/>
              <w:spacing w:line="360" w:lineRule="exact"/>
              <w:jc w:val="both"/>
              <w:rPr>
                <w:rFonts w:ascii="Calibri" w:eastAsia="Calibri" w:hAnsi="Calibri" w:cs="Calibri"/>
              </w:rPr>
            </w:pPr>
          </w:p>
          <w:p w:rsidR="00C97BC6" w:rsidRPr="004C0F54" w:rsidRDefault="00C97BC6" w:rsidP="00C97BC6">
            <w:pPr>
              <w:autoSpaceDE w:val="0"/>
              <w:autoSpaceDN w:val="0"/>
              <w:adjustRightInd w:val="0"/>
              <w:spacing w:line="360" w:lineRule="exact"/>
              <w:jc w:val="both"/>
              <w:rPr>
                <w:rFonts w:ascii="Calibri" w:eastAsia="Calibri" w:hAnsi="Calibri" w:cs="Calibri"/>
                <w:b/>
                <w:bCs/>
                <w:i/>
                <w:iCs/>
                <w:sz w:val="28"/>
                <w:szCs w:val="28"/>
              </w:rPr>
            </w:pPr>
            <w:r w:rsidRPr="004C0F54">
              <w:rPr>
                <w:rFonts w:ascii="Calibri" w:eastAsia="Calibri" w:hAnsi="Calibri" w:cs="Calibri"/>
                <w:b/>
                <w:bCs/>
                <w:i/>
                <w:iCs/>
                <w:sz w:val="28"/>
                <w:szCs w:val="28"/>
              </w:rPr>
              <w:t xml:space="preserve">L’adoption d’une nouvelle classification des activités et des produits </w:t>
            </w:r>
          </w:p>
          <w:p w:rsidR="00C97BC6" w:rsidRPr="004C0F54" w:rsidRDefault="00C97BC6" w:rsidP="00C97BC6">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Les nomenclatures d</w:t>
            </w:r>
            <w:r w:rsidR="00C77049">
              <w:rPr>
                <w:rFonts w:ascii="Calibri" w:eastAsia="Calibri" w:hAnsi="Calibri" w:cs="Calibri"/>
                <w:sz w:val="26"/>
                <w:szCs w:val="26"/>
              </w:rPr>
              <w:t xml:space="preserve">es </w:t>
            </w:r>
            <w:r w:rsidRPr="004C0F54">
              <w:rPr>
                <w:rFonts w:ascii="Calibri" w:eastAsia="Calibri" w:hAnsi="Calibri" w:cs="Calibri"/>
                <w:sz w:val="26"/>
                <w:szCs w:val="26"/>
              </w:rPr>
              <w:t xml:space="preserve">activités et de produits permettent de décrire les activités des différents agents économiques, </w:t>
            </w:r>
            <w:r w:rsidR="00C77049" w:rsidRPr="004C0F54">
              <w:rPr>
                <w:rFonts w:ascii="Calibri" w:eastAsia="Calibri" w:hAnsi="Calibri" w:cs="Calibri"/>
                <w:sz w:val="26"/>
                <w:szCs w:val="26"/>
              </w:rPr>
              <w:t xml:space="preserve">leurs produits </w:t>
            </w:r>
            <w:r w:rsidR="00C77049">
              <w:rPr>
                <w:rFonts w:ascii="Calibri" w:eastAsia="Calibri" w:hAnsi="Calibri" w:cs="Calibri"/>
                <w:sz w:val="26"/>
                <w:szCs w:val="26"/>
              </w:rPr>
              <w:t xml:space="preserve">et </w:t>
            </w:r>
            <w:r w:rsidRPr="004C0F54">
              <w:rPr>
                <w:rFonts w:ascii="Calibri" w:eastAsia="Calibri" w:hAnsi="Calibri" w:cs="Calibri"/>
                <w:sz w:val="26"/>
                <w:szCs w:val="26"/>
              </w:rPr>
              <w:t>leurs échanges</w:t>
            </w:r>
            <w:r w:rsidR="00C77049">
              <w:rPr>
                <w:rFonts w:ascii="Calibri" w:eastAsia="Calibri" w:hAnsi="Calibri" w:cs="Calibri"/>
                <w:sz w:val="26"/>
                <w:szCs w:val="26"/>
              </w:rPr>
              <w:t>. E</w:t>
            </w:r>
            <w:r w:rsidRPr="004C0F54">
              <w:rPr>
                <w:rFonts w:ascii="Calibri" w:eastAsia="Calibri" w:hAnsi="Calibri" w:cs="Calibri"/>
                <w:sz w:val="26"/>
                <w:szCs w:val="26"/>
              </w:rPr>
              <w:t>lles servent, principalement, à faciliter l'organisation de l'information économique contenue dans les comptes nationaux.</w:t>
            </w:r>
          </w:p>
          <w:p w:rsidR="00C97BC6" w:rsidRDefault="00C97BC6" w:rsidP="00C97BC6">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Pour prendre en compte les mutations intervenues dans la structure de l’économie ainsi que la révision des nomenclatures internationales, de nouvelles nomenclatures</w:t>
            </w:r>
            <w:r w:rsidR="00F9001E">
              <w:rPr>
                <w:rFonts w:ascii="Calibri" w:eastAsia="Calibri" w:hAnsi="Calibri" w:cs="Calibri"/>
                <w:sz w:val="26"/>
                <w:szCs w:val="26"/>
              </w:rPr>
              <w:t xml:space="preserve"> </w:t>
            </w:r>
            <w:r w:rsidRPr="004C0F54">
              <w:rPr>
                <w:rFonts w:ascii="Calibri" w:eastAsia="Calibri" w:hAnsi="Calibri" w:cs="Calibri"/>
                <w:sz w:val="26"/>
                <w:szCs w:val="26"/>
              </w:rPr>
              <w:t>des activités économiques et des produits, ont été mises en place dans la base 2014 des comptes nationaux marocains.</w:t>
            </w:r>
          </w:p>
          <w:p w:rsidR="00C97BC6" w:rsidRPr="004C0F54" w:rsidRDefault="00C97BC6" w:rsidP="00C97BC6">
            <w:pPr>
              <w:autoSpaceDE w:val="0"/>
              <w:autoSpaceDN w:val="0"/>
              <w:adjustRightInd w:val="0"/>
              <w:spacing w:line="360" w:lineRule="exact"/>
              <w:jc w:val="both"/>
              <w:rPr>
                <w:rFonts w:ascii="Calibri" w:eastAsia="Calibri" w:hAnsi="Calibri" w:cs="Calibri"/>
                <w:b/>
                <w:bCs/>
                <w:i/>
                <w:iCs/>
              </w:rPr>
            </w:pPr>
          </w:p>
          <w:p w:rsidR="00C97BC6" w:rsidRPr="004C0F54" w:rsidRDefault="00C97BC6" w:rsidP="00C97BC6">
            <w:pPr>
              <w:autoSpaceDE w:val="0"/>
              <w:autoSpaceDN w:val="0"/>
              <w:adjustRightInd w:val="0"/>
              <w:spacing w:line="360" w:lineRule="exact"/>
              <w:jc w:val="both"/>
              <w:rPr>
                <w:rFonts w:ascii="Calibri" w:eastAsia="Calibri" w:hAnsi="Calibri" w:cs="Calibri"/>
                <w:b/>
                <w:bCs/>
                <w:i/>
                <w:iCs/>
                <w:sz w:val="28"/>
                <w:szCs w:val="28"/>
              </w:rPr>
            </w:pPr>
            <w:r w:rsidRPr="004C0F54">
              <w:rPr>
                <w:rFonts w:ascii="Calibri" w:eastAsia="Calibri" w:hAnsi="Calibri" w:cs="Calibri"/>
                <w:b/>
                <w:bCs/>
                <w:i/>
                <w:iCs/>
                <w:sz w:val="28"/>
                <w:szCs w:val="28"/>
              </w:rPr>
              <w:t>L’utilisation de la balance des paiements selon la sixième édition (MBP6)</w:t>
            </w:r>
          </w:p>
          <w:p w:rsidR="00C97BC6" w:rsidRPr="004C0F54" w:rsidRDefault="00C97BC6" w:rsidP="003618E4">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Le passage à la nouvelle base 2014 a été</w:t>
            </w:r>
            <w:r w:rsidR="003618E4">
              <w:rPr>
                <w:rFonts w:ascii="Calibri" w:eastAsia="Calibri" w:hAnsi="Calibri" w:cs="Calibri"/>
                <w:sz w:val="26"/>
                <w:szCs w:val="26"/>
              </w:rPr>
              <w:t xml:space="preserve"> accompagné de l’alignement du compte du reste du monde aux </w:t>
            </w:r>
            <w:r w:rsidRPr="004C0F54">
              <w:rPr>
                <w:rFonts w:ascii="Calibri" w:eastAsia="Calibri" w:hAnsi="Calibri" w:cs="Calibri"/>
                <w:sz w:val="26"/>
                <w:szCs w:val="26"/>
              </w:rPr>
              <w:t>statistiques de la balance des paiements établi</w:t>
            </w:r>
            <w:r w:rsidR="00E24FBC">
              <w:rPr>
                <w:rFonts w:ascii="Calibri" w:eastAsia="Calibri" w:hAnsi="Calibri" w:cs="Calibri"/>
                <w:sz w:val="26"/>
                <w:szCs w:val="26"/>
              </w:rPr>
              <w:t>e</w:t>
            </w:r>
            <w:r w:rsidRPr="004C0F54">
              <w:rPr>
                <w:rFonts w:ascii="Calibri" w:eastAsia="Calibri" w:hAnsi="Calibri" w:cs="Calibri"/>
                <w:sz w:val="26"/>
                <w:szCs w:val="26"/>
              </w:rPr>
              <w:t>s selon la 6</w:t>
            </w:r>
            <w:r w:rsidRPr="003618E4">
              <w:rPr>
                <w:rFonts w:ascii="Calibri" w:eastAsia="Calibri" w:hAnsi="Calibri" w:cs="Calibri"/>
                <w:sz w:val="26"/>
                <w:szCs w:val="26"/>
                <w:vertAlign w:val="superscript"/>
              </w:rPr>
              <w:t>éme</w:t>
            </w:r>
            <w:r w:rsidRPr="004C0F54">
              <w:rPr>
                <w:rFonts w:ascii="Calibri" w:eastAsia="Calibri" w:hAnsi="Calibri" w:cs="Calibri"/>
                <w:sz w:val="26"/>
                <w:szCs w:val="26"/>
              </w:rPr>
              <w:t xml:space="preserve"> édition, étant donné que la nouvelle nomenclature des produits le permet.</w:t>
            </w:r>
          </w:p>
          <w:p w:rsidR="00C97BC6" w:rsidRPr="004C0F54" w:rsidRDefault="00C97BC6" w:rsidP="00C97BC6">
            <w:pPr>
              <w:autoSpaceDE w:val="0"/>
              <w:autoSpaceDN w:val="0"/>
              <w:adjustRightInd w:val="0"/>
              <w:spacing w:line="360" w:lineRule="exact"/>
              <w:jc w:val="both"/>
              <w:rPr>
                <w:rFonts w:ascii="Calibri" w:eastAsia="Calibri" w:hAnsi="Calibri" w:cs="Calibri"/>
              </w:rPr>
            </w:pPr>
          </w:p>
          <w:p w:rsidR="00C97BC6" w:rsidRPr="00DF2BF0" w:rsidRDefault="00C97BC6" w:rsidP="00C97BC6">
            <w:pPr>
              <w:autoSpaceDE w:val="0"/>
              <w:autoSpaceDN w:val="0"/>
              <w:adjustRightInd w:val="0"/>
              <w:spacing w:after="240" w:line="360" w:lineRule="exact"/>
              <w:jc w:val="both"/>
              <w:rPr>
                <w:rFonts w:ascii="Calibri" w:hAnsi="Calibri" w:cs="Calibri"/>
                <w:b/>
                <w:color w:val="7030A0"/>
                <w:sz w:val="28"/>
                <w:szCs w:val="28"/>
              </w:rPr>
            </w:pPr>
            <w:r w:rsidRPr="00DF2BF0">
              <w:rPr>
                <w:rFonts w:ascii="Calibri" w:hAnsi="Calibri" w:cs="Calibri"/>
                <w:b/>
                <w:color w:val="7030A0"/>
                <w:sz w:val="28"/>
                <w:szCs w:val="28"/>
              </w:rPr>
              <w:t xml:space="preserve">Agrégats et tableaux de synthèse des comptes de la base 2014 </w:t>
            </w:r>
          </w:p>
          <w:p w:rsidR="00C97BC6" w:rsidRPr="004C0F54" w:rsidRDefault="00C97BC6" w:rsidP="00C97BC6">
            <w:p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La série des comptes </w:t>
            </w:r>
            <w:r>
              <w:rPr>
                <w:rFonts w:ascii="Calibri" w:eastAsia="Calibri" w:hAnsi="Calibri" w:cs="Calibri"/>
                <w:sz w:val="26"/>
                <w:szCs w:val="26"/>
              </w:rPr>
              <w:t xml:space="preserve">en </w:t>
            </w:r>
            <w:r w:rsidRPr="004C0F54">
              <w:rPr>
                <w:rFonts w:ascii="Calibri" w:eastAsia="Calibri" w:hAnsi="Calibri" w:cs="Calibri"/>
                <w:sz w:val="26"/>
                <w:szCs w:val="26"/>
              </w:rPr>
              <w:t>base 2014, allant de 2014 à 20</w:t>
            </w:r>
            <w:r>
              <w:rPr>
                <w:rFonts w:ascii="Calibri" w:eastAsia="Calibri" w:hAnsi="Calibri" w:cs="Calibri"/>
                <w:sz w:val="26"/>
                <w:szCs w:val="26"/>
              </w:rPr>
              <w:t>19</w:t>
            </w:r>
            <w:r w:rsidRPr="004C0F54">
              <w:rPr>
                <w:rFonts w:ascii="Calibri" w:eastAsia="Calibri" w:hAnsi="Calibri" w:cs="Calibri"/>
                <w:sz w:val="26"/>
                <w:szCs w:val="26"/>
              </w:rPr>
              <w:t xml:space="preserve"> présente l’ensemble des comptes et tableaux produits dans cette base et qui portent principalement sur :</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Les équilibres ressources emplois par produits en valeur et en volume ;</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Les comptes des branches en valeur et en volume</w:t>
            </w:r>
            <w:r>
              <w:rPr>
                <w:rFonts w:ascii="Calibri" w:eastAsia="Calibri" w:hAnsi="Calibri" w:cs="Calibri"/>
                <w:sz w:val="26"/>
                <w:szCs w:val="26"/>
              </w:rPr>
              <w:t> :</w:t>
            </w:r>
            <w:r w:rsidRPr="004C0F54">
              <w:rPr>
                <w:rFonts w:ascii="Calibri" w:eastAsia="Calibri" w:hAnsi="Calibri" w:cs="Calibri"/>
                <w:sz w:val="26"/>
                <w:szCs w:val="26"/>
              </w:rPr>
              <w:t xml:space="preserve"> il s’agit des comptes de production et d’exploitation par branches</w:t>
            </w:r>
            <w:r>
              <w:rPr>
                <w:rFonts w:ascii="Calibri" w:eastAsia="Calibri" w:hAnsi="Calibri" w:cs="Calibri"/>
                <w:sz w:val="26"/>
                <w:szCs w:val="26"/>
              </w:rPr>
              <w:t xml:space="preserve"> d’activité économique</w:t>
            </w:r>
            <w:r w:rsidRPr="004C0F54">
              <w:rPr>
                <w:rFonts w:ascii="Calibri" w:eastAsia="Calibri" w:hAnsi="Calibri" w:cs="Calibri"/>
                <w:sz w:val="26"/>
                <w:szCs w:val="26"/>
              </w:rPr>
              <w:t> ;</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La séquence des comptes des secteurs institutionnels ;</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Les </w:t>
            </w:r>
            <w:r>
              <w:rPr>
                <w:rFonts w:ascii="Calibri" w:eastAsia="Calibri" w:hAnsi="Calibri" w:cs="Calibri"/>
                <w:sz w:val="26"/>
                <w:szCs w:val="26"/>
              </w:rPr>
              <w:t>T</w:t>
            </w:r>
            <w:r w:rsidRPr="004C0F54">
              <w:rPr>
                <w:rFonts w:ascii="Calibri" w:eastAsia="Calibri" w:hAnsi="Calibri" w:cs="Calibri"/>
                <w:sz w:val="26"/>
                <w:szCs w:val="26"/>
              </w:rPr>
              <w:t xml:space="preserve">ableaux des </w:t>
            </w:r>
            <w:r>
              <w:rPr>
                <w:rFonts w:ascii="Calibri" w:eastAsia="Calibri" w:hAnsi="Calibri" w:cs="Calibri"/>
                <w:sz w:val="26"/>
                <w:szCs w:val="26"/>
              </w:rPr>
              <w:t>R</w:t>
            </w:r>
            <w:r w:rsidRPr="004C0F54">
              <w:rPr>
                <w:rFonts w:ascii="Calibri" w:eastAsia="Calibri" w:hAnsi="Calibri" w:cs="Calibri"/>
                <w:sz w:val="26"/>
                <w:szCs w:val="26"/>
              </w:rPr>
              <w:t xml:space="preserve">essources et des </w:t>
            </w:r>
            <w:r>
              <w:rPr>
                <w:rFonts w:ascii="Calibri" w:eastAsia="Calibri" w:hAnsi="Calibri" w:cs="Calibri"/>
                <w:sz w:val="26"/>
                <w:szCs w:val="26"/>
              </w:rPr>
              <w:t>E</w:t>
            </w:r>
            <w:r w:rsidRPr="004C0F54">
              <w:rPr>
                <w:rFonts w:ascii="Calibri" w:eastAsia="Calibri" w:hAnsi="Calibri" w:cs="Calibri"/>
                <w:sz w:val="26"/>
                <w:szCs w:val="26"/>
              </w:rPr>
              <w:t>mplois (TRE) en valeur et en volume ;</w:t>
            </w:r>
          </w:p>
          <w:p w:rsidR="008A483B"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Les </w:t>
            </w:r>
            <w:r>
              <w:rPr>
                <w:rFonts w:ascii="Calibri" w:eastAsia="Calibri" w:hAnsi="Calibri" w:cs="Calibri"/>
                <w:sz w:val="26"/>
                <w:szCs w:val="26"/>
              </w:rPr>
              <w:t>T</w:t>
            </w:r>
            <w:r w:rsidRPr="004C0F54">
              <w:rPr>
                <w:rFonts w:ascii="Calibri" w:eastAsia="Calibri" w:hAnsi="Calibri" w:cs="Calibri"/>
                <w:sz w:val="26"/>
                <w:szCs w:val="26"/>
              </w:rPr>
              <w:t xml:space="preserve">ableaux des </w:t>
            </w:r>
            <w:r>
              <w:rPr>
                <w:rFonts w:ascii="Calibri" w:eastAsia="Calibri" w:hAnsi="Calibri" w:cs="Calibri"/>
                <w:sz w:val="26"/>
                <w:szCs w:val="26"/>
              </w:rPr>
              <w:t>C</w:t>
            </w:r>
            <w:r w:rsidRPr="004C0F54">
              <w:rPr>
                <w:rFonts w:ascii="Calibri" w:eastAsia="Calibri" w:hAnsi="Calibri" w:cs="Calibri"/>
                <w:sz w:val="26"/>
                <w:szCs w:val="26"/>
              </w:rPr>
              <w:t xml:space="preserve">omptes </w:t>
            </w:r>
            <w:r>
              <w:rPr>
                <w:rFonts w:ascii="Calibri" w:eastAsia="Calibri" w:hAnsi="Calibri" w:cs="Calibri"/>
                <w:sz w:val="26"/>
                <w:szCs w:val="26"/>
              </w:rPr>
              <w:t>E</w:t>
            </w:r>
            <w:r w:rsidRPr="004C0F54">
              <w:rPr>
                <w:rFonts w:ascii="Calibri" w:eastAsia="Calibri" w:hAnsi="Calibri" w:cs="Calibri"/>
                <w:sz w:val="26"/>
                <w:szCs w:val="26"/>
              </w:rPr>
              <w:t xml:space="preserve">conomiques </w:t>
            </w:r>
            <w:r>
              <w:rPr>
                <w:rFonts w:ascii="Calibri" w:eastAsia="Calibri" w:hAnsi="Calibri" w:cs="Calibri"/>
                <w:sz w:val="26"/>
                <w:szCs w:val="26"/>
              </w:rPr>
              <w:t>I</w:t>
            </w:r>
            <w:r w:rsidRPr="004C0F54">
              <w:rPr>
                <w:rFonts w:ascii="Calibri" w:eastAsia="Calibri" w:hAnsi="Calibri" w:cs="Calibri"/>
                <w:sz w:val="26"/>
                <w:szCs w:val="26"/>
              </w:rPr>
              <w:t>ntégrés (TCEI)</w:t>
            </w:r>
            <w:r w:rsidR="008A483B">
              <w:rPr>
                <w:rFonts w:ascii="Calibri" w:eastAsia="Calibri" w:hAnsi="Calibri" w:cs="Calibri"/>
                <w:sz w:val="26"/>
                <w:szCs w:val="26"/>
              </w:rPr>
              <w:t> ;</w:t>
            </w:r>
          </w:p>
          <w:p w:rsidR="00C97BC6" w:rsidRDefault="008A483B"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Pr>
                <w:rFonts w:ascii="Calibri" w:eastAsia="Calibri" w:hAnsi="Calibri" w:cs="Calibri"/>
                <w:sz w:val="26"/>
                <w:szCs w:val="26"/>
              </w:rPr>
              <w:lastRenderedPageBreak/>
              <w:t>L</w:t>
            </w:r>
            <w:r w:rsidR="00C97BC6" w:rsidRPr="004C0F54">
              <w:rPr>
                <w:rFonts w:ascii="Calibri" w:eastAsia="Calibri" w:hAnsi="Calibri" w:cs="Calibri"/>
                <w:sz w:val="26"/>
                <w:szCs w:val="26"/>
              </w:rPr>
              <w:t xml:space="preserve">es </w:t>
            </w:r>
            <w:r w:rsidR="00C97BC6">
              <w:rPr>
                <w:rFonts w:ascii="Calibri" w:eastAsia="Calibri" w:hAnsi="Calibri" w:cs="Calibri"/>
                <w:sz w:val="26"/>
                <w:szCs w:val="26"/>
              </w:rPr>
              <w:t>T</w:t>
            </w:r>
            <w:r w:rsidR="00C97BC6" w:rsidRPr="004C0F54">
              <w:rPr>
                <w:rFonts w:ascii="Calibri" w:eastAsia="Calibri" w:hAnsi="Calibri" w:cs="Calibri"/>
                <w:sz w:val="26"/>
                <w:szCs w:val="26"/>
              </w:rPr>
              <w:t xml:space="preserve">ableaux des </w:t>
            </w:r>
            <w:r w:rsidR="00C97BC6">
              <w:rPr>
                <w:rFonts w:ascii="Calibri" w:eastAsia="Calibri" w:hAnsi="Calibri" w:cs="Calibri"/>
                <w:sz w:val="26"/>
                <w:szCs w:val="26"/>
              </w:rPr>
              <w:t>O</w:t>
            </w:r>
            <w:r w:rsidR="00C97BC6" w:rsidRPr="004C0F54">
              <w:rPr>
                <w:rFonts w:ascii="Calibri" w:eastAsia="Calibri" w:hAnsi="Calibri" w:cs="Calibri"/>
                <w:sz w:val="26"/>
                <w:szCs w:val="26"/>
              </w:rPr>
              <w:t xml:space="preserve">pérations </w:t>
            </w:r>
            <w:r w:rsidR="00C97BC6">
              <w:rPr>
                <w:rFonts w:ascii="Calibri" w:eastAsia="Calibri" w:hAnsi="Calibri" w:cs="Calibri"/>
                <w:sz w:val="26"/>
                <w:szCs w:val="26"/>
              </w:rPr>
              <w:t>F</w:t>
            </w:r>
            <w:r w:rsidR="00C97BC6" w:rsidRPr="004C0F54">
              <w:rPr>
                <w:rFonts w:ascii="Calibri" w:eastAsia="Calibri" w:hAnsi="Calibri" w:cs="Calibri"/>
                <w:sz w:val="26"/>
                <w:szCs w:val="26"/>
              </w:rPr>
              <w:t>inancières (TOF) ;</w:t>
            </w:r>
          </w:p>
          <w:p w:rsidR="002A106F" w:rsidRPr="004C0F54" w:rsidRDefault="002A106F"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Pr>
                <w:rFonts w:ascii="Calibri" w:eastAsia="Calibri" w:hAnsi="Calibri" w:cs="Calibri"/>
                <w:sz w:val="26"/>
                <w:szCs w:val="26"/>
              </w:rPr>
              <w:t>Matrice FBCF (2014)</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 xml:space="preserve">Les </w:t>
            </w:r>
            <w:r>
              <w:rPr>
                <w:rFonts w:ascii="Calibri" w:eastAsia="Calibri" w:hAnsi="Calibri" w:cs="Calibri"/>
                <w:sz w:val="26"/>
                <w:szCs w:val="26"/>
              </w:rPr>
              <w:t>M</w:t>
            </w:r>
            <w:r w:rsidRPr="004C0F54">
              <w:rPr>
                <w:rFonts w:ascii="Calibri" w:eastAsia="Calibri" w:hAnsi="Calibri" w:cs="Calibri"/>
                <w:sz w:val="26"/>
                <w:szCs w:val="26"/>
              </w:rPr>
              <w:t xml:space="preserve">atrices de </w:t>
            </w:r>
            <w:r>
              <w:rPr>
                <w:rFonts w:ascii="Calibri" w:eastAsia="Calibri" w:hAnsi="Calibri" w:cs="Calibri"/>
                <w:sz w:val="26"/>
                <w:szCs w:val="26"/>
              </w:rPr>
              <w:t>C</w:t>
            </w:r>
            <w:r w:rsidRPr="004C0F54">
              <w:rPr>
                <w:rFonts w:ascii="Calibri" w:eastAsia="Calibri" w:hAnsi="Calibri" w:cs="Calibri"/>
                <w:sz w:val="26"/>
                <w:szCs w:val="26"/>
              </w:rPr>
              <w:t xml:space="preserve">omptabilités </w:t>
            </w:r>
            <w:r>
              <w:rPr>
                <w:rFonts w:ascii="Calibri" w:eastAsia="Calibri" w:hAnsi="Calibri" w:cs="Calibri"/>
                <w:sz w:val="26"/>
                <w:szCs w:val="26"/>
              </w:rPr>
              <w:t>S</w:t>
            </w:r>
            <w:r w:rsidRPr="004C0F54">
              <w:rPr>
                <w:rFonts w:ascii="Calibri" w:eastAsia="Calibri" w:hAnsi="Calibri" w:cs="Calibri"/>
                <w:sz w:val="26"/>
                <w:szCs w:val="26"/>
              </w:rPr>
              <w:t>ociales</w:t>
            </w:r>
            <w:r>
              <w:rPr>
                <w:rFonts w:ascii="Calibri" w:eastAsia="Calibri" w:hAnsi="Calibri" w:cs="Calibri"/>
                <w:sz w:val="26"/>
                <w:szCs w:val="26"/>
              </w:rPr>
              <w:t xml:space="preserve"> </w:t>
            </w:r>
            <w:r w:rsidRPr="004C0F54">
              <w:rPr>
                <w:rFonts w:ascii="Calibri" w:eastAsia="Calibri" w:hAnsi="Calibri" w:cs="Calibri"/>
                <w:sz w:val="26"/>
                <w:szCs w:val="26"/>
              </w:rPr>
              <w:t>(MCS) ;</w:t>
            </w:r>
          </w:p>
          <w:p w:rsidR="00C97BC6" w:rsidRPr="004C0F54" w:rsidRDefault="00C97BC6" w:rsidP="00C97BC6">
            <w:pPr>
              <w:pStyle w:val="Paragraphedeliste"/>
              <w:numPr>
                <w:ilvl w:val="0"/>
                <w:numId w:val="16"/>
              </w:numPr>
              <w:autoSpaceDE w:val="0"/>
              <w:autoSpaceDN w:val="0"/>
              <w:adjustRightInd w:val="0"/>
              <w:spacing w:line="360" w:lineRule="exact"/>
              <w:jc w:val="both"/>
              <w:rPr>
                <w:rFonts w:ascii="Calibri" w:eastAsia="Calibri" w:hAnsi="Calibri" w:cs="Calibri"/>
                <w:sz w:val="26"/>
                <w:szCs w:val="26"/>
              </w:rPr>
            </w:pPr>
            <w:r w:rsidRPr="004C0F54">
              <w:rPr>
                <w:rFonts w:ascii="Calibri" w:eastAsia="Calibri" w:hAnsi="Calibri" w:cs="Calibri"/>
                <w:sz w:val="26"/>
                <w:szCs w:val="26"/>
              </w:rPr>
              <w:t>Les matrices</w:t>
            </w:r>
            <w:r w:rsidR="00021C5B">
              <w:rPr>
                <w:rFonts w:ascii="Calibri" w:eastAsia="Calibri" w:hAnsi="Calibri" w:cs="Calibri"/>
                <w:sz w:val="26"/>
                <w:szCs w:val="26"/>
              </w:rPr>
              <w:t xml:space="preserve"> de l’</w:t>
            </w:r>
            <w:r w:rsidRPr="004C0F54">
              <w:rPr>
                <w:rFonts w:ascii="Calibri" w:eastAsia="Calibri" w:hAnsi="Calibri" w:cs="Calibri"/>
                <w:sz w:val="26"/>
                <w:szCs w:val="26"/>
              </w:rPr>
              <w:t>emploi.</w:t>
            </w:r>
            <w:r w:rsidR="00B66859">
              <w:rPr>
                <w:rFonts w:ascii="Calibri" w:eastAsia="Calibri" w:hAnsi="Calibri" w:cs="Calibri"/>
                <w:sz w:val="26"/>
                <w:szCs w:val="26"/>
              </w:rPr>
              <w:t xml:space="preserve">  </w:t>
            </w:r>
          </w:p>
          <w:p w:rsidR="00C22738" w:rsidRDefault="00C22738" w:rsidP="00C97BC6">
            <w:pPr>
              <w:autoSpaceDE w:val="0"/>
              <w:autoSpaceDN w:val="0"/>
              <w:adjustRightInd w:val="0"/>
              <w:spacing w:after="240" w:line="360" w:lineRule="exact"/>
              <w:jc w:val="both"/>
              <w:rPr>
                <w:rFonts w:ascii="Calibri" w:hAnsi="Calibri" w:cs="Calibri"/>
                <w:b/>
                <w:color w:val="7030A0"/>
                <w:sz w:val="28"/>
                <w:szCs w:val="28"/>
              </w:rPr>
            </w:pPr>
          </w:p>
          <w:p w:rsidR="00C97BC6" w:rsidRPr="00DF2BF0" w:rsidRDefault="00C97BC6" w:rsidP="00C97BC6">
            <w:pPr>
              <w:autoSpaceDE w:val="0"/>
              <w:autoSpaceDN w:val="0"/>
              <w:adjustRightInd w:val="0"/>
              <w:spacing w:after="240" w:line="360" w:lineRule="exact"/>
              <w:jc w:val="both"/>
              <w:rPr>
                <w:rFonts w:ascii="Calibri" w:hAnsi="Calibri" w:cs="Calibri"/>
                <w:b/>
                <w:color w:val="7030A0"/>
                <w:sz w:val="28"/>
                <w:szCs w:val="28"/>
              </w:rPr>
            </w:pPr>
            <w:r w:rsidRPr="00DF2BF0">
              <w:rPr>
                <w:rFonts w:ascii="Calibri" w:hAnsi="Calibri" w:cs="Calibri"/>
                <w:b/>
                <w:color w:val="7030A0"/>
                <w:sz w:val="28"/>
                <w:szCs w:val="28"/>
              </w:rPr>
              <w:t xml:space="preserve">L’impact du passage à la base 2014 sur les agrégats économiques </w:t>
            </w:r>
          </w:p>
          <w:p w:rsidR="00C97BC6" w:rsidRPr="00DF2BF0" w:rsidRDefault="00C97BC6" w:rsidP="00C97BC6">
            <w:pPr>
              <w:autoSpaceDE w:val="0"/>
              <w:autoSpaceDN w:val="0"/>
              <w:adjustRightInd w:val="0"/>
              <w:spacing w:line="360" w:lineRule="exact"/>
              <w:jc w:val="both"/>
              <w:rPr>
                <w:rFonts w:ascii="Calibri" w:hAnsi="Calibri" w:cs="Calibri"/>
                <w:b/>
                <w:color w:val="C00000"/>
                <w:sz w:val="28"/>
                <w:szCs w:val="28"/>
              </w:rPr>
            </w:pPr>
            <w:r w:rsidRPr="00DF2BF0">
              <w:rPr>
                <w:rFonts w:ascii="Calibri" w:hAnsi="Calibri" w:cs="Calibri"/>
                <w:b/>
                <w:color w:val="C00000"/>
                <w:sz w:val="28"/>
                <w:szCs w:val="28"/>
              </w:rPr>
              <w:t xml:space="preserve">Le PIB est revu à la hausse de 8,2% </w:t>
            </w:r>
          </w:p>
          <w:p w:rsidR="00C97BC6" w:rsidRPr="004C0F54" w:rsidRDefault="0017266A" w:rsidP="00C97BC6">
            <w:pPr>
              <w:spacing w:before="120" w:line="360" w:lineRule="exact"/>
              <w:jc w:val="both"/>
              <w:rPr>
                <w:rFonts w:ascii="Calibri" w:eastAsia="Calibri" w:hAnsi="Calibri" w:cs="Calibri"/>
                <w:sz w:val="26"/>
                <w:szCs w:val="26"/>
              </w:rPr>
            </w:pPr>
            <w:r w:rsidRPr="004C0F54">
              <w:rPr>
                <w:rFonts w:ascii="Calibri" w:eastAsia="Calibri" w:hAnsi="Calibri" w:cs="Calibri"/>
                <w:sz w:val="26"/>
                <w:szCs w:val="26"/>
              </w:rPr>
              <w:t xml:space="preserve">En 2014, le produit intérieur brut (PIB) en valeur s’élève à 1 001,5 </w:t>
            </w:r>
            <w:r>
              <w:rPr>
                <w:rFonts w:ascii="Calibri" w:eastAsia="Calibri" w:hAnsi="Calibri" w:cs="Calibri"/>
                <w:sz w:val="26"/>
                <w:szCs w:val="26"/>
              </w:rPr>
              <w:t>m</w:t>
            </w:r>
            <w:r w:rsidRPr="004C0F54">
              <w:rPr>
                <w:rFonts w:ascii="Calibri" w:eastAsia="Calibri" w:hAnsi="Calibri" w:cs="Calibri"/>
                <w:sz w:val="26"/>
                <w:szCs w:val="26"/>
              </w:rPr>
              <w:t>illiards de dirhams en base 2014</w:t>
            </w:r>
            <w:r>
              <w:rPr>
                <w:rFonts w:ascii="Calibri" w:eastAsia="Calibri" w:hAnsi="Calibri" w:cs="Calibri"/>
                <w:sz w:val="26"/>
                <w:szCs w:val="26"/>
              </w:rPr>
              <w:t xml:space="preserve">, au lieu de </w:t>
            </w:r>
            <w:r w:rsidRPr="00FD4633">
              <w:rPr>
                <w:rFonts w:ascii="Calibri" w:eastAsia="Calibri" w:hAnsi="Calibri" w:cs="Calibri"/>
                <w:sz w:val="26"/>
                <w:szCs w:val="26"/>
              </w:rPr>
              <w:t>925,4</w:t>
            </w:r>
            <w:r>
              <w:rPr>
                <w:rFonts w:ascii="Calibri" w:eastAsia="Calibri" w:hAnsi="Calibri" w:cs="Calibri"/>
                <w:sz w:val="26"/>
                <w:szCs w:val="26"/>
              </w:rPr>
              <w:t xml:space="preserve"> milliards de dirhams en base 2007</w:t>
            </w:r>
            <w:r w:rsidRPr="004C0F54">
              <w:rPr>
                <w:rFonts w:ascii="Calibri" w:eastAsia="Calibri" w:hAnsi="Calibri" w:cs="Calibri"/>
                <w:sz w:val="26"/>
                <w:szCs w:val="26"/>
              </w:rPr>
              <w:t>. Il est</w:t>
            </w:r>
            <w:r>
              <w:rPr>
                <w:rFonts w:ascii="Calibri" w:eastAsia="Calibri" w:hAnsi="Calibri" w:cs="Calibri"/>
                <w:sz w:val="26"/>
                <w:szCs w:val="26"/>
              </w:rPr>
              <w:t xml:space="preserve"> donc</w:t>
            </w:r>
            <w:r w:rsidRPr="004C0F54">
              <w:rPr>
                <w:rFonts w:ascii="Calibri" w:eastAsia="Calibri" w:hAnsi="Calibri" w:cs="Calibri"/>
                <w:sz w:val="26"/>
                <w:szCs w:val="26"/>
              </w:rPr>
              <w:t xml:space="preserve"> revu à la hausse de 76,1 </w:t>
            </w:r>
            <w:r>
              <w:rPr>
                <w:rFonts w:ascii="Calibri" w:eastAsia="Calibri" w:hAnsi="Calibri" w:cs="Calibri"/>
                <w:sz w:val="26"/>
                <w:szCs w:val="26"/>
              </w:rPr>
              <w:t>m</w:t>
            </w:r>
            <w:r w:rsidRPr="004C0F54">
              <w:rPr>
                <w:rFonts w:ascii="Calibri" w:eastAsia="Calibri" w:hAnsi="Calibri" w:cs="Calibri"/>
                <w:sz w:val="26"/>
                <w:szCs w:val="26"/>
              </w:rPr>
              <w:t xml:space="preserve">illiards de dirhams, soit 8,2% par rapport </w:t>
            </w:r>
            <w:r>
              <w:rPr>
                <w:rFonts w:ascii="Calibri" w:eastAsia="Calibri" w:hAnsi="Calibri" w:cs="Calibri"/>
                <w:sz w:val="26"/>
                <w:szCs w:val="26"/>
              </w:rPr>
              <w:t>à la base précédente.</w:t>
            </w:r>
            <w:r w:rsidR="00C97BC6" w:rsidRPr="004C0F54">
              <w:rPr>
                <w:rFonts w:ascii="Calibri" w:eastAsia="Calibri" w:hAnsi="Calibri" w:cs="Calibri"/>
                <w:sz w:val="26"/>
                <w:szCs w:val="26"/>
              </w:rPr>
              <w:t xml:space="preserve"> Cette révision, est le résultat de la hausse de la valeur ajoutée de l’ensemble des branches d’activité</w:t>
            </w:r>
            <w:r w:rsidR="007C25E4">
              <w:rPr>
                <w:rFonts w:ascii="Calibri" w:eastAsia="Calibri" w:hAnsi="Calibri" w:cs="Calibri"/>
                <w:sz w:val="26"/>
                <w:szCs w:val="26"/>
              </w:rPr>
              <w:t>s</w:t>
            </w:r>
            <w:r w:rsidR="00C97BC6" w:rsidRPr="004C0F54">
              <w:rPr>
                <w:rFonts w:ascii="Calibri" w:eastAsia="Calibri" w:hAnsi="Calibri" w:cs="Calibri"/>
                <w:sz w:val="26"/>
                <w:szCs w:val="26"/>
              </w:rPr>
              <w:t xml:space="preserve"> de 79,8 Milliards de dirhams (9,6% par rapport à l’ancienne base et la révision à la baisse des impôts sur les produits de 3,</w:t>
            </w:r>
            <w:r w:rsidR="0057567E">
              <w:rPr>
                <w:rFonts w:ascii="Calibri" w:eastAsia="Calibri" w:hAnsi="Calibri" w:cs="Calibri"/>
                <w:sz w:val="26"/>
                <w:szCs w:val="26"/>
              </w:rPr>
              <w:t>8</w:t>
            </w:r>
            <w:r>
              <w:rPr>
                <w:rFonts w:ascii="Calibri" w:eastAsia="Calibri" w:hAnsi="Calibri" w:cs="Calibri"/>
                <w:sz w:val="26"/>
                <w:szCs w:val="26"/>
              </w:rPr>
              <w:t xml:space="preserve"> milliards de dirhams (</w:t>
            </w:r>
            <w:r w:rsidR="00C97BC6" w:rsidRPr="004C0F54">
              <w:rPr>
                <w:rFonts w:ascii="Calibri" w:eastAsia="Calibri" w:hAnsi="Calibri" w:cs="Calibri"/>
                <w:sz w:val="26"/>
                <w:szCs w:val="26"/>
              </w:rPr>
              <w:t>-</w:t>
            </w:r>
            <w:r w:rsidR="00E9180F">
              <w:rPr>
                <w:rFonts w:ascii="Calibri" w:eastAsia="Calibri" w:hAnsi="Calibri" w:cs="Calibri"/>
                <w:sz w:val="26"/>
                <w:szCs w:val="26"/>
              </w:rPr>
              <w:t>4</w:t>
            </w:r>
            <w:r w:rsidR="00C97BC6" w:rsidRPr="004C0F54">
              <w:rPr>
                <w:rFonts w:ascii="Calibri" w:eastAsia="Calibri" w:hAnsi="Calibri" w:cs="Calibri"/>
                <w:sz w:val="26"/>
                <w:szCs w:val="26"/>
              </w:rPr>
              <w:t>% par rapport à la base 2007).</w:t>
            </w:r>
          </w:p>
          <w:p w:rsidR="00C97BC6" w:rsidRPr="00C97BC6" w:rsidRDefault="00C97BC6" w:rsidP="00C97BC6">
            <w:pPr>
              <w:spacing w:before="120" w:line="360" w:lineRule="exact"/>
              <w:jc w:val="both"/>
              <w:rPr>
                <w:rFonts w:ascii="Calibri" w:hAnsi="Calibri"/>
                <w:sz w:val="26"/>
                <w:szCs w:val="26"/>
              </w:rPr>
            </w:pPr>
            <w:r w:rsidRPr="004C0F54">
              <w:rPr>
                <w:rFonts w:ascii="Calibri" w:eastAsia="Calibri" w:hAnsi="Calibri" w:cs="Calibri"/>
                <w:sz w:val="26"/>
                <w:szCs w:val="26"/>
              </w:rPr>
              <w:t xml:space="preserve">Par secteur d’activité, </w:t>
            </w:r>
            <w:r w:rsidR="00DC6E01">
              <w:rPr>
                <w:rFonts w:ascii="Calibri" w:hAnsi="Calibri"/>
                <w:sz w:val="26"/>
                <w:szCs w:val="26"/>
              </w:rPr>
              <w:t>l</w:t>
            </w:r>
            <w:r w:rsidRPr="00C97BC6">
              <w:rPr>
                <w:rFonts w:ascii="Calibri" w:hAnsi="Calibri"/>
                <w:sz w:val="26"/>
                <w:szCs w:val="26"/>
              </w:rPr>
              <w:t>a valeu</w:t>
            </w:r>
            <w:r w:rsidR="0017266A">
              <w:rPr>
                <w:rFonts w:ascii="Calibri" w:hAnsi="Calibri"/>
                <w:sz w:val="26"/>
                <w:szCs w:val="26"/>
              </w:rPr>
              <w:t>r ajoutée du secteur primaire (a</w:t>
            </w:r>
            <w:r w:rsidRPr="00C97BC6">
              <w:rPr>
                <w:rFonts w:ascii="Calibri" w:hAnsi="Calibri"/>
                <w:sz w:val="26"/>
                <w:szCs w:val="26"/>
              </w:rPr>
              <w:t>griculture et pêche) a été de 103,7 milliards de DH en base 2014 au lieu de 107,9 milliards de DH dans la base 2007, soit une revue à la baisse de 3,9%.</w:t>
            </w:r>
          </w:p>
          <w:p w:rsidR="00C97BC6" w:rsidRPr="00C97BC6" w:rsidRDefault="00C97BC6" w:rsidP="00C97BC6">
            <w:pPr>
              <w:spacing w:before="120" w:line="360" w:lineRule="exact"/>
              <w:jc w:val="both"/>
              <w:rPr>
                <w:rFonts w:ascii="Calibri" w:hAnsi="Calibri"/>
                <w:sz w:val="26"/>
                <w:szCs w:val="26"/>
              </w:rPr>
            </w:pPr>
            <w:r w:rsidRPr="00C97BC6">
              <w:rPr>
                <w:rFonts w:ascii="Calibri" w:hAnsi="Calibri"/>
                <w:sz w:val="26"/>
                <w:szCs w:val="26"/>
              </w:rPr>
              <w:t xml:space="preserve">Par ailleurs, </w:t>
            </w:r>
            <w:r w:rsidR="00476423">
              <w:rPr>
                <w:rFonts w:ascii="Calibri" w:hAnsi="Calibri"/>
                <w:sz w:val="26"/>
                <w:szCs w:val="26"/>
              </w:rPr>
              <w:t>l</w:t>
            </w:r>
            <w:r w:rsidRPr="00C97BC6">
              <w:rPr>
                <w:rFonts w:ascii="Calibri" w:hAnsi="Calibri"/>
                <w:sz w:val="26"/>
                <w:szCs w:val="26"/>
              </w:rPr>
              <w:t>a valeur ajoutée du secteur secondaire (Industries extractive</w:t>
            </w:r>
            <w:r w:rsidR="0017266A">
              <w:rPr>
                <w:rFonts w:ascii="Calibri" w:hAnsi="Calibri"/>
                <w:sz w:val="26"/>
                <w:szCs w:val="26"/>
              </w:rPr>
              <w:t>s</w:t>
            </w:r>
            <w:r w:rsidRPr="00C97BC6">
              <w:rPr>
                <w:rFonts w:ascii="Calibri" w:hAnsi="Calibri"/>
                <w:sz w:val="26"/>
                <w:szCs w:val="26"/>
              </w:rPr>
              <w:t xml:space="preserve"> et de transformation, BTP et production et distribution de l’eau et de l’électricité) a atteint 258,5 milliards de DH au lieu de 245,</w:t>
            </w:r>
            <w:r w:rsidR="0057567E" w:rsidRPr="00C97BC6">
              <w:rPr>
                <w:rFonts w:ascii="Calibri" w:hAnsi="Calibri"/>
                <w:sz w:val="26"/>
                <w:szCs w:val="26"/>
              </w:rPr>
              <w:t>1 milliards</w:t>
            </w:r>
            <w:r w:rsidRPr="00C97BC6">
              <w:rPr>
                <w:rFonts w:ascii="Calibri" w:hAnsi="Calibri"/>
                <w:sz w:val="26"/>
                <w:szCs w:val="26"/>
              </w:rPr>
              <w:t xml:space="preserve"> de DH en base 2007, soit une révision de +5,5% ;</w:t>
            </w:r>
          </w:p>
          <w:p w:rsidR="00C97BC6" w:rsidRPr="00C97BC6" w:rsidRDefault="00C97BC6" w:rsidP="00C97BC6">
            <w:pPr>
              <w:spacing w:before="120" w:line="360" w:lineRule="exact"/>
              <w:jc w:val="both"/>
              <w:rPr>
                <w:rFonts w:ascii="Calibri" w:hAnsi="Calibri"/>
                <w:sz w:val="26"/>
                <w:szCs w:val="26"/>
              </w:rPr>
            </w:pPr>
            <w:r w:rsidRPr="00C97BC6">
              <w:rPr>
                <w:rFonts w:ascii="Calibri" w:hAnsi="Calibri"/>
                <w:sz w:val="26"/>
                <w:szCs w:val="26"/>
              </w:rPr>
              <w:t xml:space="preserve">En outre, </w:t>
            </w:r>
            <w:r w:rsidR="00476423">
              <w:rPr>
                <w:rFonts w:ascii="Calibri" w:hAnsi="Calibri"/>
                <w:sz w:val="26"/>
                <w:szCs w:val="26"/>
              </w:rPr>
              <w:t>l</w:t>
            </w:r>
            <w:r w:rsidRPr="00C97BC6">
              <w:rPr>
                <w:rFonts w:ascii="Calibri" w:hAnsi="Calibri"/>
                <w:sz w:val="26"/>
                <w:szCs w:val="26"/>
              </w:rPr>
              <w:t>a valeur ajoutée du</w:t>
            </w:r>
            <w:r w:rsidR="00B317EB">
              <w:rPr>
                <w:rFonts w:ascii="Calibri" w:hAnsi="Calibri"/>
                <w:sz w:val="26"/>
                <w:szCs w:val="26"/>
              </w:rPr>
              <w:t xml:space="preserve"> secteur tertiaire (</w:t>
            </w:r>
            <w:r w:rsidRPr="00C97BC6">
              <w:rPr>
                <w:rFonts w:ascii="Calibri" w:hAnsi="Calibri"/>
                <w:sz w:val="26"/>
                <w:szCs w:val="26"/>
              </w:rPr>
              <w:t>services</w:t>
            </w:r>
            <w:r w:rsidR="00B317EB">
              <w:rPr>
                <w:rFonts w:ascii="Calibri" w:hAnsi="Calibri"/>
                <w:sz w:val="26"/>
                <w:szCs w:val="26"/>
              </w:rPr>
              <w:t xml:space="preserve"> y compris le commerce</w:t>
            </w:r>
            <w:r w:rsidRPr="00C97BC6">
              <w:rPr>
                <w:rFonts w:ascii="Calibri" w:hAnsi="Calibri"/>
                <w:sz w:val="26"/>
                <w:szCs w:val="26"/>
              </w:rPr>
              <w:t>) a atteint 548,3 milliards de DH au lieu de 477,7 milliards de DH enregistrant ainsi une revue à la hausse de 14,8%.</w:t>
            </w:r>
          </w:p>
          <w:p w:rsidR="00C97BC6" w:rsidRDefault="00C97BC6" w:rsidP="00C97BC6">
            <w:pPr>
              <w:spacing w:before="120" w:after="240" w:line="360" w:lineRule="exact"/>
              <w:jc w:val="both"/>
              <w:rPr>
                <w:rFonts w:ascii="Calibri" w:hAnsi="Calibri"/>
                <w:sz w:val="26"/>
                <w:szCs w:val="26"/>
              </w:rPr>
            </w:pPr>
            <w:r w:rsidRPr="00C97BC6">
              <w:rPr>
                <w:rFonts w:ascii="Calibri" w:hAnsi="Calibri"/>
                <w:sz w:val="26"/>
                <w:szCs w:val="26"/>
              </w:rPr>
              <w:t xml:space="preserve">Dans ces conditions, </w:t>
            </w:r>
            <w:r w:rsidR="00476423">
              <w:rPr>
                <w:rFonts w:ascii="Calibri" w:hAnsi="Calibri"/>
                <w:sz w:val="26"/>
                <w:szCs w:val="26"/>
              </w:rPr>
              <w:t>l</w:t>
            </w:r>
            <w:r w:rsidRPr="00C97BC6">
              <w:rPr>
                <w:rFonts w:ascii="Calibri" w:hAnsi="Calibri"/>
                <w:sz w:val="26"/>
                <w:szCs w:val="26"/>
              </w:rPr>
              <w:t xml:space="preserve">a configuration sectorielle du PIB montre une nette amélioration de la part du secteur tertiaire qui est passée de 51,6% à 54,8% du PIB, les activités </w:t>
            </w:r>
            <w:r w:rsidR="0057567E" w:rsidRPr="00C97BC6">
              <w:rPr>
                <w:rFonts w:ascii="Calibri" w:hAnsi="Calibri"/>
                <w:sz w:val="26"/>
                <w:szCs w:val="26"/>
              </w:rPr>
              <w:t>secondaires ont</w:t>
            </w:r>
            <w:r w:rsidRPr="00C97BC6">
              <w:rPr>
                <w:rFonts w:ascii="Calibri" w:hAnsi="Calibri"/>
                <w:sz w:val="26"/>
                <w:szCs w:val="26"/>
              </w:rPr>
              <w:t xml:space="preserve">  affiché  25,8% du PIB au lieu de 26,5%, quant au secteur primaire, sa contribution au PIB est passée de 11,7% à 10,4%.</w:t>
            </w:r>
          </w:p>
          <w:p w:rsidR="00C22738" w:rsidRDefault="00C22738" w:rsidP="00C97BC6">
            <w:pPr>
              <w:spacing w:before="120" w:after="240" w:line="360" w:lineRule="exact"/>
              <w:jc w:val="both"/>
              <w:rPr>
                <w:rFonts w:ascii="Calibri" w:hAnsi="Calibri"/>
                <w:sz w:val="26"/>
                <w:szCs w:val="26"/>
              </w:rPr>
            </w:pPr>
          </w:p>
          <w:p w:rsidR="00C22738" w:rsidRDefault="00C22738" w:rsidP="00C97BC6">
            <w:pPr>
              <w:spacing w:before="120" w:after="240" w:line="360" w:lineRule="exact"/>
              <w:jc w:val="both"/>
              <w:rPr>
                <w:rFonts w:ascii="Calibri" w:hAnsi="Calibri"/>
                <w:sz w:val="26"/>
                <w:szCs w:val="26"/>
              </w:rPr>
            </w:pPr>
          </w:p>
          <w:p w:rsidR="00C22738" w:rsidRPr="00C97BC6" w:rsidRDefault="00C22738" w:rsidP="00C97BC6">
            <w:pPr>
              <w:spacing w:before="120" w:after="240" w:line="360" w:lineRule="exact"/>
              <w:jc w:val="both"/>
              <w:rPr>
                <w:rFonts w:ascii="Calibri" w:hAnsi="Calibri"/>
                <w:sz w:val="26"/>
                <w:szCs w:val="26"/>
              </w:rPr>
            </w:pPr>
          </w:p>
          <w:p w:rsidR="00C97BC6" w:rsidRPr="00C97BC6" w:rsidRDefault="00C97BC6" w:rsidP="00C97BC6">
            <w:pPr>
              <w:spacing w:before="120" w:after="240" w:line="360" w:lineRule="exact"/>
              <w:jc w:val="center"/>
              <w:rPr>
                <w:rFonts w:ascii="Calibri" w:eastAsia="Calibri" w:hAnsi="Calibri"/>
                <w:b/>
                <w:sz w:val="28"/>
                <w:szCs w:val="28"/>
                <w:lang w:eastAsia="en-US"/>
              </w:rPr>
            </w:pPr>
            <w:r w:rsidRPr="00C97BC6">
              <w:rPr>
                <w:rFonts w:ascii="Calibri" w:eastAsia="Calibri" w:hAnsi="Calibri"/>
                <w:b/>
                <w:sz w:val="28"/>
                <w:szCs w:val="28"/>
                <w:lang w:eastAsia="en-US"/>
              </w:rPr>
              <w:lastRenderedPageBreak/>
              <w:t>Réévaluation du PIB de 2014 par secteur d’activité</w:t>
            </w:r>
          </w:p>
          <w:tbl>
            <w:tblPr>
              <w:tblW w:w="9224" w:type="dxa"/>
              <w:tblInd w:w="60" w:type="dxa"/>
              <w:tblCellMar>
                <w:left w:w="70" w:type="dxa"/>
                <w:right w:w="70" w:type="dxa"/>
              </w:tblCellMar>
              <w:tblLook w:val="04A0"/>
            </w:tblPr>
            <w:tblGrid>
              <w:gridCol w:w="4184"/>
              <w:gridCol w:w="280"/>
              <w:gridCol w:w="1134"/>
              <w:gridCol w:w="196"/>
              <w:gridCol w:w="1104"/>
              <w:gridCol w:w="190"/>
              <w:gridCol w:w="974"/>
              <w:gridCol w:w="190"/>
              <w:gridCol w:w="972"/>
            </w:tblGrid>
            <w:tr w:rsidR="00C97BC6" w:rsidRPr="004C0F54" w:rsidTr="00807057">
              <w:trPr>
                <w:trHeight w:hRule="exact" w:val="600"/>
              </w:trPr>
              <w:tc>
                <w:tcPr>
                  <w:tcW w:w="4263" w:type="dxa"/>
                  <w:tcBorders>
                    <w:top w:val="nil"/>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r w:rsidRPr="004C0F54">
                    <w:rPr>
                      <w:rFonts w:ascii="Calibri" w:hAnsi="Calibri" w:cs="Arial"/>
                      <w:b/>
                      <w:bCs/>
                      <w:color w:val="800080"/>
                      <w:sz w:val="22"/>
                      <w:szCs w:val="22"/>
                    </w:rPr>
                    <w:t>Agrégat</w:t>
                  </w:r>
                </w:p>
              </w:tc>
              <w:tc>
                <w:tcPr>
                  <w:tcW w:w="283" w:type="dxa"/>
                  <w:tcBorders>
                    <w:top w:val="nil"/>
                    <w:left w:val="nil"/>
                    <w:bottom w:val="nil"/>
                    <w:right w:val="nil"/>
                  </w:tcBorders>
                  <w:shd w:val="clear" w:color="auto" w:fill="auto"/>
                  <w:vAlign w:val="center"/>
                  <w:hideMark/>
                </w:tcPr>
                <w:p w:rsidR="00C97BC6" w:rsidRPr="004C0F54" w:rsidRDefault="00C97BC6" w:rsidP="00C97BC6">
                  <w:pPr>
                    <w:jc w:val="center"/>
                    <w:rPr>
                      <w:rFonts w:ascii="Calibri" w:hAnsi="Calibri"/>
                      <w:color w:val="000000"/>
                    </w:rPr>
                  </w:pPr>
                </w:p>
              </w:tc>
              <w:tc>
                <w:tcPr>
                  <w:tcW w:w="1134"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r w:rsidRPr="004C0F54">
                    <w:rPr>
                      <w:rFonts w:ascii="Calibri" w:hAnsi="Calibri" w:cs="Arial"/>
                      <w:b/>
                      <w:bCs/>
                      <w:color w:val="800080"/>
                      <w:sz w:val="22"/>
                      <w:szCs w:val="22"/>
                    </w:rPr>
                    <w:t>Base 2014</w:t>
                  </w:r>
                </w:p>
              </w:tc>
              <w:tc>
                <w:tcPr>
                  <w:tcW w:w="160"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p>
              </w:tc>
              <w:tc>
                <w:tcPr>
                  <w:tcW w:w="1116"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r w:rsidRPr="004C0F54">
                    <w:rPr>
                      <w:rFonts w:ascii="Calibri" w:hAnsi="Calibri" w:cs="Arial"/>
                      <w:b/>
                      <w:bCs/>
                      <w:color w:val="800080"/>
                      <w:sz w:val="22"/>
                      <w:szCs w:val="22"/>
                    </w:rPr>
                    <w:t>Base 2007</w:t>
                  </w:r>
                </w:p>
              </w:tc>
              <w:tc>
                <w:tcPr>
                  <w:tcW w:w="160"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p>
              </w:tc>
              <w:tc>
                <w:tcPr>
                  <w:tcW w:w="974"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r w:rsidRPr="004C0F54">
                    <w:rPr>
                      <w:rFonts w:ascii="Calibri" w:hAnsi="Calibri" w:cs="Arial"/>
                      <w:b/>
                      <w:bCs/>
                      <w:color w:val="800080"/>
                      <w:sz w:val="22"/>
                      <w:szCs w:val="22"/>
                    </w:rPr>
                    <w:t>Révision</w:t>
                  </w:r>
                </w:p>
              </w:tc>
              <w:tc>
                <w:tcPr>
                  <w:tcW w:w="160"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p>
              </w:tc>
              <w:tc>
                <w:tcPr>
                  <w:tcW w:w="974" w:type="dxa"/>
                  <w:tcBorders>
                    <w:top w:val="single" w:sz="12" w:space="0" w:color="76923C"/>
                    <w:left w:val="nil"/>
                    <w:bottom w:val="single" w:sz="12" w:space="0" w:color="76923C"/>
                    <w:right w:val="nil"/>
                  </w:tcBorders>
                  <w:shd w:val="clear" w:color="auto" w:fill="auto"/>
                  <w:vAlign w:val="center"/>
                  <w:hideMark/>
                </w:tcPr>
                <w:p w:rsidR="00C97BC6" w:rsidRPr="004C0F54" w:rsidRDefault="00C97BC6" w:rsidP="00C97BC6">
                  <w:pPr>
                    <w:jc w:val="center"/>
                    <w:rPr>
                      <w:rFonts w:ascii="Calibri" w:hAnsi="Calibri"/>
                      <w:b/>
                      <w:bCs/>
                      <w:color w:val="800080"/>
                    </w:rPr>
                  </w:pPr>
                  <w:r w:rsidRPr="004C0F54">
                    <w:rPr>
                      <w:rFonts w:ascii="Calibri" w:hAnsi="Calibri" w:cs="Arial"/>
                      <w:b/>
                      <w:bCs/>
                      <w:color w:val="800080"/>
                      <w:sz w:val="22"/>
                      <w:szCs w:val="22"/>
                    </w:rPr>
                    <w:t>Révision</w:t>
                  </w:r>
                  <w:r w:rsidRPr="004C0F54">
                    <w:rPr>
                      <w:rFonts w:ascii="Calibri" w:hAnsi="Calibri" w:cs="Arial"/>
                      <w:color w:val="000000"/>
                      <w:sz w:val="22"/>
                      <w:szCs w:val="22"/>
                    </w:rPr>
                    <w:t xml:space="preserve"> </w:t>
                  </w:r>
                  <w:r w:rsidRPr="004C0F54">
                    <w:rPr>
                      <w:rFonts w:ascii="Calibri" w:hAnsi="Calibri" w:cs="Arial"/>
                      <w:b/>
                      <w:bCs/>
                      <w:color w:val="800080"/>
                      <w:sz w:val="22"/>
                      <w:szCs w:val="22"/>
                    </w:rPr>
                    <w:t>en %</w:t>
                  </w:r>
                </w:p>
              </w:tc>
            </w:tr>
            <w:tr w:rsidR="00C97BC6" w:rsidRPr="004C0F54" w:rsidTr="00807057">
              <w:trPr>
                <w:trHeight w:val="300"/>
              </w:trPr>
              <w:tc>
                <w:tcPr>
                  <w:tcW w:w="4263" w:type="dxa"/>
                  <w:tcBorders>
                    <w:top w:val="nil"/>
                    <w:left w:val="nil"/>
                    <w:bottom w:val="nil"/>
                    <w:right w:val="nil"/>
                  </w:tcBorders>
                  <w:shd w:val="clear" w:color="000000" w:fill="FFFFFF"/>
                  <w:vAlign w:val="bottom"/>
                  <w:hideMark/>
                </w:tcPr>
                <w:p w:rsidR="00C97BC6" w:rsidRPr="004C0F54" w:rsidRDefault="00C97BC6" w:rsidP="00C97BC6">
                  <w:pPr>
                    <w:rPr>
                      <w:rFonts w:ascii="Calibri" w:hAnsi="Calibri"/>
                      <w:b/>
                      <w:bCs/>
                      <w:color w:val="800080"/>
                    </w:rPr>
                  </w:pPr>
                  <w:r w:rsidRPr="004C0F54">
                    <w:rPr>
                      <w:rFonts w:ascii="Calibri" w:hAnsi="Calibri" w:cs="Arial"/>
                      <w:b/>
                      <w:bCs/>
                      <w:color w:val="800080"/>
                      <w:sz w:val="22"/>
                      <w:szCs w:val="22"/>
                    </w:rPr>
                    <w:t xml:space="preserve">Produit intérieur brut </w:t>
                  </w:r>
                </w:p>
              </w:tc>
              <w:tc>
                <w:tcPr>
                  <w:tcW w:w="283" w:type="dxa"/>
                  <w:tcBorders>
                    <w:top w:val="nil"/>
                    <w:left w:val="nil"/>
                    <w:bottom w:val="nil"/>
                    <w:right w:val="nil"/>
                  </w:tcBorders>
                  <w:shd w:val="clear" w:color="000000" w:fill="FFFFFF"/>
                  <w:vAlign w:val="bottom"/>
                  <w:hideMark/>
                </w:tcPr>
                <w:p w:rsidR="00C97BC6" w:rsidRPr="004C0F54" w:rsidRDefault="00C97BC6" w:rsidP="00C97BC6">
                  <w:pPr>
                    <w:rPr>
                      <w:rFonts w:ascii="Calibri" w:hAnsi="Calibri"/>
                      <w:b/>
                      <w:bCs/>
                      <w:color w:val="800080"/>
                    </w:rPr>
                  </w:pPr>
                  <w:r w:rsidRPr="004C0F54">
                    <w:rPr>
                      <w:rFonts w:ascii="Calibri" w:hAnsi="Calibri" w:cs="Arial"/>
                      <w:b/>
                      <w:bCs/>
                      <w:color w:val="800080"/>
                      <w:sz w:val="22"/>
                      <w:szCs w:val="22"/>
                    </w:rPr>
                    <w:t> </w:t>
                  </w: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1 001 454</w:t>
                  </w:r>
                </w:p>
              </w:tc>
              <w:tc>
                <w:tcPr>
                  <w:tcW w:w="16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 </w:t>
                  </w:r>
                </w:p>
              </w:tc>
              <w:tc>
                <w:tcPr>
                  <w:tcW w:w="1116"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925 376</w:t>
                  </w:r>
                </w:p>
              </w:tc>
              <w:tc>
                <w:tcPr>
                  <w:tcW w:w="16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 </w:t>
                  </w: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76 078</w:t>
                  </w:r>
                </w:p>
              </w:tc>
              <w:tc>
                <w:tcPr>
                  <w:tcW w:w="16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b/>
                      <w:bCs/>
                      <w:color w:val="800080"/>
                      <w:sz w:val="22"/>
                      <w:szCs w:val="22"/>
                    </w:rPr>
                    <w:t> </w:t>
                  </w: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b/>
                      <w:bCs/>
                      <w:color w:val="800080"/>
                    </w:rPr>
                  </w:pPr>
                  <w:r w:rsidRPr="004C0F54">
                    <w:rPr>
                      <w:rFonts w:ascii="Calibri" w:hAnsi="Calibri" w:cs="Arial"/>
                      <w:b/>
                      <w:bCs/>
                      <w:color w:val="800080"/>
                      <w:sz w:val="22"/>
                      <w:szCs w:val="22"/>
                    </w:rPr>
                    <w:t>8,2%</w:t>
                  </w:r>
                </w:p>
              </w:tc>
            </w:tr>
            <w:tr w:rsidR="00C97BC6" w:rsidRPr="004C0F54" w:rsidTr="00807057">
              <w:trPr>
                <w:trHeight w:val="288"/>
              </w:trPr>
              <w:tc>
                <w:tcPr>
                  <w:tcW w:w="426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b/>
                      <w:bCs/>
                      <w:color w:val="000000"/>
                    </w:rPr>
                  </w:pPr>
                  <w:r w:rsidRPr="004C0F54">
                    <w:rPr>
                      <w:rFonts w:ascii="Calibri" w:hAnsi="Calibri" w:cs="Arial"/>
                      <w:b/>
                      <w:bCs/>
                      <w:color w:val="000000"/>
                      <w:sz w:val="22"/>
                      <w:szCs w:val="22"/>
                    </w:rPr>
                    <w:t xml:space="preserve">  Valeur ajoutée au prix de base</w:t>
                  </w:r>
                </w:p>
              </w:tc>
              <w:tc>
                <w:tcPr>
                  <w:tcW w:w="28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3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s="Arial"/>
                      <w:color w:val="000000"/>
                      <w:sz w:val="22"/>
                      <w:szCs w:val="22"/>
                    </w:rPr>
                    <w:t>910 536</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16"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s="Arial"/>
                      <w:color w:val="000000"/>
                      <w:sz w:val="22"/>
                      <w:szCs w:val="22"/>
                    </w:rPr>
                    <w:t>830 708</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s="Arial"/>
                      <w:color w:val="000000"/>
                      <w:sz w:val="22"/>
                      <w:szCs w:val="22"/>
                    </w:rPr>
                    <w:t>79 828</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olor w:val="000000"/>
                    </w:rPr>
                  </w:pPr>
                  <w:r w:rsidRPr="004C0F54">
                    <w:rPr>
                      <w:rFonts w:ascii="Calibri" w:hAnsi="Calibri" w:cs="Arial"/>
                      <w:color w:val="000000"/>
                      <w:sz w:val="22"/>
                      <w:szCs w:val="22"/>
                    </w:rPr>
                    <w:t>9,6%</w:t>
                  </w:r>
                </w:p>
              </w:tc>
            </w:tr>
            <w:tr w:rsidR="00C97BC6" w:rsidRPr="004C0F54" w:rsidTr="00807057">
              <w:trPr>
                <w:trHeight w:val="312"/>
              </w:trPr>
              <w:tc>
                <w:tcPr>
                  <w:tcW w:w="4263" w:type="dxa"/>
                  <w:tcBorders>
                    <w:top w:val="nil"/>
                    <w:left w:val="nil"/>
                    <w:bottom w:val="nil"/>
                    <w:right w:val="nil"/>
                  </w:tcBorders>
                  <w:shd w:val="clear" w:color="000000" w:fill="FFFFFF"/>
                  <w:vAlign w:val="bottom"/>
                  <w:hideMark/>
                </w:tcPr>
                <w:p w:rsidR="00C97BC6" w:rsidRPr="004C0F54" w:rsidRDefault="00C97BC6" w:rsidP="00C97BC6">
                  <w:pPr>
                    <w:rPr>
                      <w:rFonts w:ascii="Calibri" w:hAnsi="Calibri"/>
                      <w:color w:val="000000"/>
                    </w:rPr>
                  </w:pPr>
                  <w:r w:rsidRPr="004C0F54">
                    <w:rPr>
                      <w:rFonts w:ascii="Calibri" w:hAnsi="Calibri" w:cs="Arial"/>
                      <w:color w:val="000000"/>
                    </w:rPr>
                    <w:t xml:space="preserve">    Secteur primaire</w:t>
                  </w:r>
                </w:p>
              </w:tc>
              <w:tc>
                <w:tcPr>
                  <w:tcW w:w="283" w:type="dxa"/>
                  <w:tcBorders>
                    <w:top w:val="nil"/>
                    <w:left w:val="nil"/>
                    <w:bottom w:val="nil"/>
                    <w:right w:val="nil"/>
                  </w:tcBorders>
                  <w:shd w:val="clear" w:color="000000" w:fill="FFFFFF"/>
                  <w:vAlign w:val="bottom"/>
                  <w:hideMark/>
                </w:tcPr>
                <w:p w:rsidR="00C97BC6" w:rsidRPr="004C0F54" w:rsidRDefault="00C97BC6" w:rsidP="00C97BC6">
                  <w:pPr>
                    <w:jc w:val="right"/>
                    <w:rPr>
                      <w:rFonts w:ascii="Arial" w:hAnsi="Arial" w:cs="Arial"/>
                      <w:b/>
                      <w:bCs/>
                      <w:color w:val="800080"/>
                      <w:sz w:val="16"/>
                      <w:szCs w:val="16"/>
                    </w:rPr>
                  </w:pPr>
                  <w:r w:rsidRPr="004C0F54">
                    <w:rPr>
                      <w:rFonts w:ascii="Arial" w:hAnsi="Arial" w:cs="Arial"/>
                      <w:b/>
                      <w:bCs/>
                      <w:color w:val="800080"/>
                      <w:sz w:val="16"/>
                      <w:szCs w:val="16"/>
                    </w:rPr>
                    <w:t> </w:t>
                  </w:r>
                </w:p>
              </w:tc>
              <w:tc>
                <w:tcPr>
                  <w:tcW w:w="113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103 682</w:t>
                  </w:r>
                </w:p>
              </w:tc>
              <w:tc>
                <w:tcPr>
                  <w:tcW w:w="160" w:type="dxa"/>
                  <w:tcBorders>
                    <w:top w:val="nil"/>
                    <w:left w:val="nil"/>
                    <w:bottom w:val="nil"/>
                    <w:right w:val="nil"/>
                  </w:tcBorders>
                  <w:shd w:val="clear" w:color="000000" w:fill="FFFFFF"/>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c>
                <w:tcPr>
                  <w:tcW w:w="1116" w:type="dxa"/>
                  <w:tcBorders>
                    <w:top w:val="nil"/>
                    <w:left w:val="nil"/>
                    <w:bottom w:val="nil"/>
                    <w:right w:val="nil"/>
                  </w:tcBorders>
                  <w:shd w:val="clear" w:color="000000" w:fill="FFFFFF"/>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107 905</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-4 223</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rPr>
                  </w:pPr>
                  <w:r w:rsidRPr="004C0F54">
                    <w:rPr>
                      <w:rFonts w:ascii="Calibri" w:hAnsi="Calibri"/>
                      <w:sz w:val="22"/>
                      <w:szCs w:val="22"/>
                    </w:rPr>
                    <w:t>-3,9%</w:t>
                  </w:r>
                </w:p>
              </w:tc>
            </w:tr>
            <w:tr w:rsidR="00C97BC6" w:rsidRPr="004C0F54" w:rsidTr="00807057">
              <w:trPr>
                <w:trHeight w:val="312"/>
              </w:trPr>
              <w:tc>
                <w:tcPr>
                  <w:tcW w:w="426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r w:rsidRPr="004C0F54">
                    <w:rPr>
                      <w:rFonts w:ascii="Calibri" w:hAnsi="Calibri" w:cs="Arial"/>
                      <w:color w:val="000000"/>
                    </w:rPr>
                    <w:t xml:space="preserve">    Secteur secondaire</w:t>
                  </w:r>
                </w:p>
              </w:tc>
              <w:tc>
                <w:tcPr>
                  <w:tcW w:w="28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258 508</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16"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245 138</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13 370</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rPr>
                  </w:pPr>
                  <w:r w:rsidRPr="004C0F54">
                    <w:rPr>
                      <w:rFonts w:ascii="Calibri" w:hAnsi="Calibri"/>
                      <w:sz w:val="22"/>
                      <w:szCs w:val="22"/>
                    </w:rPr>
                    <w:t>5,5%</w:t>
                  </w:r>
                </w:p>
              </w:tc>
            </w:tr>
            <w:tr w:rsidR="00C97BC6" w:rsidRPr="004C0F54" w:rsidTr="00807057">
              <w:trPr>
                <w:trHeight w:val="312"/>
              </w:trPr>
              <w:tc>
                <w:tcPr>
                  <w:tcW w:w="426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r w:rsidRPr="004C0F54">
                    <w:rPr>
                      <w:rFonts w:ascii="Calibri" w:hAnsi="Calibri" w:cs="Arial"/>
                      <w:color w:val="000000"/>
                    </w:rPr>
                    <w:t xml:space="preserve">    Secteur tertiaire</w:t>
                  </w:r>
                </w:p>
              </w:tc>
              <w:tc>
                <w:tcPr>
                  <w:tcW w:w="28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548 346</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16"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477 665</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auto" w:fill="auto"/>
                  <w:noWrap/>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70 681</w:t>
                  </w:r>
                </w:p>
              </w:tc>
              <w:tc>
                <w:tcPr>
                  <w:tcW w:w="160" w:type="dxa"/>
                  <w:tcBorders>
                    <w:top w:val="nil"/>
                    <w:left w:val="nil"/>
                    <w:bottom w:val="nil"/>
                    <w:right w:val="nil"/>
                  </w:tcBorders>
                  <w:shd w:val="clear" w:color="auto" w:fill="auto"/>
                  <w:noWrap/>
                  <w:vAlign w:val="bottom"/>
                  <w:hideMark/>
                </w:tcPr>
                <w:p w:rsidR="00C97BC6" w:rsidRPr="004C0F54" w:rsidRDefault="00C97BC6" w:rsidP="00C97BC6">
                  <w:pPr>
                    <w:rPr>
                      <w:rFonts w:ascii="Calibri" w:hAnsi="Calibri"/>
                      <w:color w:val="000000"/>
                    </w:rPr>
                  </w:pPr>
                </w:p>
              </w:tc>
              <w:tc>
                <w:tcPr>
                  <w:tcW w:w="97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rPr>
                  </w:pPr>
                  <w:r w:rsidRPr="004C0F54">
                    <w:rPr>
                      <w:rFonts w:ascii="Calibri" w:hAnsi="Calibri"/>
                      <w:sz w:val="22"/>
                      <w:szCs w:val="22"/>
                    </w:rPr>
                    <w:t>14,8%</w:t>
                  </w:r>
                </w:p>
              </w:tc>
            </w:tr>
            <w:tr w:rsidR="00C97BC6" w:rsidRPr="004C0F54" w:rsidTr="00807057">
              <w:trPr>
                <w:trHeight w:val="336"/>
              </w:trPr>
              <w:tc>
                <w:tcPr>
                  <w:tcW w:w="4263" w:type="dxa"/>
                  <w:tcBorders>
                    <w:top w:val="nil"/>
                    <w:left w:val="nil"/>
                    <w:bottom w:val="single" w:sz="12" w:space="0" w:color="76923C"/>
                    <w:right w:val="nil"/>
                  </w:tcBorders>
                  <w:shd w:val="clear" w:color="auto" w:fill="auto"/>
                  <w:vAlign w:val="bottom"/>
                  <w:hideMark/>
                </w:tcPr>
                <w:p w:rsidR="00C97BC6" w:rsidRPr="004C0F54" w:rsidRDefault="00C97BC6" w:rsidP="00C97BC6">
                  <w:pPr>
                    <w:rPr>
                      <w:rFonts w:ascii="Calibri" w:hAnsi="Calibri"/>
                      <w:b/>
                      <w:bCs/>
                      <w:color w:val="000000"/>
                    </w:rPr>
                  </w:pPr>
                  <w:r w:rsidRPr="004C0F54">
                    <w:rPr>
                      <w:rFonts w:ascii="Calibri" w:hAnsi="Calibri"/>
                      <w:b/>
                      <w:bCs/>
                      <w:color w:val="000000"/>
                      <w:sz w:val="22"/>
                      <w:szCs w:val="22"/>
                    </w:rPr>
                    <w:t xml:space="preserve"> Impôts sur les produits nets des subventions sur les produits</w:t>
                  </w:r>
                </w:p>
              </w:tc>
              <w:tc>
                <w:tcPr>
                  <w:tcW w:w="283"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34"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90918</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1116"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94668</w:t>
                  </w:r>
                </w:p>
              </w:tc>
              <w:tc>
                <w:tcPr>
                  <w:tcW w:w="16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olor w:val="000000"/>
                    </w:rPr>
                  </w:pPr>
                </w:p>
              </w:tc>
              <w:tc>
                <w:tcPr>
                  <w:tcW w:w="974"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-3750</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olor w:val="000000"/>
                    </w:rPr>
                  </w:pPr>
                </w:p>
              </w:tc>
              <w:tc>
                <w:tcPr>
                  <w:tcW w:w="974"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Calibri" w:hAnsi="Calibri"/>
                      <w:color w:val="000000"/>
                    </w:rPr>
                  </w:pPr>
                  <w:r w:rsidRPr="004C0F54">
                    <w:rPr>
                      <w:rFonts w:ascii="Calibri" w:hAnsi="Calibri"/>
                      <w:color w:val="000000"/>
                      <w:sz w:val="22"/>
                      <w:szCs w:val="22"/>
                    </w:rPr>
                    <w:t>-4,0%</w:t>
                  </w:r>
                </w:p>
              </w:tc>
            </w:tr>
          </w:tbl>
          <w:p w:rsidR="00C97BC6" w:rsidRDefault="00C97BC6" w:rsidP="00C97BC6">
            <w:pPr>
              <w:spacing w:before="120" w:line="360" w:lineRule="exact"/>
              <w:jc w:val="center"/>
              <w:rPr>
                <w:rFonts w:ascii="Calibri" w:eastAsia="Calibri" w:hAnsi="Calibri"/>
                <w:b/>
                <w:lang w:eastAsia="en-US"/>
              </w:rPr>
            </w:pPr>
          </w:p>
          <w:p w:rsidR="00C97BC6" w:rsidRPr="00C97BC6" w:rsidRDefault="00C97BC6" w:rsidP="00C97BC6">
            <w:pPr>
              <w:pStyle w:val="Paragraphedeliste"/>
              <w:numPr>
                <w:ilvl w:val="0"/>
                <w:numId w:val="17"/>
              </w:numPr>
              <w:autoSpaceDE w:val="0"/>
              <w:autoSpaceDN w:val="0"/>
              <w:adjustRightInd w:val="0"/>
              <w:spacing w:after="240" w:line="360" w:lineRule="exact"/>
              <w:ind w:left="1077"/>
              <w:jc w:val="both"/>
              <w:rPr>
                <w:rFonts w:ascii="Arial" w:hAnsi="Arial" w:cs="Arial"/>
                <w:b/>
                <w:color w:val="222A35"/>
                <w:sz w:val="28"/>
                <w:szCs w:val="28"/>
              </w:rPr>
            </w:pPr>
            <w:r w:rsidRPr="00C97BC6">
              <w:rPr>
                <w:rFonts w:ascii="Arial" w:hAnsi="Arial" w:cs="Arial"/>
                <w:b/>
                <w:color w:val="222A35"/>
                <w:sz w:val="28"/>
                <w:szCs w:val="28"/>
              </w:rPr>
              <w:t>Au niveau de la demande </w:t>
            </w:r>
          </w:p>
          <w:p w:rsidR="00C97BC6" w:rsidRPr="00DF2BF0" w:rsidRDefault="00C97BC6" w:rsidP="00C97BC6">
            <w:pPr>
              <w:autoSpaceDE w:val="0"/>
              <w:autoSpaceDN w:val="0"/>
              <w:adjustRightInd w:val="0"/>
              <w:spacing w:line="360" w:lineRule="exact"/>
              <w:jc w:val="both"/>
              <w:rPr>
                <w:rFonts w:ascii="Calibri" w:hAnsi="Calibri" w:cs="Calibri"/>
                <w:b/>
                <w:color w:val="C00000"/>
                <w:sz w:val="26"/>
                <w:szCs w:val="26"/>
              </w:rPr>
            </w:pPr>
            <w:r w:rsidRPr="00DF2BF0">
              <w:rPr>
                <w:rFonts w:ascii="Calibri" w:hAnsi="Calibri" w:cs="Calibri"/>
                <w:b/>
                <w:color w:val="C00000"/>
                <w:sz w:val="26"/>
                <w:szCs w:val="26"/>
              </w:rPr>
              <w:t>Les dépenses de consommation finale des ménages revues à la hausse de 11,2%</w:t>
            </w:r>
          </w:p>
          <w:p w:rsidR="0017266A" w:rsidRPr="00C97BC6" w:rsidRDefault="0017266A" w:rsidP="00C97BC6">
            <w:pPr>
              <w:spacing w:before="120" w:line="360" w:lineRule="exact"/>
              <w:jc w:val="both"/>
              <w:rPr>
                <w:rFonts w:ascii="Calibri" w:hAnsi="Calibri"/>
                <w:sz w:val="26"/>
                <w:szCs w:val="26"/>
              </w:rPr>
            </w:pPr>
            <w:r w:rsidRPr="00C97BC6">
              <w:rPr>
                <w:rFonts w:ascii="Calibri" w:hAnsi="Calibri"/>
                <w:sz w:val="26"/>
                <w:szCs w:val="26"/>
              </w:rPr>
              <w:t xml:space="preserve">Les dépenses de consommation finales des ménages ont affiché une </w:t>
            </w:r>
            <w:r>
              <w:rPr>
                <w:rFonts w:ascii="Calibri" w:hAnsi="Calibri"/>
                <w:sz w:val="26"/>
                <w:szCs w:val="26"/>
              </w:rPr>
              <w:t>réévaluation à la hausse</w:t>
            </w:r>
            <w:r w:rsidRPr="00C97BC6">
              <w:rPr>
                <w:rFonts w:ascii="Calibri" w:hAnsi="Calibri"/>
                <w:sz w:val="26"/>
                <w:szCs w:val="26"/>
              </w:rPr>
              <w:t xml:space="preserve"> de 61,9 milliards de DH soit une </w:t>
            </w:r>
            <w:r>
              <w:rPr>
                <w:rFonts w:ascii="Calibri" w:hAnsi="Calibri"/>
                <w:sz w:val="26"/>
                <w:szCs w:val="26"/>
              </w:rPr>
              <w:t>augmentation</w:t>
            </w:r>
            <w:r w:rsidRPr="00C97BC6">
              <w:rPr>
                <w:rFonts w:ascii="Calibri" w:hAnsi="Calibri"/>
                <w:sz w:val="26"/>
                <w:szCs w:val="26"/>
              </w:rPr>
              <w:t xml:space="preserve"> de 11,2% par rapport à leur niveau dans la base 2007</w:t>
            </w:r>
            <w:r>
              <w:rPr>
                <w:rFonts w:ascii="Calibri" w:hAnsi="Calibri"/>
                <w:sz w:val="26"/>
                <w:szCs w:val="26"/>
              </w:rPr>
              <w:t>.</w:t>
            </w:r>
          </w:p>
          <w:p w:rsidR="0057567E" w:rsidRDefault="00C97BC6" w:rsidP="0057567E">
            <w:pPr>
              <w:spacing w:before="120" w:line="360" w:lineRule="exact"/>
              <w:jc w:val="both"/>
              <w:rPr>
                <w:rFonts w:ascii="Calibri" w:hAnsi="Calibri"/>
                <w:sz w:val="26"/>
                <w:szCs w:val="26"/>
              </w:rPr>
            </w:pPr>
            <w:r w:rsidRPr="00C97BC6">
              <w:rPr>
                <w:rFonts w:ascii="Calibri" w:hAnsi="Calibri"/>
                <w:sz w:val="26"/>
                <w:szCs w:val="26"/>
              </w:rPr>
              <w:t>La réévaluation de ces dépenses provient de l’utilisation d’une nouvelle enquête</w:t>
            </w:r>
            <w:r w:rsidR="007A761D">
              <w:rPr>
                <w:rFonts w:ascii="Calibri" w:hAnsi="Calibri"/>
                <w:sz w:val="26"/>
                <w:szCs w:val="26"/>
              </w:rPr>
              <w:t xml:space="preserve"> intitulée</w:t>
            </w:r>
            <w:r w:rsidRPr="00C97BC6">
              <w:rPr>
                <w:rFonts w:ascii="Calibri" w:hAnsi="Calibri"/>
                <w:sz w:val="26"/>
                <w:szCs w:val="26"/>
              </w:rPr>
              <w:t xml:space="preserve"> </w:t>
            </w:r>
            <w:r w:rsidR="007A761D">
              <w:rPr>
                <w:rFonts w:ascii="Calibri" w:hAnsi="Calibri"/>
                <w:sz w:val="26"/>
                <w:szCs w:val="26"/>
              </w:rPr>
              <w:t>« </w:t>
            </w:r>
            <w:r w:rsidR="003C1119">
              <w:rPr>
                <w:rFonts w:ascii="Calibri" w:hAnsi="Calibri"/>
                <w:sz w:val="26"/>
                <w:szCs w:val="26"/>
              </w:rPr>
              <w:t xml:space="preserve">la consommation et </w:t>
            </w:r>
            <w:r w:rsidRPr="00C97BC6">
              <w:rPr>
                <w:rFonts w:ascii="Calibri" w:hAnsi="Calibri"/>
                <w:sz w:val="26"/>
                <w:szCs w:val="26"/>
              </w:rPr>
              <w:t>les dépenses des ménages</w:t>
            </w:r>
            <w:r w:rsidR="007A761D">
              <w:rPr>
                <w:rFonts w:ascii="Calibri" w:hAnsi="Calibri"/>
                <w:sz w:val="26"/>
                <w:szCs w:val="26"/>
              </w:rPr>
              <w:t> »</w:t>
            </w:r>
            <w:r w:rsidRPr="00C97BC6">
              <w:rPr>
                <w:rFonts w:ascii="Calibri" w:hAnsi="Calibri"/>
                <w:sz w:val="26"/>
                <w:szCs w:val="26"/>
              </w:rPr>
              <w:t xml:space="preserve"> qui a </w:t>
            </w:r>
            <w:r w:rsidR="0017266A">
              <w:rPr>
                <w:rFonts w:ascii="Calibri" w:hAnsi="Calibri"/>
                <w:sz w:val="26"/>
                <w:szCs w:val="26"/>
              </w:rPr>
              <w:t xml:space="preserve">fourni </w:t>
            </w:r>
            <w:r w:rsidRPr="00C97BC6">
              <w:rPr>
                <w:rFonts w:ascii="Calibri" w:hAnsi="Calibri"/>
                <w:sz w:val="26"/>
                <w:szCs w:val="26"/>
              </w:rPr>
              <w:t>d</w:t>
            </w:r>
            <w:r w:rsidR="0017266A">
              <w:rPr>
                <w:rFonts w:ascii="Calibri" w:hAnsi="Calibri"/>
                <w:sz w:val="26"/>
                <w:szCs w:val="26"/>
              </w:rPr>
              <w:t xml:space="preserve">e nouvelles </w:t>
            </w:r>
            <w:r w:rsidRPr="00C97BC6">
              <w:rPr>
                <w:rFonts w:ascii="Calibri" w:hAnsi="Calibri"/>
                <w:sz w:val="26"/>
                <w:szCs w:val="26"/>
              </w:rPr>
              <w:t xml:space="preserve">informations sur la structure et les niveaux </w:t>
            </w:r>
            <w:r w:rsidR="0057567E">
              <w:rPr>
                <w:rFonts w:ascii="Calibri" w:hAnsi="Calibri"/>
                <w:sz w:val="26"/>
                <w:szCs w:val="26"/>
              </w:rPr>
              <w:t>de c</w:t>
            </w:r>
            <w:r w:rsidRPr="00C97BC6">
              <w:rPr>
                <w:rFonts w:ascii="Calibri" w:hAnsi="Calibri"/>
                <w:sz w:val="26"/>
                <w:szCs w:val="26"/>
              </w:rPr>
              <w:t>es dépenses</w:t>
            </w:r>
            <w:r w:rsidR="0057567E">
              <w:rPr>
                <w:rFonts w:ascii="Calibri" w:hAnsi="Calibri"/>
                <w:sz w:val="26"/>
                <w:szCs w:val="26"/>
              </w:rPr>
              <w:t>.</w:t>
            </w:r>
          </w:p>
          <w:p w:rsidR="00C97BC6" w:rsidRPr="00DF2BF0" w:rsidRDefault="00C97BC6" w:rsidP="00B175BD">
            <w:pPr>
              <w:autoSpaceDE w:val="0"/>
              <w:autoSpaceDN w:val="0"/>
              <w:adjustRightInd w:val="0"/>
              <w:spacing w:line="360" w:lineRule="exact"/>
              <w:jc w:val="both"/>
              <w:rPr>
                <w:rFonts w:ascii="Calibri" w:hAnsi="Calibri" w:cs="Calibri"/>
                <w:b/>
                <w:color w:val="C00000"/>
                <w:sz w:val="26"/>
                <w:szCs w:val="26"/>
              </w:rPr>
            </w:pPr>
            <w:r w:rsidRPr="00DF2BF0">
              <w:rPr>
                <w:rFonts w:ascii="Calibri" w:hAnsi="Calibri" w:cs="Calibri"/>
                <w:b/>
                <w:color w:val="C00000"/>
                <w:sz w:val="26"/>
                <w:szCs w:val="26"/>
              </w:rPr>
              <w:t xml:space="preserve">Légère revue à la baisse de la FBCF </w:t>
            </w:r>
          </w:p>
          <w:p w:rsidR="00C97BC6" w:rsidRDefault="00C97BC6" w:rsidP="00C97BC6">
            <w:pPr>
              <w:pStyle w:val="Paragraphedeliste"/>
              <w:spacing w:before="120" w:line="360" w:lineRule="exact"/>
              <w:ind w:left="0"/>
              <w:jc w:val="both"/>
              <w:rPr>
                <w:rFonts w:ascii="Calibri" w:hAnsi="Calibri"/>
                <w:sz w:val="26"/>
                <w:szCs w:val="26"/>
              </w:rPr>
            </w:pPr>
            <w:r w:rsidRPr="00C97BC6">
              <w:rPr>
                <w:rFonts w:ascii="Calibri" w:hAnsi="Calibri"/>
                <w:sz w:val="26"/>
                <w:szCs w:val="26"/>
              </w:rPr>
              <w:t xml:space="preserve">Le niveau de la Formation Brute du Capital Fixe (FBCF) a été révisé de -5,7 milliards de DH, </w:t>
            </w:r>
            <w:r w:rsidR="00AE29DB" w:rsidRPr="00C97BC6">
              <w:rPr>
                <w:rFonts w:ascii="Calibri" w:hAnsi="Calibri"/>
                <w:sz w:val="26"/>
                <w:szCs w:val="26"/>
              </w:rPr>
              <w:t>soit une</w:t>
            </w:r>
            <w:r w:rsidRPr="00C97BC6">
              <w:rPr>
                <w:rFonts w:ascii="Calibri" w:hAnsi="Calibri"/>
                <w:sz w:val="26"/>
                <w:szCs w:val="26"/>
              </w:rPr>
              <w:t xml:space="preserve"> baisse de 2,1 % par rapport au niveau enregistré dans l’ancienne base. L’analyse de la structure de la FBCF par produit montre que les services ont accusé la plus grande baisse avec (-7,3) milliards de DH (-18,5% par rapport à la base 2007), la FBCF en produits industriels a été légèrement revue à la baisse (-4,3%) alors que la FBCF en produits de construction </w:t>
            </w:r>
            <w:r w:rsidR="0017266A">
              <w:rPr>
                <w:rFonts w:ascii="Calibri" w:hAnsi="Calibri"/>
                <w:sz w:val="26"/>
                <w:szCs w:val="26"/>
              </w:rPr>
              <w:t>a</w:t>
            </w:r>
            <w:r w:rsidRPr="00C97BC6">
              <w:rPr>
                <w:rFonts w:ascii="Calibri" w:hAnsi="Calibri"/>
                <w:sz w:val="26"/>
                <w:szCs w:val="26"/>
              </w:rPr>
              <w:t xml:space="preserve"> enregistré une révision à la hausse de 4%. Cette révision est imputée à l’exploitation des données issues des différentes </w:t>
            </w:r>
            <w:r w:rsidR="00DA6F1C">
              <w:rPr>
                <w:rFonts w:ascii="Calibri" w:hAnsi="Calibri"/>
                <w:sz w:val="26"/>
                <w:szCs w:val="26"/>
              </w:rPr>
              <w:t xml:space="preserve">sources d’informations </w:t>
            </w:r>
            <w:r w:rsidR="00E07C3F">
              <w:rPr>
                <w:rFonts w:ascii="Calibri" w:hAnsi="Calibri"/>
                <w:sz w:val="26"/>
                <w:szCs w:val="26"/>
              </w:rPr>
              <w:t>notamment</w:t>
            </w:r>
            <w:r w:rsidR="00DA6F1C">
              <w:rPr>
                <w:rFonts w:ascii="Calibri" w:hAnsi="Calibri"/>
                <w:sz w:val="26"/>
                <w:szCs w:val="26"/>
              </w:rPr>
              <w:t xml:space="preserve"> les </w:t>
            </w:r>
            <w:r w:rsidRPr="00C97BC6">
              <w:rPr>
                <w:rFonts w:ascii="Calibri" w:hAnsi="Calibri"/>
                <w:sz w:val="26"/>
                <w:szCs w:val="26"/>
              </w:rPr>
              <w:t>enquêtes de structures.</w:t>
            </w:r>
          </w:p>
          <w:p w:rsidR="00C97BC6" w:rsidRPr="00DF2BF0" w:rsidRDefault="00C97BC6" w:rsidP="00C97BC6">
            <w:pPr>
              <w:spacing w:before="120" w:line="360" w:lineRule="exact"/>
              <w:jc w:val="both"/>
              <w:rPr>
                <w:rFonts w:ascii="Calibri" w:hAnsi="Calibri" w:cs="Calibri"/>
                <w:b/>
                <w:color w:val="C00000"/>
              </w:rPr>
            </w:pPr>
            <w:r w:rsidRPr="00DF2BF0">
              <w:rPr>
                <w:rFonts w:ascii="Calibri" w:hAnsi="Calibri" w:cs="Calibri"/>
                <w:b/>
                <w:color w:val="C00000"/>
              </w:rPr>
              <w:t xml:space="preserve">Quasi </w:t>
            </w:r>
            <w:r w:rsidR="00E07C3F" w:rsidRPr="00DF2BF0">
              <w:rPr>
                <w:rFonts w:ascii="Calibri" w:hAnsi="Calibri" w:cs="Calibri"/>
                <w:b/>
                <w:color w:val="C00000"/>
              </w:rPr>
              <w:t>stabilité du</w:t>
            </w:r>
            <w:r w:rsidRPr="00DF2BF0">
              <w:rPr>
                <w:rFonts w:ascii="Calibri" w:hAnsi="Calibri" w:cs="Calibri"/>
                <w:b/>
                <w:color w:val="C00000"/>
              </w:rPr>
              <w:t xml:space="preserve"> solde des échanges extérieurs de biens et de services </w:t>
            </w:r>
          </w:p>
          <w:p w:rsidR="00C97BC6" w:rsidRPr="00C97BC6" w:rsidRDefault="00C97BC6" w:rsidP="00C97BC6">
            <w:pPr>
              <w:pStyle w:val="Paragraphedeliste"/>
              <w:spacing w:before="120" w:line="360" w:lineRule="exact"/>
              <w:ind w:left="0"/>
              <w:jc w:val="both"/>
              <w:rPr>
                <w:rFonts w:ascii="Calibri" w:hAnsi="Calibri"/>
                <w:sz w:val="26"/>
                <w:szCs w:val="26"/>
              </w:rPr>
            </w:pPr>
            <w:r w:rsidRPr="00C97BC6">
              <w:rPr>
                <w:rFonts w:ascii="Calibri" w:hAnsi="Calibri"/>
                <w:sz w:val="26"/>
                <w:szCs w:val="26"/>
              </w:rPr>
              <w:t>Sous l’effet conjugué de la révision des exportations de -18,7 milliards de DH et des import</w:t>
            </w:r>
            <w:r w:rsidR="00850163">
              <w:rPr>
                <w:rFonts w:ascii="Calibri" w:hAnsi="Calibri"/>
                <w:sz w:val="26"/>
                <w:szCs w:val="26"/>
              </w:rPr>
              <w:t>ations de -18 milliards de DH, l</w:t>
            </w:r>
            <w:r w:rsidRPr="00C97BC6">
              <w:rPr>
                <w:rFonts w:ascii="Calibri" w:hAnsi="Calibri"/>
                <w:sz w:val="26"/>
                <w:szCs w:val="26"/>
              </w:rPr>
              <w:t xml:space="preserve">e solde des échanges extérieurs de biens et de services de 2014 est resté pratiquement stable entre les deux </w:t>
            </w:r>
            <w:r w:rsidR="00E07C3F" w:rsidRPr="00C97BC6">
              <w:rPr>
                <w:rFonts w:ascii="Calibri" w:hAnsi="Calibri"/>
                <w:sz w:val="26"/>
                <w:szCs w:val="26"/>
              </w:rPr>
              <w:t>bases (</w:t>
            </w:r>
            <w:r w:rsidRPr="00C97BC6">
              <w:rPr>
                <w:rFonts w:ascii="Calibri" w:hAnsi="Calibri"/>
                <w:sz w:val="26"/>
                <w:szCs w:val="26"/>
              </w:rPr>
              <w:t xml:space="preserve">116,4 milliards de DH en base 2014 contre 115,7 milliards </w:t>
            </w:r>
            <w:r w:rsidR="00E07C3F" w:rsidRPr="00C97BC6">
              <w:rPr>
                <w:rFonts w:ascii="Calibri" w:hAnsi="Calibri"/>
                <w:sz w:val="26"/>
                <w:szCs w:val="26"/>
              </w:rPr>
              <w:t>en base</w:t>
            </w:r>
            <w:r w:rsidRPr="00C97BC6">
              <w:rPr>
                <w:rFonts w:ascii="Calibri" w:hAnsi="Calibri"/>
                <w:sz w:val="26"/>
                <w:szCs w:val="26"/>
              </w:rPr>
              <w:t xml:space="preserve"> 2007)</w:t>
            </w:r>
          </w:p>
          <w:p w:rsidR="00C97BC6" w:rsidRPr="00C97BC6" w:rsidRDefault="00C97BC6" w:rsidP="00C97BC6">
            <w:pPr>
              <w:pStyle w:val="Paragraphedeliste"/>
              <w:spacing w:before="120" w:line="360" w:lineRule="exact"/>
              <w:ind w:left="0"/>
              <w:jc w:val="both"/>
              <w:rPr>
                <w:rFonts w:ascii="Calibri" w:hAnsi="Calibri"/>
                <w:sz w:val="26"/>
                <w:szCs w:val="26"/>
              </w:rPr>
            </w:pPr>
            <w:r w:rsidRPr="00C97BC6">
              <w:rPr>
                <w:rFonts w:ascii="Calibri" w:hAnsi="Calibri"/>
                <w:sz w:val="26"/>
                <w:szCs w:val="26"/>
              </w:rPr>
              <w:lastRenderedPageBreak/>
              <w:t xml:space="preserve">La révision du niveau des exportations et des importations est </w:t>
            </w:r>
            <w:r w:rsidR="003C1119" w:rsidRPr="00C97BC6">
              <w:rPr>
                <w:rFonts w:ascii="Calibri" w:hAnsi="Calibri"/>
                <w:sz w:val="26"/>
                <w:szCs w:val="26"/>
              </w:rPr>
              <w:t>d</w:t>
            </w:r>
            <w:r w:rsidR="003C1119">
              <w:rPr>
                <w:rFonts w:ascii="Calibri" w:hAnsi="Calibri"/>
                <w:sz w:val="26"/>
                <w:szCs w:val="26"/>
              </w:rPr>
              <w:t>u</w:t>
            </w:r>
            <w:r w:rsidR="003C1119" w:rsidRPr="00C97BC6">
              <w:rPr>
                <w:rFonts w:ascii="Calibri" w:hAnsi="Calibri"/>
                <w:sz w:val="26"/>
                <w:szCs w:val="26"/>
              </w:rPr>
              <w:t>e</w:t>
            </w:r>
            <w:r w:rsidRPr="00C97BC6">
              <w:rPr>
                <w:rFonts w:ascii="Calibri" w:hAnsi="Calibri"/>
                <w:sz w:val="26"/>
                <w:szCs w:val="26"/>
              </w:rPr>
              <w:t xml:space="preserve"> spécialement à l’utilisation </w:t>
            </w:r>
            <w:r w:rsidR="00850163">
              <w:rPr>
                <w:rFonts w:ascii="Calibri" w:hAnsi="Calibri"/>
                <w:sz w:val="26"/>
                <w:szCs w:val="26"/>
              </w:rPr>
              <w:t>de</w:t>
            </w:r>
            <w:r w:rsidRPr="00C97BC6">
              <w:rPr>
                <w:rFonts w:ascii="Calibri" w:hAnsi="Calibri"/>
                <w:sz w:val="26"/>
                <w:szCs w:val="26"/>
              </w:rPr>
              <w:t xml:space="preserve"> la 6</w:t>
            </w:r>
            <w:r w:rsidRPr="00C97BC6">
              <w:rPr>
                <w:rFonts w:ascii="Calibri" w:hAnsi="Calibri"/>
                <w:sz w:val="26"/>
                <w:szCs w:val="26"/>
                <w:vertAlign w:val="superscript"/>
              </w:rPr>
              <w:t>ème</w:t>
            </w:r>
            <w:r w:rsidRPr="00C97BC6">
              <w:rPr>
                <w:rFonts w:ascii="Calibri" w:hAnsi="Calibri"/>
                <w:sz w:val="26"/>
                <w:szCs w:val="26"/>
              </w:rPr>
              <w:t xml:space="preserve"> version de la balance des paiements.</w:t>
            </w:r>
          </w:p>
          <w:p w:rsidR="00C97BC6" w:rsidRPr="00C97BC6" w:rsidRDefault="00C97BC6" w:rsidP="00C97BC6">
            <w:pPr>
              <w:pStyle w:val="Paragraphedeliste"/>
              <w:spacing w:before="120" w:line="360" w:lineRule="exact"/>
              <w:ind w:left="0"/>
              <w:jc w:val="both"/>
              <w:rPr>
                <w:rFonts w:ascii="Calibri" w:hAnsi="Calibri"/>
              </w:rPr>
            </w:pPr>
          </w:p>
          <w:p w:rsidR="00C97BC6" w:rsidRPr="00C97BC6" w:rsidRDefault="00C97BC6" w:rsidP="00C97BC6">
            <w:pPr>
              <w:pStyle w:val="Paragraphedeliste"/>
              <w:numPr>
                <w:ilvl w:val="0"/>
                <w:numId w:val="17"/>
              </w:numPr>
              <w:autoSpaceDE w:val="0"/>
              <w:autoSpaceDN w:val="0"/>
              <w:adjustRightInd w:val="0"/>
              <w:spacing w:line="360" w:lineRule="exact"/>
              <w:jc w:val="both"/>
              <w:rPr>
                <w:rFonts w:ascii="Arial" w:hAnsi="Arial" w:cs="Arial"/>
                <w:b/>
                <w:color w:val="222A35"/>
                <w:sz w:val="28"/>
                <w:szCs w:val="28"/>
              </w:rPr>
            </w:pPr>
            <w:r w:rsidRPr="00C97BC6">
              <w:rPr>
                <w:rFonts w:ascii="Arial" w:hAnsi="Arial" w:cs="Arial"/>
                <w:b/>
                <w:color w:val="222A35"/>
                <w:sz w:val="28"/>
                <w:szCs w:val="28"/>
              </w:rPr>
              <w:t>Au niveau de l’offre</w:t>
            </w:r>
          </w:p>
          <w:p w:rsidR="00C97BC6" w:rsidRPr="00757868" w:rsidRDefault="00C97BC6" w:rsidP="00FA5473">
            <w:pPr>
              <w:spacing w:before="120" w:line="360" w:lineRule="exact"/>
              <w:jc w:val="both"/>
              <w:rPr>
                <w:rFonts w:ascii="Arial" w:hAnsi="Arial" w:cs="Arial"/>
                <w:b/>
                <w:color w:val="C00000"/>
              </w:rPr>
            </w:pPr>
            <w:r w:rsidRPr="00DF2BF0">
              <w:rPr>
                <w:rFonts w:ascii="Calibri" w:hAnsi="Calibri" w:cs="Calibri"/>
                <w:b/>
                <w:color w:val="C00000"/>
              </w:rPr>
              <w:t xml:space="preserve">La valeur ajoutée des sociétés non financières réévaluée </w:t>
            </w:r>
            <w:r w:rsidR="001C033E">
              <w:rPr>
                <w:rFonts w:ascii="Calibri" w:hAnsi="Calibri" w:cs="Calibri"/>
                <w:b/>
                <w:color w:val="C00000"/>
              </w:rPr>
              <w:t>à</w:t>
            </w:r>
            <w:r w:rsidRPr="00DF2BF0">
              <w:rPr>
                <w:rFonts w:ascii="Calibri" w:hAnsi="Calibri" w:cs="Calibri"/>
                <w:b/>
                <w:color w:val="C00000"/>
              </w:rPr>
              <w:t xml:space="preserve"> la hausse de 13,9%</w:t>
            </w:r>
          </w:p>
          <w:p w:rsidR="00C97BC6" w:rsidRDefault="00C97BC6" w:rsidP="00F122E2">
            <w:pPr>
              <w:spacing w:before="120" w:after="240" w:line="360" w:lineRule="exact"/>
              <w:jc w:val="both"/>
              <w:rPr>
                <w:rFonts w:ascii="Calibri" w:hAnsi="Calibri"/>
                <w:sz w:val="26"/>
                <w:szCs w:val="26"/>
              </w:rPr>
            </w:pPr>
            <w:r w:rsidRPr="00C97BC6">
              <w:rPr>
                <w:rFonts w:ascii="Calibri" w:hAnsi="Calibri"/>
                <w:sz w:val="26"/>
                <w:szCs w:val="26"/>
              </w:rPr>
              <w:t>La valeur ajoutée (VA) totale est rehaussée de 79,8 milliards de DH soit 9,6% de plus par rapport aux comptes de l’ancienne base 2007. Par secteur institutionnel, les entreprises non financières ont vu leur VA, par rapport à l’ancienne base, augmenter de 13,9%</w:t>
            </w:r>
            <w:r w:rsidR="000C51EA">
              <w:rPr>
                <w:rFonts w:ascii="Calibri" w:hAnsi="Calibri"/>
                <w:sz w:val="26"/>
                <w:szCs w:val="26"/>
              </w:rPr>
              <w:t>.</w:t>
            </w:r>
            <w:r w:rsidRPr="00C97BC6">
              <w:rPr>
                <w:rFonts w:ascii="Calibri" w:hAnsi="Calibri"/>
                <w:sz w:val="26"/>
                <w:szCs w:val="26"/>
              </w:rPr>
              <w:t xml:space="preserve"> </w:t>
            </w:r>
            <w:r w:rsidR="000C51EA">
              <w:rPr>
                <w:rFonts w:ascii="Calibri" w:hAnsi="Calibri"/>
                <w:sz w:val="26"/>
                <w:szCs w:val="26"/>
              </w:rPr>
              <w:t>C</w:t>
            </w:r>
            <w:r w:rsidRPr="00C97BC6">
              <w:rPr>
                <w:rFonts w:ascii="Calibri" w:hAnsi="Calibri"/>
                <w:sz w:val="26"/>
                <w:szCs w:val="26"/>
              </w:rPr>
              <w:t xml:space="preserve">eci est </w:t>
            </w:r>
            <w:r w:rsidR="00A046A5" w:rsidRPr="00C97BC6">
              <w:rPr>
                <w:rFonts w:ascii="Calibri" w:hAnsi="Calibri"/>
                <w:sz w:val="26"/>
                <w:szCs w:val="26"/>
              </w:rPr>
              <w:t>dû</w:t>
            </w:r>
            <w:r w:rsidRPr="00C97BC6">
              <w:rPr>
                <w:rFonts w:ascii="Calibri" w:hAnsi="Calibri"/>
                <w:sz w:val="26"/>
                <w:szCs w:val="26"/>
              </w:rPr>
              <w:t xml:space="preserve"> à l’effort fournit dans l’amélioration de l’estimation des comptes de ce secteur à travers l’exploitation des nouvelles enquêtes de structures. Les ménages ont, de leur part, enregistré une hausse de la VA de 26,8 milliards de DH expliquée spécialement par le nouveau niveau des loyers fictifs tiré de l’enquête nationale sur </w:t>
            </w:r>
            <w:r w:rsidR="003C1119">
              <w:rPr>
                <w:rFonts w:ascii="Calibri" w:hAnsi="Calibri"/>
                <w:sz w:val="26"/>
                <w:szCs w:val="26"/>
              </w:rPr>
              <w:t xml:space="preserve">la consommation et </w:t>
            </w:r>
            <w:r w:rsidRPr="00C97BC6">
              <w:rPr>
                <w:rFonts w:ascii="Calibri" w:hAnsi="Calibri"/>
                <w:sz w:val="26"/>
                <w:szCs w:val="26"/>
              </w:rPr>
              <w:t>les dépenses des ménages.</w:t>
            </w:r>
          </w:p>
          <w:p w:rsidR="00C97BC6" w:rsidRDefault="00C97BC6" w:rsidP="0055397C">
            <w:pPr>
              <w:spacing w:line="360" w:lineRule="exact"/>
              <w:jc w:val="both"/>
              <w:rPr>
                <w:rFonts w:ascii="Calibri" w:hAnsi="Calibri"/>
                <w:sz w:val="26"/>
                <w:szCs w:val="26"/>
              </w:rPr>
            </w:pPr>
            <w:r w:rsidRPr="00C97BC6">
              <w:rPr>
                <w:rFonts w:ascii="Calibri" w:hAnsi="Calibri"/>
                <w:sz w:val="26"/>
                <w:szCs w:val="26"/>
              </w:rPr>
              <w:t xml:space="preserve">Par ailleurs, les Administrations Publiques, les Sociétés Financières et </w:t>
            </w:r>
            <w:r w:rsidR="0055397C" w:rsidRPr="0055397C">
              <w:rPr>
                <w:rFonts w:ascii="Calibri" w:hAnsi="Calibri"/>
                <w:sz w:val="26"/>
                <w:szCs w:val="26"/>
              </w:rPr>
              <w:t xml:space="preserve">les Institutions Sans But Lucratif au service des ménages (ISBLSM) </w:t>
            </w:r>
            <w:r w:rsidRPr="00C97BC6">
              <w:rPr>
                <w:rFonts w:ascii="Calibri" w:hAnsi="Calibri"/>
                <w:sz w:val="26"/>
                <w:szCs w:val="26"/>
              </w:rPr>
              <w:t>ont vu leur</w:t>
            </w:r>
            <w:r w:rsidR="00F122E2">
              <w:rPr>
                <w:rFonts w:ascii="Calibri" w:hAnsi="Calibri"/>
                <w:sz w:val="26"/>
                <w:szCs w:val="26"/>
              </w:rPr>
              <w:t>s</w:t>
            </w:r>
            <w:r w:rsidRPr="00C97BC6">
              <w:rPr>
                <w:rFonts w:ascii="Calibri" w:hAnsi="Calibri"/>
                <w:sz w:val="26"/>
                <w:szCs w:val="26"/>
              </w:rPr>
              <w:t xml:space="preserve"> VA légèrement révisée</w:t>
            </w:r>
            <w:r w:rsidR="00F122E2">
              <w:rPr>
                <w:rFonts w:ascii="Calibri" w:hAnsi="Calibri"/>
                <w:sz w:val="26"/>
                <w:szCs w:val="26"/>
              </w:rPr>
              <w:t>s</w:t>
            </w:r>
            <w:r w:rsidRPr="00C97BC6">
              <w:rPr>
                <w:rFonts w:ascii="Calibri" w:hAnsi="Calibri"/>
                <w:sz w:val="26"/>
                <w:szCs w:val="26"/>
              </w:rPr>
              <w:t xml:space="preserve"> à la hausse de 2,</w:t>
            </w:r>
            <w:r w:rsidR="00F122E2">
              <w:rPr>
                <w:rFonts w:ascii="Calibri" w:hAnsi="Calibri"/>
                <w:sz w:val="26"/>
                <w:szCs w:val="26"/>
              </w:rPr>
              <w:t>9</w:t>
            </w:r>
            <w:r w:rsidR="001C033E">
              <w:rPr>
                <w:rFonts w:ascii="Calibri" w:hAnsi="Calibri"/>
                <w:sz w:val="26"/>
                <w:szCs w:val="26"/>
              </w:rPr>
              <w:t xml:space="preserve"> </w:t>
            </w:r>
            <w:r w:rsidRPr="00C97BC6">
              <w:rPr>
                <w:rFonts w:ascii="Calibri" w:hAnsi="Calibri"/>
                <w:sz w:val="26"/>
                <w:szCs w:val="26"/>
              </w:rPr>
              <w:t xml:space="preserve">, </w:t>
            </w:r>
            <w:r w:rsidR="001C033E">
              <w:rPr>
                <w:rFonts w:ascii="Calibri" w:hAnsi="Calibri"/>
                <w:sz w:val="26"/>
                <w:szCs w:val="26"/>
              </w:rPr>
              <w:t xml:space="preserve"> </w:t>
            </w:r>
            <w:r w:rsidRPr="00C97BC6">
              <w:rPr>
                <w:rFonts w:ascii="Calibri" w:hAnsi="Calibri"/>
                <w:sz w:val="26"/>
                <w:szCs w:val="26"/>
              </w:rPr>
              <w:t xml:space="preserve">0,4 et 0,2 </w:t>
            </w:r>
            <w:r w:rsidR="00F122E2">
              <w:rPr>
                <w:rFonts w:ascii="Calibri" w:hAnsi="Calibri"/>
                <w:sz w:val="26"/>
                <w:szCs w:val="26"/>
              </w:rPr>
              <w:t xml:space="preserve">MMDH </w:t>
            </w:r>
            <w:r w:rsidRPr="00C97BC6">
              <w:rPr>
                <w:rFonts w:ascii="Calibri" w:hAnsi="Calibri"/>
                <w:sz w:val="26"/>
                <w:szCs w:val="26"/>
              </w:rPr>
              <w:t>successivement.</w:t>
            </w:r>
          </w:p>
          <w:p w:rsidR="00F122E2" w:rsidRDefault="00F122E2" w:rsidP="00C97BC6">
            <w:pPr>
              <w:spacing w:before="120"/>
              <w:jc w:val="center"/>
              <w:rPr>
                <w:rFonts w:ascii="Calibri" w:eastAsia="Calibri" w:hAnsi="Calibri"/>
                <w:b/>
                <w:lang w:eastAsia="en-US"/>
              </w:rPr>
            </w:pPr>
          </w:p>
          <w:p w:rsidR="00C97BC6" w:rsidRPr="00C97BC6" w:rsidRDefault="00C97BC6" w:rsidP="00C97BC6">
            <w:pPr>
              <w:spacing w:before="120"/>
              <w:jc w:val="center"/>
              <w:rPr>
                <w:rFonts w:ascii="Calibri" w:eastAsia="Calibri" w:hAnsi="Calibri"/>
                <w:b/>
                <w:lang w:eastAsia="en-US"/>
              </w:rPr>
            </w:pPr>
            <w:r w:rsidRPr="00C97BC6">
              <w:rPr>
                <w:rFonts w:ascii="Calibri" w:eastAsia="Calibri" w:hAnsi="Calibri"/>
                <w:b/>
                <w:lang w:eastAsia="en-US"/>
              </w:rPr>
              <w:t xml:space="preserve">Valeurs </w:t>
            </w:r>
            <w:r w:rsidR="00476423" w:rsidRPr="00C97BC6">
              <w:rPr>
                <w:rFonts w:ascii="Calibri" w:eastAsia="Calibri" w:hAnsi="Calibri"/>
                <w:b/>
                <w:lang w:eastAsia="en-US"/>
              </w:rPr>
              <w:t>ajoutées de</w:t>
            </w:r>
            <w:r w:rsidRPr="00C97BC6">
              <w:rPr>
                <w:rFonts w:ascii="Calibri" w:eastAsia="Calibri" w:hAnsi="Calibri"/>
                <w:b/>
                <w:lang w:eastAsia="en-US"/>
              </w:rPr>
              <w:t xml:space="preserve"> l'année 2014 en millions de DH par secteur</w:t>
            </w:r>
          </w:p>
          <w:p w:rsidR="00C97BC6" w:rsidRPr="00C97BC6" w:rsidRDefault="00C97BC6" w:rsidP="00C97BC6">
            <w:pPr>
              <w:spacing w:before="120"/>
              <w:jc w:val="center"/>
              <w:rPr>
                <w:rFonts w:ascii="Calibri" w:eastAsia="Calibri" w:hAnsi="Calibri"/>
                <w:b/>
                <w:lang w:eastAsia="en-US"/>
              </w:rPr>
            </w:pPr>
            <w:r w:rsidRPr="00C97BC6">
              <w:rPr>
                <w:rFonts w:ascii="Calibri" w:eastAsia="Calibri" w:hAnsi="Calibri"/>
                <w:b/>
                <w:lang w:eastAsia="en-US"/>
              </w:rPr>
              <w:t xml:space="preserve"> Institutionnel</w:t>
            </w:r>
          </w:p>
          <w:tbl>
            <w:tblPr>
              <w:tblW w:w="8922" w:type="dxa"/>
              <w:tblInd w:w="57" w:type="dxa"/>
              <w:tblCellMar>
                <w:left w:w="70" w:type="dxa"/>
                <w:right w:w="70" w:type="dxa"/>
              </w:tblCellMar>
              <w:tblLook w:val="04A0"/>
            </w:tblPr>
            <w:tblGrid>
              <w:gridCol w:w="2642"/>
              <w:gridCol w:w="385"/>
              <w:gridCol w:w="1063"/>
              <w:gridCol w:w="444"/>
              <w:gridCol w:w="1063"/>
              <w:gridCol w:w="444"/>
              <w:gridCol w:w="1134"/>
              <w:gridCol w:w="247"/>
              <w:gridCol w:w="1500"/>
            </w:tblGrid>
            <w:tr w:rsidR="00C97BC6" w:rsidRPr="004C0F54" w:rsidTr="00A9031A">
              <w:trPr>
                <w:trHeight w:hRule="exact" w:val="287"/>
              </w:trPr>
              <w:tc>
                <w:tcPr>
                  <w:tcW w:w="2642" w:type="dxa"/>
                  <w:tcBorders>
                    <w:top w:val="nil"/>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Secteur institutionnel</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Arial" w:hAnsi="Arial" w:cs="Arial"/>
                      <w:b/>
                      <w:bCs/>
                      <w:color w:val="800080"/>
                    </w:rPr>
                  </w:pPr>
                </w:p>
              </w:tc>
              <w:tc>
                <w:tcPr>
                  <w:tcW w:w="1063"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Base 2014</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Base 2007</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134"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Ecart</w:t>
                  </w:r>
                </w:p>
              </w:tc>
              <w:tc>
                <w:tcPr>
                  <w:tcW w:w="247"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500"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rPr>
                      <w:rFonts w:ascii="Calibri" w:hAnsi="Calibri" w:cs="Arial"/>
                      <w:b/>
                      <w:bCs/>
                      <w:color w:val="800080"/>
                    </w:rPr>
                  </w:pPr>
                  <w:r w:rsidRPr="004C0F54">
                    <w:rPr>
                      <w:rFonts w:ascii="Calibri" w:hAnsi="Calibri" w:cs="Arial"/>
                      <w:b/>
                      <w:bCs/>
                      <w:color w:val="800080"/>
                    </w:rPr>
                    <w:t>Ecart en %</w:t>
                  </w:r>
                </w:p>
              </w:tc>
            </w:tr>
            <w:tr w:rsidR="00C97BC6" w:rsidRPr="004C0F54" w:rsidTr="00A9031A">
              <w:trPr>
                <w:trHeight w:hRule="exact" w:val="274"/>
              </w:trPr>
              <w:tc>
                <w:tcPr>
                  <w:tcW w:w="2642" w:type="dxa"/>
                  <w:tcBorders>
                    <w:top w:val="nil"/>
                    <w:left w:val="nil"/>
                    <w:bottom w:val="nil"/>
                    <w:right w:val="nil"/>
                  </w:tcBorders>
                  <w:shd w:val="clear" w:color="000000" w:fill="FFFFFF"/>
                  <w:vAlign w:val="bottom"/>
                  <w:hideMark/>
                </w:tcPr>
                <w:p w:rsidR="00C97BC6" w:rsidRPr="004C0F54" w:rsidRDefault="00C97BC6" w:rsidP="00C97BC6">
                  <w:pPr>
                    <w:rPr>
                      <w:rFonts w:ascii="Calibri" w:hAnsi="Calibri" w:cs="Arial"/>
                    </w:rPr>
                  </w:pPr>
                  <w:r w:rsidRPr="004C0F54">
                    <w:rPr>
                      <w:rFonts w:ascii="Calibri" w:hAnsi="Calibri" w:cs="Arial"/>
                      <w:sz w:val="22"/>
                      <w:szCs w:val="22"/>
                    </w:rPr>
                    <w:t>Sociétés Non Financières</w:t>
                  </w:r>
                </w:p>
              </w:tc>
              <w:tc>
                <w:tcPr>
                  <w:tcW w:w="385" w:type="dxa"/>
                  <w:tcBorders>
                    <w:top w:val="nil"/>
                    <w:left w:val="nil"/>
                    <w:bottom w:val="nil"/>
                    <w:right w:val="nil"/>
                  </w:tcBorders>
                  <w:shd w:val="clear" w:color="000000" w:fill="FFFFFF"/>
                  <w:vAlign w:val="bottom"/>
                  <w:hideMark/>
                </w:tcPr>
                <w:p w:rsidR="00C97BC6" w:rsidRPr="004C0F54" w:rsidRDefault="00C97BC6" w:rsidP="00C97BC6">
                  <w:pPr>
                    <w:jc w:val="center"/>
                    <w:rPr>
                      <w:rFonts w:ascii="Calibri" w:hAnsi="Calibri" w:cs="Arial"/>
                    </w:rPr>
                  </w:pPr>
                  <w:r w:rsidRPr="004C0F54">
                    <w:rPr>
                      <w:rFonts w:ascii="Calibri" w:hAnsi="Calibri" w:cs="Arial"/>
                    </w:rPr>
                    <w:t> </w:t>
                  </w: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404 538</w:t>
                  </w:r>
                </w:p>
              </w:tc>
              <w:tc>
                <w:tcPr>
                  <w:tcW w:w="444" w:type="dxa"/>
                  <w:tcBorders>
                    <w:top w:val="nil"/>
                    <w:left w:val="nil"/>
                    <w:bottom w:val="nil"/>
                    <w:right w:val="nil"/>
                  </w:tcBorders>
                  <w:shd w:val="clear" w:color="000000" w:fill="FFFFFF"/>
                  <w:vAlign w:val="bottom"/>
                  <w:hideMark/>
                </w:tcPr>
                <w:p w:rsidR="00C97BC6" w:rsidRPr="004C0F54" w:rsidRDefault="00C97BC6" w:rsidP="00C97BC6">
                  <w:pPr>
                    <w:jc w:val="center"/>
                    <w:rPr>
                      <w:rFonts w:ascii="Calibri" w:hAnsi="Calibri" w:cs="Arial"/>
                    </w:rPr>
                  </w:pPr>
                  <w:r w:rsidRPr="004C0F54">
                    <w:rPr>
                      <w:rFonts w:ascii="Calibri" w:hAnsi="Calibri" w:cs="Arial"/>
                    </w:rPr>
                    <w:t> </w:t>
                  </w: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355 113</w:t>
                  </w:r>
                </w:p>
              </w:tc>
              <w:tc>
                <w:tcPr>
                  <w:tcW w:w="44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rPr>
                    <w:t> </w:t>
                  </w: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49 425</w:t>
                  </w:r>
                </w:p>
              </w:tc>
              <w:tc>
                <w:tcPr>
                  <w:tcW w:w="247"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rPr>
                    <w:t> </w:t>
                  </w: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13,9</w:t>
                  </w:r>
                </w:p>
              </w:tc>
            </w:tr>
            <w:tr w:rsidR="00C97BC6" w:rsidRPr="004C0F54" w:rsidTr="00A9031A">
              <w:trPr>
                <w:trHeight w:val="262"/>
              </w:trPr>
              <w:tc>
                <w:tcPr>
                  <w:tcW w:w="264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Sociétés Financières</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44 395</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44 003</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392</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0,9</w:t>
                  </w:r>
                </w:p>
              </w:tc>
            </w:tr>
            <w:tr w:rsidR="00C97BC6" w:rsidRPr="004C0F54" w:rsidTr="00A9031A">
              <w:trPr>
                <w:trHeight w:val="262"/>
              </w:trPr>
              <w:tc>
                <w:tcPr>
                  <w:tcW w:w="264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Administrations Publiques</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157 120</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154 183</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2 937</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1,9</w:t>
                  </w:r>
                </w:p>
              </w:tc>
            </w:tr>
            <w:tr w:rsidR="00C97BC6" w:rsidRPr="004C0F54" w:rsidTr="00A9031A">
              <w:trPr>
                <w:trHeight w:val="262"/>
              </w:trPr>
              <w:tc>
                <w:tcPr>
                  <w:tcW w:w="264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Ménages</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302 729</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275 883</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26 846</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9,7</w:t>
                  </w:r>
                </w:p>
              </w:tc>
            </w:tr>
            <w:tr w:rsidR="00C97BC6" w:rsidRPr="004C0F54" w:rsidTr="00A9031A">
              <w:trPr>
                <w:trHeight w:val="262"/>
              </w:trPr>
              <w:tc>
                <w:tcPr>
                  <w:tcW w:w="2642" w:type="dxa"/>
                  <w:tcBorders>
                    <w:top w:val="nil"/>
                    <w:left w:val="nil"/>
                    <w:bottom w:val="nil"/>
                    <w:right w:val="nil"/>
                  </w:tcBorders>
                  <w:shd w:val="clear" w:color="auto" w:fill="auto"/>
                  <w:vAlign w:val="bottom"/>
                  <w:hideMark/>
                </w:tcPr>
                <w:p w:rsidR="00C97BC6" w:rsidRPr="004C0F54" w:rsidRDefault="000C0BE1" w:rsidP="00C97BC6">
                  <w:pPr>
                    <w:rPr>
                      <w:rFonts w:ascii="Calibri" w:hAnsi="Calibri" w:cs="Arial"/>
                    </w:rPr>
                  </w:pPr>
                  <w:r>
                    <w:rPr>
                      <w:rFonts w:ascii="Calibri" w:hAnsi="Calibri" w:cs="Arial"/>
                      <w:sz w:val="22"/>
                      <w:szCs w:val="22"/>
                    </w:rPr>
                    <w:t>ISBL</w:t>
                  </w:r>
                  <w:r w:rsidR="00C97BC6" w:rsidRPr="004C0F54">
                    <w:rPr>
                      <w:rFonts w:ascii="Calibri" w:hAnsi="Calibri" w:cs="Arial"/>
                      <w:sz w:val="22"/>
                      <w:szCs w:val="22"/>
                    </w:rPr>
                    <w:t>SM</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1 754</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1 526</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228</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14,9</w:t>
                  </w:r>
                </w:p>
              </w:tc>
            </w:tr>
            <w:tr w:rsidR="00C97BC6" w:rsidRPr="004C0F54" w:rsidTr="00A9031A">
              <w:trPr>
                <w:trHeight w:val="262"/>
              </w:trPr>
              <w:tc>
                <w:tcPr>
                  <w:tcW w:w="264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Valeur ajoutée totale</w:t>
                  </w:r>
                </w:p>
              </w:tc>
              <w:tc>
                <w:tcPr>
                  <w:tcW w:w="385"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910 536</w:t>
                  </w:r>
                </w:p>
              </w:tc>
              <w:tc>
                <w:tcPr>
                  <w:tcW w:w="444" w:type="dxa"/>
                  <w:tcBorders>
                    <w:top w:val="nil"/>
                    <w:left w:val="nil"/>
                    <w:bottom w:val="nil"/>
                    <w:right w:val="nil"/>
                  </w:tcBorders>
                  <w:shd w:val="clear" w:color="auto" w:fill="auto"/>
                  <w:vAlign w:val="bottom"/>
                  <w:hideMark/>
                </w:tcPr>
                <w:p w:rsidR="00C97BC6" w:rsidRPr="004C0F54" w:rsidRDefault="00C97BC6" w:rsidP="00C97BC6">
                  <w:pPr>
                    <w:jc w:val="center"/>
                    <w:rPr>
                      <w:rFonts w:ascii="Calibri" w:hAnsi="Calibri" w:cs="Arial"/>
                    </w:rPr>
                  </w:pPr>
                </w:p>
              </w:tc>
              <w:tc>
                <w:tcPr>
                  <w:tcW w:w="106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830 708</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134"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79 828</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p>
              </w:tc>
              <w:tc>
                <w:tcPr>
                  <w:tcW w:w="15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9,6</w:t>
                  </w:r>
                </w:p>
              </w:tc>
            </w:tr>
            <w:tr w:rsidR="00C97BC6" w:rsidRPr="004C0F54" w:rsidTr="00A9031A">
              <w:trPr>
                <w:trHeight w:hRule="exact" w:val="274"/>
              </w:trPr>
              <w:tc>
                <w:tcPr>
                  <w:tcW w:w="2642" w:type="dxa"/>
                  <w:tcBorders>
                    <w:top w:val="nil"/>
                    <w:left w:val="nil"/>
                    <w:bottom w:val="single" w:sz="12" w:space="0" w:color="76923C"/>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rPr>
                    <w:t> </w:t>
                  </w:r>
                </w:p>
              </w:tc>
              <w:tc>
                <w:tcPr>
                  <w:tcW w:w="385"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sz w:val="16"/>
                      <w:szCs w:val="16"/>
                    </w:rPr>
                  </w:pPr>
                </w:p>
              </w:tc>
              <w:tc>
                <w:tcPr>
                  <w:tcW w:w="1063"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p>
              </w:tc>
              <w:tc>
                <w:tcPr>
                  <w:tcW w:w="1063"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c>
                <w:tcPr>
                  <w:tcW w:w="444"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p>
              </w:tc>
              <w:tc>
                <w:tcPr>
                  <w:tcW w:w="1134" w:type="dxa"/>
                  <w:tcBorders>
                    <w:top w:val="nil"/>
                    <w:left w:val="nil"/>
                    <w:bottom w:val="single" w:sz="12" w:space="0" w:color="76923C"/>
                    <w:right w:val="nil"/>
                  </w:tcBorders>
                  <w:shd w:val="clear" w:color="auto" w:fill="auto"/>
                  <w:vAlign w:val="bottom"/>
                  <w:hideMark/>
                </w:tcPr>
                <w:p w:rsidR="00C97BC6" w:rsidRPr="004C0F54" w:rsidRDefault="00C97BC6" w:rsidP="00C97BC6">
                  <w:pPr>
                    <w:jc w:val="center"/>
                  </w:pPr>
                  <w:r w:rsidRPr="004C0F54">
                    <w:rPr>
                      <w:rFonts w:cs="Arial"/>
                    </w:rPr>
                    <w:t> </w:t>
                  </w:r>
                </w:p>
              </w:tc>
              <w:tc>
                <w:tcPr>
                  <w:tcW w:w="247" w:type="dxa"/>
                  <w:tcBorders>
                    <w:top w:val="nil"/>
                    <w:left w:val="nil"/>
                    <w:bottom w:val="nil"/>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p>
              </w:tc>
              <w:tc>
                <w:tcPr>
                  <w:tcW w:w="1500"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r>
          </w:tbl>
          <w:p w:rsidR="00C97BC6" w:rsidRPr="00C97BC6" w:rsidRDefault="00C97BC6" w:rsidP="00C97BC6">
            <w:pPr>
              <w:pStyle w:val="Paragraphedeliste"/>
              <w:autoSpaceDE w:val="0"/>
              <w:autoSpaceDN w:val="0"/>
              <w:adjustRightInd w:val="0"/>
              <w:spacing w:line="360" w:lineRule="exact"/>
              <w:ind w:left="1080"/>
              <w:jc w:val="both"/>
              <w:rPr>
                <w:rFonts w:ascii="Arial" w:hAnsi="Arial" w:cs="Arial"/>
                <w:b/>
                <w:color w:val="222A35"/>
                <w:sz w:val="28"/>
                <w:szCs w:val="28"/>
              </w:rPr>
            </w:pPr>
          </w:p>
          <w:p w:rsidR="00C97BC6" w:rsidRPr="00C97BC6" w:rsidRDefault="00C97BC6" w:rsidP="00C97BC6">
            <w:pPr>
              <w:pStyle w:val="Paragraphedeliste"/>
              <w:numPr>
                <w:ilvl w:val="0"/>
                <w:numId w:val="17"/>
              </w:numPr>
              <w:autoSpaceDE w:val="0"/>
              <w:autoSpaceDN w:val="0"/>
              <w:adjustRightInd w:val="0"/>
              <w:spacing w:after="240" w:line="360" w:lineRule="exact"/>
              <w:ind w:left="1077"/>
              <w:jc w:val="both"/>
              <w:rPr>
                <w:rFonts w:ascii="Arial" w:hAnsi="Arial" w:cs="Arial"/>
                <w:b/>
                <w:color w:val="222A35"/>
                <w:sz w:val="28"/>
                <w:szCs w:val="28"/>
              </w:rPr>
            </w:pPr>
            <w:r w:rsidRPr="00C97BC6">
              <w:rPr>
                <w:rFonts w:ascii="Arial" w:hAnsi="Arial" w:cs="Arial"/>
                <w:b/>
                <w:color w:val="222A35"/>
                <w:sz w:val="28"/>
                <w:szCs w:val="28"/>
              </w:rPr>
              <w:t>Au niveau des revenus</w:t>
            </w:r>
          </w:p>
          <w:p w:rsidR="00C97BC6" w:rsidRPr="00DF2BF0" w:rsidRDefault="00C97BC6" w:rsidP="00C97BC6">
            <w:pPr>
              <w:spacing w:line="360" w:lineRule="exact"/>
              <w:jc w:val="both"/>
              <w:rPr>
                <w:rFonts w:ascii="Calibri" w:hAnsi="Calibri" w:cs="Calibri"/>
                <w:b/>
                <w:color w:val="C00000"/>
                <w:sz w:val="26"/>
                <w:szCs w:val="26"/>
              </w:rPr>
            </w:pPr>
            <w:r w:rsidRPr="00DF2BF0">
              <w:rPr>
                <w:rFonts w:ascii="Calibri" w:hAnsi="Calibri" w:cs="Calibri"/>
                <w:b/>
                <w:color w:val="C00000"/>
                <w:sz w:val="26"/>
                <w:szCs w:val="26"/>
              </w:rPr>
              <w:t xml:space="preserve">La rémunération des salariés révisée à la hausse de 14,7%  </w:t>
            </w:r>
          </w:p>
          <w:p w:rsidR="00C97BC6" w:rsidRPr="00C97BC6" w:rsidRDefault="00C97BC6" w:rsidP="00C97BC6">
            <w:pPr>
              <w:pStyle w:val="Paragraphedeliste"/>
              <w:spacing w:before="120" w:line="360" w:lineRule="exact"/>
              <w:ind w:left="0"/>
              <w:jc w:val="both"/>
              <w:rPr>
                <w:rFonts w:ascii="Calibri" w:hAnsi="Calibri"/>
                <w:sz w:val="26"/>
                <w:szCs w:val="26"/>
              </w:rPr>
            </w:pPr>
            <w:r w:rsidRPr="00C97BC6">
              <w:rPr>
                <w:rFonts w:ascii="Calibri" w:hAnsi="Calibri"/>
                <w:sz w:val="26"/>
                <w:szCs w:val="26"/>
              </w:rPr>
              <w:t>La hausse du total des revenus distribués de 8,2% a profité spécialement à la rémunération des salariés qui a enregistré une hausse de 44,8 milliards de DH soit une réévaluation de 14,7% par rapport à l’ancienne base</w:t>
            </w:r>
            <w:r w:rsidR="00B448F9">
              <w:rPr>
                <w:rFonts w:ascii="Calibri" w:hAnsi="Calibri"/>
                <w:sz w:val="26"/>
                <w:szCs w:val="26"/>
              </w:rPr>
              <w:t>.</w:t>
            </w:r>
            <w:r w:rsidRPr="00C97BC6">
              <w:rPr>
                <w:rFonts w:ascii="Calibri" w:hAnsi="Calibri"/>
                <w:sz w:val="26"/>
                <w:szCs w:val="26"/>
              </w:rPr>
              <w:t xml:space="preserve"> </w:t>
            </w:r>
            <w:r w:rsidR="00B448F9">
              <w:rPr>
                <w:rFonts w:ascii="Calibri" w:hAnsi="Calibri"/>
                <w:sz w:val="26"/>
                <w:szCs w:val="26"/>
              </w:rPr>
              <w:t>C</w:t>
            </w:r>
            <w:r w:rsidRPr="00C97BC6">
              <w:rPr>
                <w:rFonts w:ascii="Calibri" w:hAnsi="Calibri"/>
                <w:sz w:val="26"/>
                <w:szCs w:val="26"/>
              </w:rPr>
              <w:t xml:space="preserve">ette augmentation est </w:t>
            </w:r>
            <w:r w:rsidR="001C033E">
              <w:rPr>
                <w:rFonts w:ascii="Calibri" w:hAnsi="Calibri"/>
                <w:sz w:val="26"/>
                <w:szCs w:val="26"/>
              </w:rPr>
              <w:t>capt</w:t>
            </w:r>
            <w:r w:rsidRPr="00C97BC6">
              <w:rPr>
                <w:rFonts w:ascii="Calibri" w:hAnsi="Calibri"/>
                <w:sz w:val="26"/>
                <w:szCs w:val="26"/>
              </w:rPr>
              <w:t xml:space="preserve">ée par l’utilisation de nouvelles sources d’information à savoir les enquêtes de structures et celle sur le secteur </w:t>
            </w:r>
            <w:r w:rsidRPr="00C97BC6">
              <w:rPr>
                <w:rFonts w:ascii="Calibri" w:hAnsi="Calibri"/>
                <w:sz w:val="26"/>
                <w:szCs w:val="26"/>
              </w:rPr>
              <w:lastRenderedPageBreak/>
              <w:t>informel ainsi que les statistiques de la caisse nationale de la sécurité sociale (CNSS).</w:t>
            </w:r>
          </w:p>
          <w:p w:rsidR="002C3461" w:rsidRDefault="00C97BC6" w:rsidP="00C22738">
            <w:pPr>
              <w:spacing w:line="360" w:lineRule="exact"/>
              <w:jc w:val="both"/>
              <w:rPr>
                <w:rFonts w:ascii="Calibri" w:hAnsi="Calibri"/>
              </w:rPr>
            </w:pPr>
            <w:r w:rsidRPr="00C97BC6">
              <w:rPr>
                <w:rFonts w:ascii="Calibri" w:hAnsi="Calibri"/>
                <w:sz w:val="26"/>
                <w:szCs w:val="26"/>
              </w:rPr>
              <w:t>D’autre part, l’excédent brut d’exploitation et le revenu mixte ont été révisés à la hausse de 37,2 milliards de DH (+7,2%) alors que les impôts nets reçus par les Administrations Publiques ont été revus à la baisse de près de 6 milliards de dirhams, soit une diminution de 5,7% par rapport à leur niveau dans l’ancienne base.</w:t>
            </w:r>
          </w:p>
          <w:p w:rsidR="002C3461" w:rsidRDefault="002C3461" w:rsidP="00C97BC6">
            <w:pPr>
              <w:spacing w:line="360" w:lineRule="exact"/>
              <w:jc w:val="both"/>
              <w:rPr>
                <w:rFonts w:ascii="Calibri" w:hAnsi="Calibri"/>
              </w:rPr>
            </w:pPr>
          </w:p>
          <w:p w:rsidR="00C97BC6" w:rsidRPr="00C97BC6" w:rsidRDefault="00C97BC6" w:rsidP="00C97BC6">
            <w:pPr>
              <w:spacing w:before="120"/>
              <w:jc w:val="center"/>
              <w:rPr>
                <w:rFonts w:ascii="Calibri" w:eastAsia="Calibri" w:hAnsi="Calibri"/>
                <w:b/>
                <w:lang w:eastAsia="en-US"/>
              </w:rPr>
            </w:pPr>
            <w:r w:rsidRPr="00C97BC6">
              <w:rPr>
                <w:rFonts w:ascii="Calibri" w:eastAsia="Calibri" w:hAnsi="Calibri"/>
                <w:b/>
                <w:lang w:eastAsia="en-US"/>
              </w:rPr>
              <w:t xml:space="preserve">Les revenus </w:t>
            </w:r>
            <w:r w:rsidR="00F122E2" w:rsidRPr="00C97BC6">
              <w:rPr>
                <w:rFonts w:ascii="Calibri" w:eastAsia="Calibri" w:hAnsi="Calibri"/>
                <w:b/>
                <w:lang w:eastAsia="en-US"/>
              </w:rPr>
              <w:t>distribués en</w:t>
            </w:r>
            <w:r w:rsidRPr="00C97BC6">
              <w:rPr>
                <w:rFonts w:ascii="Calibri" w:eastAsia="Calibri" w:hAnsi="Calibri"/>
                <w:b/>
                <w:lang w:eastAsia="en-US"/>
              </w:rPr>
              <w:t xml:space="preserve"> 2014 en Millions de DH</w:t>
            </w:r>
          </w:p>
          <w:p w:rsidR="00C97BC6" w:rsidRPr="00C97BC6" w:rsidRDefault="00C97BC6" w:rsidP="00C97BC6">
            <w:pPr>
              <w:spacing w:before="120"/>
              <w:jc w:val="center"/>
              <w:rPr>
                <w:rFonts w:ascii="Calibri" w:eastAsia="Calibri" w:hAnsi="Calibri"/>
                <w:b/>
                <w:lang w:eastAsia="en-US"/>
              </w:rPr>
            </w:pPr>
          </w:p>
          <w:tbl>
            <w:tblPr>
              <w:tblW w:w="8994" w:type="dxa"/>
              <w:tblInd w:w="57" w:type="dxa"/>
              <w:tblCellMar>
                <w:left w:w="70" w:type="dxa"/>
                <w:right w:w="70" w:type="dxa"/>
              </w:tblCellMar>
              <w:tblLook w:val="04A0"/>
            </w:tblPr>
            <w:tblGrid>
              <w:gridCol w:w="3964"/>
              <w:gridCol w:w="195"/>
              <w:gridCol w:w="1194"/>
              <w:gridCol w:w="218"/>
              <w:gridCol w:w="1194"/>
              <w:gridCol w:w="217"/>
              <w:gridCol w:w="881"/>
              <w:gridCol w:w="195"/>
              <w:gridCol w:w="936"/>
            </w:tblGrid>
            <w:tr w:rsidR="00C97BC6" w:rsidRPr="004C0F54" w:rsidTr="00807057">
              <w:trPr>
                <w:trHeight w:hRule="exact" w:val="345"/>
              </w:trPr>
              <w:tc>
                <w:tcPr>
                  <w:tcW w:w="3982" w:type="dxa"/>
                  <w:tcBorders>
                    <w:top w:val="nil"/>
                    <w:left w:val="nil"/>
                    <w:bottom w:val="single" w:sz="12" w:space="0" w:color="76923C"/>
                    <w:right w:val="nil"/>
                  </w:tcBorders>
                  <w:shd w:val="clear" w:color="auto" w:fill="auto"/>
                  <w:vAlign w:val="bottom"/>
                  <w:hideMark/>
                </w:tcPr>
                <w:p w:rsidR="00C97BC6" w:rsidRPr="004C0F54" w:rsidRDefault="00C97BC6" w:rsidP="00C97BC6">
                  <w:pPr>
                    <w:jc w:val="center"/>
                    <w:rPr>
                      <w:rFonts w:ascii="Arial" w:hAnsi="Arial" w:cs="Arial"/>
                      <w:b/>
                      <w:bCs/>
                      <w:color w:val="800080"/>
                    </w:rPr>
                  </w:pPr>
                  <w:r w:rsidRPr="004C0F54">
                    <w:rPr>
                      <w:rFonts w:ascii="Arial" w:hAnsi="Arial"/>
                      <w:b/>
                      <w:bCs/>
                      <w:color w:val="800080"/>
                    </w:rPr>
                    <w:t> </w:t>
                  </w:r>
                </w:p>
              </w:tc>
              <w:tc>
                <w:tcPr>
                  <w:tcW w:w="160" w:type="dxa"/>
                  <w:tcBorders>
                    <w:top w:val="nil"/>
                    <w:left w:val="nil"/>
                    <w:bottom w:val="nil"/>
                    <w:right w:val="nil"/>
                  </w:tcBorders>
                  <w:shd w:val="clear" w:color="auto" w:fill="auto"/>
                  <w:vAlign w:val="bottom"/>
                  <w:hideMark/>
                </w:tcPr>
                <w:p w:rsidR="00C97BC6" w:rsidRPr="004C0F54" w:rsidRDefault="00C97BC6" w:rsidP="00C97BC6">
                  <w:pPr>
                    <w:ind w:left="-212" w:firstLine="212"/>
                    <w:rPr>
                      <w:rFonts w:ascii="Calibri" w:hAnsi="Calibri" w:cs="Arial"/>
                    </w:rPr>
                  </w:pPr>
                </w:p>
              </w:tc>
              <w:tc>
                <w:tcPr>
                  <w:tcW w:w="1200"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Base 2014</w:t>
                  </w:r>
                </w:p>
              </w:tc>
              <w:tc>
                <w:tcPr>
                  <w:tcW w:w="218"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Base 2007</w:t>
                  </w:r>
                </w:p>
              </w:tc>
              <w:tc>
                <w:tcPr>
                  <w:tcW w:w="217"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883"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Ecart</w:t>
                  </w:r>
                </w:p>
              </w:tc>
              <w:tc>
                <w:tcPr>
                  <w:tcW w:w="195"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939" w:type="dxa"/>
                  <w:tcBorders>
                    <w:top w:val="single" w:sz="12" w:space="0" w:color="76923C"/>
                    <w:left w:val="nil"/>
                    <w:bottom w:val="single" w:sz="12" w:space="0" w:color="76923C"/>
                    <w:right w:val="nil"/>
                  </w:tcBorders>
                  <w:shd w:val="clear" w:color="auto" w:fill="auto"/>
                  <w:vAlign w:val="bottom"/>
                  <w:hideMark/>
                </w:tcPr>
                <w:p w:rsidR="00C97BC6" w:rsidRPr="004C0F54" w:rsidRDefault="00C97BC6" w:rsidP="00C97BC6">
                  <w:pPr>
                    <w:jc w:val="center"/>
                    <w:rPr>
                      <w:rFonts w:ascii="Calibri" w:hAnsi="Calibri" w:cs="Arial"/>
                      <w:b/>
                      <w:bCs/>
                      <w:color w:val="800080"/>
                    </w:rPr>
                  </w:pPr>
                  <w:r w:rsidRPr="004C0F54">
                    <w:rPr>
                      <w:rFonts w:ascii="Calibri" w:hAnsi="Calibri" w:cs="Arial"/>
                      <w:b/>
                      <w:bCs/>
                      <w:color w:val="800080"/>
                    </w:rPr>
                    <w:t>Ecart en %</w:t>
                  </w:r>
                </w:p>
              </w:tc>
            </w:tr>
            <w:tr w:rsidR="00C97BC6" w:rsidRPr="004C0F54" w:rsidTr="00807057">
              <w:trPr>
                <w:trHeight w:val="330"/>
              </w:trPr>
              <w:tc>
                <w:tcPr>
                  <w:tcW w:w="3982" w:type="dxa"/>
                  <w:tcBorders>
                    <w:top w:val="nil"/>
                    <w:left w:val="nil"/>
                    <w:bottom w:val="nil"/>
                    <w:right w:val="nil"/>
                  </w:tcBorders>
                  <w:shd w:val="clear" w:color="000000" w:fill="FFFFFF"/>
                  <w:vAlign w:val="bottom"/>
                  <w:hideMark/>
                </w:tcPr>
                <w:p w:rsidR="00C97BC6" w:rsidRPr="004C0F54" w:rsidRDefault="00C97BC6" w:rsidP="00C97BC6">
                  <w:pPr>
                    <w:rPr>
                      <w:rFonts w:ascii="Calibri" w:hAnsi="Calibri" w:cs="Arial"/>
                    </w:rPr>
                  </w:pPr>
                  <w:r w:rsidRPr="004C0F54">
                    <w:rPr>
                      <w:rFonts w:ascii="Calibri" w:hAnsi="Calibri" w:cs="Arial"/>
                      <w:sz w:val="22"/>
                      <w:szCs w:val="22"/>
                    </w:rPr>
                    <w:t>Produit intérieur brut</w:t>
                  </w:r>
                </w:p>
              </w:tc>
              <w:tc>
                <w:tcPr>
                  <w:tcW w:w="160" w:type="dxa"/>
                  <w:tcBorders>
                    <w:top w:val="nil"/>
                    <w:left w:val="nil"/>
                    <w:bottom w:val="nil"/>
                    <w:right w:val="nil"/>
                  </w:tcBorders>
                  <w:shd w:val="clear" w:color="000000" w:fill="FFFFFF"/>
                  <w:vAlign w:val="bottom"/>
                  <w:hideMark/>
                </w:tcPr>
                <w:p w:rsidR="00C97BC6" w:rsidRPr="004C0F54" w:rsidRDefault="00C97BC6" w:rsidP="00C97BC6">
                  <w:pPr>
                    <w:jc w:val="center"/>
                    <w:rPr>
                      <w:rFonts w:ascii="Calibri" w:hAnsi="Calibri" w:cs="Arial"/>
                    </w:rPr>
                  </w:pPr>
                  <w:r w:rsidRPr="004C0F54">
                    <w:rPr>
                      <w:rFonts w:ascii="Calibri" w:hAnsi="Calibri" w:cs="Arial"/>
                    </w:rPr>
                    <w:t> </w:t>
                  </w:r>
                </w:p>
              </w:tc>
              <w:tc>
                <w:tcPr>
                  <w:tcW w:w="12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1 001 454</w:t>
                  </w:r>
                </w:p>
              </w:tc>
              <w:tc>
                <w:tcPr>
                  <w:tcW w:w="218" w:type="dxa"/>
                  <w:tcBorders>
                    <w:top w:val="nil"/>
                    <w:left w:val="nil"/>
                    <w:bottom w:val="nil"/>
                    <w:right w:val="nil"/>
                  </w:tcBorders>
                  <w:shd w:val="clear" w:color="000000" w:fill="FFFFFF"/>
                  <w:vAlign w:val="bottom"/>
                  <w:hideMark/>
                </w:tcPr>
                <w:p w:rsidR="00C97BC6" w:rsidRPr="004C0F54" w:rsidRDefault="00C97BC6" w:rsidP="00C97BC6">
                  <w:pPr>
                    <w:jc w:val="center"/>
                    <w:rPr>
                      <w:rFonts w:ascii="Calibri" w:hAnsi="Calibri" w:cs="Arial"/>
                    </w:rPr>
                  </w:pPr>
                  <w:r w:rsidRPr="004C0F54">
                    <w:rPr>
                      <w:rFonts w:ascii="Calibri" w:hAnsi="Calibri" w:cs="Arial"/>
                    </w:rPr>
                    <w:t> </w:t>
                  </w:r>
                </w:p>
              </w:tc>
              <w:tc>
                <w:tcPr>
                  <w:tcW w:w="1200"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925 376</w:t>
                  </w:r>
                </w:p>
              </w:tc>
              <w:tc>
                <w:tcPr>
                  <w:tcW w:w="217"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rPr>
                    <w:t> </w:t>
                  </w:r>
                </w:p>
              </w:tc>
              <w:tc>
                <w:tcPr>
                  <w:tcW w:w="88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76 078</w:t>
                  </w:r>
                </w:p>
              </w:tc>
              <w:tc>
                <w:tcPr>
                  <w:tcW w:w="195"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rPr>
                    <w:t> </w:t>
                  </w:r>
                </w:p>
              </w:tc>
              <w:tc>
                <w:tcPr>
                  <w:tcW w:w="939"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8,2</w:t>
                  </w:r>
                </w:p>
              </w:tc>
            </w:tr>
            <w:tr w:rsidR="00C97BC6" w:rsidRPr="004C0F54" w:rsidTr="00807057">
              <w:trPr>
                <w:trHeight w:val="300"/>
              </w:trPr>
              <w:tc>
                <w:tcPr>
                  <w:tcW w:w="398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Rémunérations de salariés</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350 092</w:t>
                  </w:r>
                </w:p>
              </w:tc>
              <w:tc>
                <w:tcPr>
                  <w:tcW w:w="218"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305 248</w:t>
                  </w:r>
                </w:p>
              </w:tc>
              <w:tc>
                <w:tcPr>
                  <w:tcW w:w="217"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88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44 844</w:t>
                  </w:r>
                </w:p>
              </w:tc>
              <w:tc>
                <w:tcPr>
                  <w:tcW w:w="195"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939"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14,7</w:t>
                  </w:r>
                </w:p>
              </w:tc>
            </w:tr>
            <w:tr w:rsidR="00C97BC6" w:rsidRPr="004C0F54" w:rsidTr="00807057">
              <w:trPr>
                <w:trHeight w:val="300"/>
              </w:trPr>
              <w:tc>
                <w:tcPr>
                  <w:tcW w:w="398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Excédent brut d’exploitation/revenu mixte</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552 873</w:t>
                  </w:r>
                </w:p>
              </w:tc>
              <w:tc>
                <w:tcPr>
                  <w:tcW w:w="218"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515 648</w:t>
                  </w:r>
                </w:p>
              </w:tc>
              <w:tc>
                <w:tcPr>
                  <w:tcW w:w="217"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883"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37 225</w:t>
                  </w:r>
                </w:p>
              </w:tc>
              <w:tc>
                <w:tcPr>
                  <w:tcW w:w="195"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939"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7,2</w:t>
                  </w:r>
                </w:p>
              </w:tc>
            </w:tr>
            <w:tr w:rsidR="00C97BC6" w:rsidRPr="004C0F54" w:rsidTr="00807057">
              <w:trPr>
                <w:trHeight w:val="600"/>
              </w:trPr>
              <w:tc>
                <w:tcPr>
                  <w:tcW w:w="3982"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sz w:val="22"/>
                      <w:szCs w:val="22"/>
                    </w:rPr>
                    <w:t>Impôts nets des subventions sur la production et les importations</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98 489</w:t>
                  </w:r>
                </w:p>
              </w:tc>
              <w:tc>
                <w:tcPr>
                  <w:tcW w:w="218"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104 480</w:t>
                  </w:r>
                </w:p>
              </w:tc>
              <w:tc>
                <w:tcPr>
                  <w:tcW w:w="217"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883" w:type="dxa"/>
                  <w:tcBorders>
                    <w:top w:val="nil"/>
                    <w:left w:val="nil"/>
                    <w:bottom w:val="nil"/>
                    <w:right w:val="nil"/>
                  </w:tcBorders>
                  <w:shd w:val="clear" w:color="000000" w:fill="FFFFFF"/>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-5 991</w:t>
                  </w:r>
                </w:p>
              </w:tc>
              <w:tc>
                <w:tcPr>
                  <w:tcW w:w="195"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939" w:type="dxa"/>
                  <w:tcBorders>
                    <w:top w:val="nil"/>
                    <w:left w:val="nil"/>
                    <w:bottom w:val="nil"/>
                    <w:right w:val="nil"/>
                  </w:tcBorders>
                  <w:shd w:val="clear" w:color="auto" w:fill="auto"/>
                  <w:vAlign w:val="bottom"/>
                  <w:hideMark/>
                </w:tcPr>
                <w:p w:rsidR="00C97BC6" w:rsidRPr="004C0F54" w:rsidRDefault="00C97BC6" w:rsidP="00C97BC6">
                  <w:pPr>
                    <w:jc w:val="right"/>
                    <w:rPr>
                      <w:rFonts w:ascii="Calibri" w:hAnsi="Calibri" w:cs="Arial"/>
                    </w:rPr>
                  </w:pPr>
                  <w:r w:rsidRPr="004C0F54">
                    <w:rPr>
                      <w:rFonts w:ascii="Calibri" w:hAnsi="Calibri" w:cs="Arial"/>
                      <w:sz w:val="22"/>
                      <w:szCs w:val="22"/>
                    </w:rPr>
                    <w:t>-5,7</w:t>
                  </w:r>
                </w:p>
              </w:tc>
            </w:tr>
            <w:tr w:rsidR="00C97BC6" w:rsidRPr="004C0F54" w:rsidTr="00807057">
              <w:trPr>
                <w:trHeight w:hRule="exact" w:val="330"/>
              </w:trPr>
              <w:tc>
                <w:tcPr>
                  <w:tcW w:w="3982" w:type="dxa"/>
                  <w:tcBorders>
                    <w:top w:val="nil"/>
                    <w:left w:val="nil"/>
                    <w:bottom w:val="single" w:sz="12" w:space="0" w:color="76923C"/>
                    <w:right w:val="nil"/>
                  </w:tcBorders>
                  <w:shd w:val="clear" w:color="auto" w:fill="auto"/>
                  <w:vAlign w:val="bottom"/>
                  <w:hideMark/>
                </w:tcPr>
                <w:p w:rsidR="00C97BC6" w:rsidRPr="004C0F54" w:rsidRDefault="00C97BC6" w:rsidP="00C97BC6">
                  <w:pPr>
                    <w:rPr>
                      <w:rFonts w:ascii="Calibri" w:hAnsi="Calibri" w:cs="Arial"/>
                    </w:rPr>
                  </w:pPr>
                  <w:r w:rsidRPr="004C0F54">
                    <w:rPr>
                      <w:rFonts w:ascii="Calibri" w:hAnsi="Calibri" w:cs="Arial"/>
                    </w:rPr>
                    <w:t> </w:t>
                  </w:r>
                </w:p>
              </w:tc>
              <w:tc>
                <w:tcPr>
                  <w:tcW w:w="160"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c>
                <w:tcPr>
                  <w:tcW w:w="218"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1200"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c>
                <w:tcPr>
                  <w:tcW w:w="217"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883" w:type="dxa"/>
                  <w:tcBorders>
                    <w:top w:val="nil"/>
                    <w:left w:val="nil"/>
                    <w:bottom w:val="single" w:sz="12" w:space="0" w:color="76923C"/>
                    <w:right w:val="nil"/>
                  </w:tcBorders>
                  <w:shd w:val="clear" w:color="auto" w:fill="auto"/>
                  <w:vAlign w:val="bottom"/>
                  <w:hideMark/>
                </w:tcPr>
                <w:p w:rsidR="00C97BC6" w:rsidRPr="004C0F54" w:rsidRDefault="00C97BC6" w:rsidP="00C97BC6">
                  <w:pPr>
                    <w:jc w:val="center"/>
                  </w:pPr>
                  <w:r w:rsidRPr="004C0F54">
                    <w:rPr>
                      <w:rFonts w:cs="Arial"/>
                    </w:rPr>
                    <w:t> </w:t>
                  </w:r>
                </w:p>
              </w:tc>
              <w:tc>
                <w:tcPr>
                  <w:tcW w:w="195" w:type="dxa"/>
                  <w:tcBorders>
                    <w:top w:val="nil"/>
                    <w:left w:val="nil"/>
                    <w:bottom w:val="nil"/>
                    <w:right w:val="nil"/>
                  </w:tcBorders>
                  <w:shd w:val="clear" w:color="auto" w:fill="auto"/>
                  <w:vAlign w:val="bottom"/>
                  <w:hideMark/>
                </w:tcPr>
                <w:p w:rsidR="00C97BC6" w:rsidRPr="004C0F54" w:rsidRDefault="00C97BC6" w:rsidP="00C97BC6">
                  <w:pPr>
                    <w:rPr>
                      <w:rFonts w:ascii="Calibri" w:hAnsi="Calibri" w:cs="Arial"/>
                    </w:rPr>
                  </w:pPr>
                </w:p>
              </w:tc>
              <w:tc>
                <w:tcPr>
                  <w:tcW w:w="939" w:type="dxa"/>
                  <w:tcBorders>
                    <w:top w:val="nil"/>
                    <w:left w:val="nil"/>
                    <w:bottom w:val="single" w:sz="12" w:space="0" w:color="76923C"/>
                    <w:right w:val="nil"/>
                  </w:tcBorders>
                  <w:shd w:val="clear" w:color="auto" w:fill="auto"/>
                  <w:vAlign w:val="bottom"/>
                  <w:hideMark/>
                </w:tcPr>
                <w:p w:rsidR="00C97BC6" w:rsidRPr="004C0F54" w:rsidRDefault="00C97BC6" w:rsidP="00C97BC6">
                  <w:pPr>
                    <w:jc w:val="right"/>
                    <w:rPr>
                      <w:rFonts w:ascii="Arial" w:hAnsi="Arial" w:cs="Arial"/>
                      <w:color w:val="000000"/>
                      <w:sz w:val="20"/>
                      <w:szCs w:val="20"/>
                    </w:rPr>
                  </w:pPr>
                  <w:r w:rsidRPr="004C0F54">
                    <w:rPr>
                      <w:rFonts w:ascii="Arial" w:hAnsi="Arial" w:cs="Arial"/>
                      <w:color w:val="000000"/>
                      <w:sz w:val="20"/>
                      <w:szCs w:val="20"/>
                    </w:rPr>
                    <w:t> </w:t>
                  </w:r>
                </w:p>
              </w:tc>
            </w:tr>
          </w:tbl>
          <w:p w:rsidR="00C97BC6" w:rsidRDefault="00C97BC6" w:rsidP="00C97BC6">
            <w:pPr>
              <w:spacing w:line="360" w:lineRule="exact"/>
              <w:jc w:val="both"/>
              <w:rPr>
                <w:rFonts w:ascii="Calibri" w:eastAsia="Calibri" w:hAnsi="Calibri" w:cs="Calibri"/>
                <w:b/>
              </w:rPr>
            </w:pPr>
          </w:p>
          <w:p w:rsidR="00C97BC6" w:rsidRPr="004C0F54" w:rsidRDefault="00C97BC6" w:rsidP="00C97BC6">
            <w:pPr>
              <w:spacing w:line="360" w:lineRule="exact"/>
              <w:jc w:val="both"/>
              <w:rPr>
                <w:rFonts w:ascii="Calibri" w:eastAsia="Calibri" w:hAnsi="Calibri" w:cs="Calibri"/>
                <w:b/>
              </w:rPr>
            </w:pPr>
          </w:p>
          <w:p w:rsidR="00C97BC6" w:rsidRPr="00DF2BF0" w:rsidRDefault="00C97BC6" w:rsidP="008F580F">
            <w:pPr>
              <w:autoSpaceDE w:val="0"/>
              <w:autoSpaceDN w:val="0"/>
              <w:adjustRightInd w:val="0"/>
              <w:spacing w:after="240" w:line="360" w:lineRule="exact"/>
              <w:ind w:right="-431"/>
              <w:jc w:val="both"/>
              <w:rPr>
                <w:rFonts w:ascii="Calibri" w:hAnsi="Calibri" w:cs="Calibri"/>
                <w:b/>
                <w:color w:val="7030A0"/>
                <w:sz w:val="26"/>
                <w:szCs w:val="26"/>
              </w:rPr>
            </w:pPr>
            <w:r w:rsidRPr="00DF2BF0">
              <w:rPr>
                <w:rFonts w:ascii="Calibri" w:hAnsi="Calibri" w:cs="Calibri"/>
                <w:b/>
                <w:color w:val="7030A0"/>
                <w:sz w:val="26"/>
                <w:szCs w:val="26"/>
              </w:rPr>
              <w:t>L’impact du passage à la base 2014 sur les principaux indicateurs de l’économie nationale</w:t>
            </w:r>
          </w:p>
          <w:p w:rsidR="00C97BC6" w:rsidRDefault="00FA5473" w:rsidP="00C97BC6">
            <w:pPr>
              <w:autoSpaceDE w:val="0"/>
              <w:autoSpaceDN w:val="0"/>
              <w:adjustRightInd w:val="0"/>
              <w:spacing w:line="360" w:lineRule="exact"/>
              <w:jc w:val="both"/>
              <w:rPr>
                <w:rFonts w:ascii="Calibri" w:hAnsi="Calibri" w:cs="Calibri"/>
                <w:b/>
                <w:color w:val="C00000"/>
                <w:sz w:val="26"/>
                <w:szCs w:val="26"/>
              </w:rPr>
            </w:pPr>
            <w:r w:rsidRPr="00DF2BF0">
              <w:rPr>
                <w:rFonts w:ascii="Calibri" w:hAnsi="Calibri" w:cs="Calibri"/>
                <w:b/>
                <w:color w:val="C00000"/>
                <w:sz w:val="26"/>
                <w:szCs w:val="26"/>
              </w:rPr>
              <w:t>C</w:t>
            </w:r>
            <w:r w:rsidR="00C97BC6" w:rsidRPr="00DF2BF0">
              <w:rPr>
                <w:rFonts w:ascii="Calibri" w:hAnsi="Calibri" w:cs="Calibri"/>
                <w:b/>
                <w:color w:val="C00000"/>
                <w:sz w:val="26"/>
                <w:szCs w:val="26"/>
              </w:rPr>
              <w:t>roissance économique</w:t>
            </w:r>
            <w:r w:rsidR="001F0C6D" w:rsidRPr="00DF2BF0">
              <w:rPr>
                <w:rFonts w:ascii="Calibri" w:hAnsi="Calibri" w:cs="Calibri"/>
                <w:b/>
                <w:color w:val="C00000"/>
                <w:sz w:val="26"/>
                <w:szCs w:val="26"/>
              </w:rPr>
              <w:t> :</w:t>
            </w:r>
          </w:p>
          <w:p w:rsidR="00EE7576" w:rsidRPr="00C22738" w:rsidRDefault="00EE7576" w:rsidP="00C22738">
            <w:pPr>
              <w:autoSpaceDE w:val="0"/>
              <w:autoSpaceDN w:val="0"/>
              <w:adjustRightInd w:val="0"/>
              <w:jc w:val="both"/>
              <w:rPr>
                <w:rFonts w:ascii="Arial" w:hAnsi="Arial" w:cs="Arial"/>
                <w:bCs/>
                <w:color w:val="C00000"/>
                <w:sz w:val="20"/>
                <w:szCs w:val="20"/>
              </w:rPr>
            </w:pPr>
          </w:p>
          <w:p w:rsidR="0031228E" w:rsidRDefault="0031228E" w:rsidP="0031228E">
            <w:pPr>
              <w:spacing w:line="360" w:lineRule="exact"/>
              <w:jc w:val="both"/>
              <w:rPr>
                <w:rFonts w:ascii="Calibri" w:hAnsi="Calibri"/>
                <w:sz w:val="26"/>
                <w:szCs w:val="26"/>
              </w:rPr>
            </w:pPr>
            <w:r w:rsidRPr="0031228E">
              <w:rPr>
                <w:rFonts w:ascii="Calibri" w:hAnsi="Calibri"/>
                <w:sz w:val="26"/>
                <w:szCs w:val="26"/>
              </w:rPr>
              <w:t xml:space="preserve">Le passage à la nouvelle base 2014 a entrainé </w:t>
            </w:r>
            <w:r w:rsidR="00EE7576">
              <w:rPr>
                <w:rFonts w:ascii="Calibri" w:hAnsi="Calibri"/>
                <w:sz w:val="26"/>
                <w:szCs w:val="26"/>
              </w:rPr>
              <w:t>des</w:t>
            </w:r>
            <w:r w:rsidRPr="0031228E">
              <w:rPr>
                <w:rFonts w:ascii="Calibri" w:hAnsi="Calibri"/>
                <w:sz w:val="26"/>
                <w:szCs w:val="26"/>
              </w:rPr>
              <w:t xml:space="preserve"> réévaluation</w:t>
            </w:r>
            <w:r w:rsidR="00EE7576">
              <w:rPr>
                <w:rFonts w:ascii="Calibri" w:hAnsi="Calibri"/>
                <w:sz w:val="26"/>
                <w:szCs w:val="26"/>
              </w:rPr>
              <w:t>s contrastées</w:t>
            </w:r>
            <w:r w:rsidRPr="0031228E">
              <w:rPr>
                <w:rFonts w:ascii="Calibri" w:hAnsi="Calibri"/>
                <w:sz w:val="26"/>
                <w:szCs w:val="26"/>
              </w:rPr>
              <w:t xml:space="preserve"> à la baisse des niveaux de la croissance économique en volume sur toute la période 201</w:t>
            </w:r>
            <w:r w:rsidR="009931CE">
              <w:rPr>
                <w:rFonts w:ascii="Calibri" w:hAnsi="Calibri"/>
                <w:sz w:val="26"/>
                <w:szCs w:val="26"/>
              </w:rPr>
              <w:t>5</w:t>
            </w:r>
            <w:r w:rsidRPr="0031228E">
              <w:rPr>
                <w:rFonts w:ascii="Calibri" w:hAnsi="Calibri"/>
                <w:sz w:val="26"/>
                <w:szCs w:val="26"/>
              </w:rPr>
              <w:t>-2019, à l’exception des années 2017 et 2019 pour lesquelles le taux de croissance a été revu légèrement à la hausse de 0,</w:t>
            </w:r>
            <w:r w:rsidR="00AE4128">
              <w:rPr>
                <w:rFonts w:ascii="Calibri" w:hAnsi="Calibri"/>
                <w:sz w:val="26"/>
                <w:szCs w:val="26"/>
              </w:rPr>
              <w:t>9</w:t>
            </w:r>
            <w:r w:rsidRPr="0031228E">
              <w:rPr>
                <w:rFonts w:ascii="Calibri" w:hAnsi="Calibri"/>
                <w:sz w:val="26"/>
                <w:szCs w:val="26"/>
              </w:rPr>
              <w:t xml:space="preserve"> et 0,3 point</w:t>
            </w:r>
            <w:r w:rsidR="003C5F41">
              <w:rPr>
                <w:rFonts w:ascii="Calibri" w:hAnsi="Calibri"/>
                <w:sz w:val="26"/>
                <w:szCs w:val="26"/>
              </w:rPr>
              <w:t xml:space="preserve"> respectivement</w:t>
            </w:r>
            <w:r w:rsidRPr="0031228E">
              <w:rPr>
                <w:rFonts w:ascii="Calibri" w:hAnsi="Calibri"/>
                <w:sz w:val="26"/>
                <w:szCs w:val="26"/>
              </w:rPr>
              <w:t>.</w:t>
            </w:r>
          </w:p>
          <w:p w:rsidR="00EE7576" w:rsidRPr="0031228E" w:rsidRDefault="00EE7576" w:rsidP="0031228E">
            <w:pPr>
              <w:spacing w:line="360" w:lineRule="exact"/>
              <w:jc w:val="both"/>
              <w:rPr>
                <w:rFonts w:ascii="Calibri" w:hAnsi="Calibri"/>
                <w:sz w:val="26"/>
                <w:szCs w:val="26"/>
              </w:rPr>
            </w:pPr>
            <w:r>
              <w:rPr>
                <w:rFonts w:ascii="Calibri" w:hAnsi="Calibri"/>
                <w:sz w:val="26"/>
                <w:szCs w:val="26"/>
              </w:rPr>
              <w:t>En total, l</w:t>
            </w:r>
            <w:r w:rsidRPr="0031228E">
              <w:rPr>
                <w:rFonts w:ascii="Calibri" w:hAnsi="Calibri"/>
                <w:sz w:val="26"/>
                <w:szCs w:val="26"/>
              </w:rPr>
              <w:t xml:space="preserve">a croissance annuelle moyenne du PIB en volume est réévaluée </w:t>
            </w:r>
            <w:r>
              <w:rPr>
                <w:rFonts w:ascii="Calibri" w:hAnsi="Calibri"/>
                <w:sz w:val="26"/>
                <w:szCs w:val="26"/>
              </w:rPr>
              <w:t xml:space="preserve">légèrement </w:t>
            </w:r>
            <w:r w:rsidRPr="0031228E">
              <w:rPr>
                <w:rFonts w:ascii="Calibri" w:hAnsi="Calibri"/>
                <w:sz w:val="26"/>
                <w:szCs w:val="26"/>
              </w:rPr>
              <w:t>à la hausse de 0,1 point de pourcentage durant la période 2015-2019, passant de 3,1% en base 2007 à 3,2% en base 2014</w:t>
            </w:r>
            <w:r>
              <w:rPr>
                <w:rFonts w:ascii="Calibri" w:hAnsi="Calibri"/>
                <w:sz w:val="26"/>
                <w:szCs w:val="26"/>
              </w:rPr>
              <w:t>.</w:t>
            </w:r>
          </w:p>
          <w:p w:rsidR="004951DF" w:rsidRPr="009931CE" w:rsidRDefault="009931CE" w:rsidP="009931CE">
            <w:pPr>
              <w:spacing w:before="120" w:line="360" w:lineRule="exact"/>
              <w:jc w:val="center"/>
              <w:rPr>
                <w:rFonts w:ascii="Calibri" w:eastAsia="Calibri" w:hAnsi="Calibri"/>
                <w:b/>
                <w:lang w:eastAsia="en-US"/>
              </w:rPr>
            </w:pPr>
            <w:r w:rsidRPr="009931CE">
              <w:rPr>
                <w:rFonts w:ascii="Calibri" w:eastAsia="Calibri" w:hAnsi="Calibri"/>
                <w:b/>
                <w:lang w:eastAsia="en-US"/>
              </w:rPr>
              <w:t>Taux de croissance (en %)</w:t>
            </w:r>
          </w:p>
          <w:tbl>
            <w:tblPr>
              <w:tblW w:w="6582" w:type="dxa"/>
              <w:tblInd w:w="1285" w:type="dxa"/>
              <w:tblCellMar>
                <w:left w:w="70" w:type="dxa"/>
                <w:right w:w="70" w:type="dxa"/>
              </w:tblCellMar>
              <w:tblLook w:val="04A0"/>
            </w:tblPr>
            <w:tblGrid>
              <w:gridCol w:w="1240"/>
              <w:gridCol w:w="603"/>
              <w:gridCol w:w="1240"/>
              <w:gridCol w:w="461"/>
              <w:gridCol w:w="1240"/>
              <w:gridCol w:w="319"/>
              <w:gridCol w:w="1479"/>
            </w:tblGrid>
            <w:tr w:rsidR="004951DF" w:rsidTr="00807057">
              <w:trPr>
                <w:trHeight w:val="648"/>
              </w:trPr>
              <w:tc>
                <w:tcPr>
                  <w:tcW w:w="1240" w:type="dxa"/>
                  <w:tcBorders>
                    <w:top w:val="nil"/>
                    <w:left w:val="nil"/>
                    <w:bottom w:val="single" w:sz="12" w:space="0" w:color="76923C"/>
                    <w:right w:val="nil"/>
                  </w:tcBorders>
                  <w:shd w:val="clear" w:color="auto" w:fill="auto"/>
                  <w:vAlign w:val="bottom"/>
                  <w:hideMark/>
                </w:tcPr>
                <w:p w:rsidR="004951DF" w:rsidRDefault="004951DF" w:rsidP="004951DF">
                  <w:pPr>
                    <w:jc w:val="center"/>
                    <w:rPr>
                      <w:rFonts w:ascii="Arial" w:hAnsi="Arial" w:cs="Arial"/>
                      <w:b/>
                      <w:bCs/>
                      <w:color w:val="800080"/>
                    </w:rPr>
                  </w:pPr>
                  <w:r>
                    <w:rPr>
                      <w:rFonts w:ascii="Arial" w:hAnsi="Arial"/>
                      <w:b/>
                      <w:bCs/>
                      <w:color w:val="800080"/>
                    </w:rPr>
                    <w:t> </w:t>
                  </w:r>
                </w:p>
              </w:tc>
              <w:tc>
                <w:tcPr>
                  <w:tcW w:w="603"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single" w:sz="12" w:space="0" w:color="76923C"/>
                    <w:left w:val="nil"/>
                    <w:bottom w:val="single" w:sz="12" w:space="0" w:color="76923C"/>
                    <w:right w:val="nil"/>
                  </w:tcBorders>
                  <w:shd w:val="clear" w:color="auto" w:fill="auto"/>
                  <w:vAlign w:val="bottom"/>
                  <w:hideMark/>
                </w:tcPr>
                <w:p w:rsidR="004951DF" w:rsidRDefault="004951DF" w:rsidP="004951DF">
                  <w:pPr>
                    <w:jc w:val="center"/>
                    <w:rPr>
                      <w:rFonts w:ascii="Calibri" w:hAnsi="Calibri"/>
                      <w:b/>
                      <w:bCs/>
                      <w:color w:val="800080"/>
                    </w:rPr>
                  </w:pPr>
                  <w:r>
                    <w:rPr>
                      <w:rFonts w:ascii="Calibri" w:hAnsi="Calibri" w:cs="Arial"/>
                      <w:b/>
                      <w:bCs/>
                      <w:color w:val="800080"/>
                    </w:rPr>
                    <w:t>Base 2014</w:t>
                  </w:r>
                </w:p>
              </w:tc>
              <w:tc>
                <w:tcPr>
                  <w:tcW w:w="461"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single" w:sz="12" w:space="0" w:color="76923C"/>
                    <w:left w:val="nil"/>
                    <w:bottom w:val="single" w:sz="12" w:space="0" w:color="76923C"/>
                    <w:right w:val="nil"/>
                  </w:tcBorders>
                  <w:shd w:val="clear" w:color="auto" w:fill="auto"/>
                  <w:vAlign w:val="bottom"/>
                  <w:hideMark/>
                </w:tcPr>
                <w:p w:rsidR="004951DF" w:rsidRDefault="004951DF" w:rsidP="004951DF">
                  <w:pPr>
                    <w:jc w:val="center"/>
                    <w:rPr>
                      <w:rFonts w:ascii="Calibri" w:hAnsi="Calibri"/>
                      <w:b/>
                      <w:bCs/>
                      <w:color w:val="800080"/>
                    </w:rPr>
                  </w:pPr>
                  <w:r>
                    <w:rPr>
                      <w:rFonts w:ascii="Calibri" w:hAnsi="Calibri" w:cs="Arial"/>
                      <w:b/>
                      <w:bCs/>
                      <w:color w:val="800080"/>
                    </w:rPr>
                    <w:t>Base 2007</w:t>
                  </w:r>
                </w:p>
              </w:tc>
              <w:tc>
                <w:tcPr>
                  <w:tcW w:w="319"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479" w:type="dxa"/>
                  <w:tcBorders>
                    <w:top w:val="single" w:sz="12" w:space="0" w:color="76923C"/>
                    <w:left w:val="nil"/>
                    <w:bottom w:val="single" w:sz="12" w:space="0" w:color="76923C"/>
                    <w:right w:val="nil"/>
                  </w:tcBorders>
                  <w:shd w:val="clear" w:color="auto" w:fill="auto"/>
                  <w:vAlign w:val="bottom"/>
                  <w:hideMark/>
                </w:tcPr>
                <w:p w:rsidR="004951DF" w:rsidRDefault="004951DF" w:rsidP="004951DF">
                  <w:pPr>
                    <w:jc w:val="center"/>
                    <w:rPr>
                      <w:rFonts w:ascii="Calibri" w:hAnsi="Calibri"/>
                      <w:b/>
                      <w:bCs/>
                      <w:color w:val="800080"/>
                    </w:rPr>
                  </w:pPr>
                  <w:r w:rsidRPr="00E7145B">
                    <w:rPr>
                      <w:rFonts w:ascii="Calibri" w:hAnsi="Calibri" w:cs="Arial"/>
                      <w:b/>
                      <w:bCs/>
                      <w:color w:val="800080"/>
                    </w:rPr>
                    <w:t>Ecart en point</w:t>
                  </w:r>
                </w:p>
              </w:tc>
            </w:tr>
            <w:tr w:rsidR="004951DF" w:rsidTr="00807057">
              <w:trPr>
                <w:trHeight w:val="324"/>
              </w:trPr>
              <w:tc>
                <w:tcPr>
                  <w:tcW w:w="1240" w:type="dxa"/>
                  <w:tcBorders>
                    <w:top w:val="nil"/>
                    <w:left w:val="nil"/>
                    <w:bottom w:val="nil"/>
                    <w:right w:val="nil"/>
                  </w:tcBorders>
                  <w:shd w:val="clear" w:color="auto" w:fill="auto"/>
                  <w:noWrap/>
                  <w:vAlign w:val="bottom"/>
                  <w:hideMark/>
                </w:tcPr>
                <w:p w:rsidR="004951DF" w:rsidRPr="009931CE" w:rsidRDefault="004951DF" w:rsidP="004951DF">
                  <w:pPr>
                    <w:jc w:val="right"/>
                    <w:rPr>
                      <w:rFonts w:ascii="Calibri" w:hAnsi="Calibri"/>
                      <w:b/>
                      <w:bCs/>
                    </w:rPr>
                  </w:pPr>
                  <w:r w:rsidRPr="009931CE">
                    <w:rPr>
                      <w:rFonts w:ascii="Calibri" w:hAnsi="Calibri"/>
                      <w:b/>
                      <w:bCs/>
                      <w:sz w:val="22"/>
                      <w:szCs w:val="22"/>
                    </w:rPr>
                    <w:t>2015</w:t>
                  </w:r>
                </w:p>
              </w:tc>
              <w:tc>
                <w:tcPr>
                  <w:tcW w:w="603" w:type="dxa"/>
                  <w:tcBorders>
                    <w:top w:val="nil"/>
                    <w:left w:val="nil"/>
                    <w:bottom w:val="nil"/>
                    <w:right w:val="nil"/>
                  </w:tcBorders>
                  <w:shd w:val="clear" w:color="000000" w:fill="FFFFFF"/>
                  <w:vAlign w:val="bottom"/>
                  <w:hideMark/>
                </w:tcPr>
                <w:p w:rsidR="004951DF" w:rsidRDefault="004951DF" w:rsidP="004951DF">
                  <w:pPr>
                    <w:jc w:val="center"/>
                    <w:rPr>
                      <w:rFonts w:ascii="Calibri" w:hAnsi="Calibri"/>
                      <w:color w:val="000000"/>
                    </w:rPr>
                  </w:pPr>
                  <w:r>
                    <w:rPr>
                      <w:rFonts w:ascii="Calibri" w:hAnsi="Calibri" w:cs="Arial"/>
                      <w:color w:val="000000"/>
                    </w:rPr>
                    <w:t> </w:t>
                  </w: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4,3</w:t>
                  </w:r>
                </w:p>
              </w:tc>
              <w:tc>
                <w:tcPr>
                  <w:tcW w:w="461" w:type="dxa"/>
                  <w:tcBorders>
                    <w:top w:val="nil"/>
                    <w:left w:val="nil"/>
                    <w:bottom w:val="nil"/>
                    <w:right w:val="nil"/>
                  </w:tcBorders>
                  <w:shd w:val="clear" w:color="000000" w:fill="FFFFFF"/>
                  <w:vAlign w:val="bottom"/>
                  <w:hideMark/>
                </w:tcPr>
                <w:p w:rsidR="004951DF" w:rsidRDefault="004951DF" w:rsidP="004951DF">
                  <w:pPr>
                    <w:jc w:val="center"/>
                    <w:rPr>
                      <w:rFonts w:ascii="Calibri" w:hAnsi="Calibri"/>
                      <w:color w:val="000000"/>
                    </w:rPr>
                  </w:pPr>
                  <w:r>
                    <w:rPr>
                      <w:rFonts w:ascii="Calibri" w:hAnsi="Calibri" w:cs="Arial"/>
                      <w:color w:val="000000"/>
                    </w:rPr>
                    <w:t> </w:t>
                  </w: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4,5</w:t>
                  </w:r>
                </w:p>
              </w:tc>
              <w:tc>
                <w:tcPr>
                  <w:tcW w:w="319" w:type="dxa"/>
                  <w:tcBorders>
                    <w:top w:val="nil"/>
                    <w:left w:val="nil"/>
                    <w:bottom w:val="nil"/>
                    <w:right w:val="nil"/>
                  </w:tcBorders>
                  <w:shd w:val="clear" w:color="000000" w:fill="FFFFFF"/>
                  <w:vAlign w:val="bottom"/>
                  <w:hideMark/>
                </w:tcPr>
                <w:p w:rsidR="004951DF" w:rsidRDefault="004951DF" w:rsidP="004951DF">
                  <w:pPr>
                    <w:jc w:val="right"/>
                    <w:rPr>
                      <w:rFonts w:ascii="Calibri" w:hAnsi="Calibri"/>
                      <w:color w:val="000000"/>
                    </w:rPr>
                  </w:pPr>
                  <w:r>
                    <w:rPr>
                      <w:rFonts w:ascii="Calibri" w:hAnsi="Calibri" w:cs="Arial"/>
                      <w:color w:val="000000"/>
                    </w:rPr>
                    <w:t> </w:t>
                  </w:r>
                </w:p>
              </w:tc>
              <w:tc>
                <w:tcPr>
                  <w:tcW w:w="1479" w:type="dxa"/>
                  <w:tcBorders>
                    <w:top w:val="nil"/>
                    <w:left w:val="nil"/>
                    <w:bottom w:val="nil"/>
                    <w:right w:val="nil"/>
                  </w:tcBorders>
                  <w:shd w:val="clear" w:color="000000" w:fill="FFFFFF"/>
                  <w:vAlign w:val="bottom"/>
                  <w:hideMark/>
                </w:tcPr>
                <w:p w:rsidR="004951DF" w:rsidRDefault="004951DF" w:rsidP="004951DF">
                  <w:pPr>
                    <w:jc w:val="right"/>
                    <w:rPr>
                      <w:rFonts w:ascii="Calibri" w:hAnsi="Calibri"/>
                      <w:color w:val="000000"/>
                    </w:rPr>
                  </w:pPr>
                  <w:r>
                    <w:rPr>
                      <w:rFonts w:ascii="Calibri" w:hAnsi="Calibri" w:cs="Arial"/>
                      <w:color w:val="000000"/>
                      <w:sz w:val="22"/>
                      <w:szCs w:val="22"/>
                    </w:rPr>
                    <w:t>-0,2</w:t>
                  </w:r>
                </w:p>
              </w:tc>
            </w:tr>
            <w:tr w:rsidR="004951DF" w:rsidTr="00807057">
              <w:trPr>
                <w:trHeight w:val="288"/>
              </w:trPr>
              <w:tc>
                <w:tcPr>
                  <w:tcW w:w="1240" w:type="dxa"/>
                  <w:tcBorders>
                    <w:top w:val="nil"/>
                    <w:left w:val="nil"/>
                    <w:bottom w:val="nil"/>
                    <w:right w:val="nil"/>
                  </w:tcBorders>
                  <w:shd w:val="clear" w:color="auto" w:fill="auto"/>
                  <w:noWrap/>
                  <w:vAlign w:val="bottom"/>
                  <w:hideMark/>
                </w:tcPr>
                <w:p w:rsidR="004951DF" w:rsidRPr="009931CE" w:rsidRDefault="004951DF" w:rsidP="004951DF">
                  <w:pPr>
                    <w:jc w:val="right"/>
                    <w:rPr>
                      <w:rFonts w:ascii="Calibri" w:hAnsi="Calibri"/>
                      <w:b/>
                      <w:bCs/>
                    </w:rPr>
                  </w:pPr>
                  <w:r w:rsidRPr="009931CE">
                    <w:rPr>
                      <w:rFonts w:ascii="Calibri" w:hAnsi="Calibri"/>
                      <w:b/>
                      <w:bCs/>
                      <w:sz w:val="22"/>
                      <w:szCs w:val="22"/>
                    </w:rPr>
                    <w:t>2016</w:t>
                  </w:r>
                </w:p>
              </w:tc>
              <w:tc>
                <w:tcPr>
                  <w:tcW w:w="603"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0,5</w:t>
                  </w:r>
                </w:p>
              </w:tc>
              <w:tc>
                <w:tcPr>
                  <w:tcW w:w="461"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1,1</w:t>
                  </w:r>
                </w:p>
              </w:tc>
              <w:tc>
                <w:tcPr>
                  <w:tcW w:w="319"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479" w:type="dxa"/>
                  <w:tcBorders>
                    <w:top w:val="nil"/>
                    <w:left w:val="nil"/>
                    <w:bottom w:val="nil"/>
                    <w:right w:val="nil"/>
                  </w:tcBorders>
                  <w:shd w:val="clear" w:color="000000" w:fill="FFFFFF"/>
                  <w:vAlign w:val="bottom"/>
                  <w:hideMark/>
                </w:tcPr>
                <w:p w:rsidR="004951DF" w:rsidRDefault="004951DF" w:rsidP="004951DF">
                  <w:pPr>
                    <w:jc w:val="right"/>
                    <w:rPr>
                      <w:rFonts w:ascii="Calibri" w:hAnsi="Calibri"/>
                      <w:color w:val="000000"/>
                    </w:rPr>
                  </w:pPr>
                  <w:r>
                    <w:rPr>
                      <w:rFonts w:ascii="Calibri" w:hAnsi="Calibri" w:cs="Arial"/>
                      <w:color w:val="000000"/>
                      <w:sz w:val="22"/>
                      <w:szCs w:val="22"/>
                    </w:rPr>
                    <w:t>-0,</w:t>
                  </w:r>
                  <w:r w:rsidR="00AE4128">
                    <w:rPr>
                      <w:rFonts w:ascii="Calibri" w:hAnsi="Calibri" w:cs="Arial"/>
                      <w:color w:val="000000"/>
                      <w:sz w:val="22"/>
                      <w:szCs w:val="22"/>
                    </w:rPr>
                    <w:t>6</w:t>
                  </w:r>
                </w:p>
              </w:tc>
            </w:tr>
            <w:tr w:rsidR="004951DF" w:rsidTr="00807057">
              <w:trPr>
                <w:trHeight w:val="288"/>
              </w:trPr>
              <w:tc>
                <w:tcPr>
                  <w:tcW w:w="1240" w:type="dxa"/>
                  <w:tcBorders>
                    <w:top w:val="nil"/>
                    <w:left w:val="nil"/>
                    <w:bottom w:val="nil"/>
                    <w:right w:val="nil"/>
                  </w:tcBorders>
                  <w:shd w:val="clear" w:color="auto" w:fill="auto"/>
                  <w:noWrap/>
                  <w:vAlign w:val="bottom"/>
                  <w:hideMark/>
                </w:tcPr>
                <w:p w:rsidR="004951DF" w:rsidRPr="009931CE" w:rsidRDefault="004951DF" w:rsidP="004951DF">
                  <w:pPr>
                    <w:jc w:val="right"/>
                    <w:rPr>
                      <w:rFonts w:ascii="Calibri" w:hAnsi="Calibri"/>
                      <w:b/>
                      <w:bCs/>
                    </w:rPr>
                  </w:pPr>
                  <w:r w:rsidRPr="009931CE">
                    <w:rPr>
                      <w:rFonts w:ascii="Calibri" w:hAnsi="Calibri"/>
                      <w:b/>
                      <w:bCs/>
                      <w:sz w:val="22"/>
                      <w:szCs w:val="22"/>
                    </w:rPr>
                    <w:t>2017</w:t>
                  </w:r>
                </w:p>
              </w:tc>
              <w:tc>
                <w:tcPr>
                  <w:tcW w:w="603"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5,1</w:t>
                  </w:r>
                </w:p>
              </w:tc>
              <w:tc>
                <w:tcPr>
                  <w:tcW w:w="461"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4,2</w:t>
                  </w:r>
                </w:p>
              </w:tc>
              <w:tc>
                <w:tcPr>
                  <w:tcW w:w="319"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479" w:type="dxa"/>
                  <w:tcBorders>
                    <w:top w:val="nil"/>
                    <w:left w:val="nil"/>
                    <w:bottom w:val="nil"/>
                    <w:right w:val="nil"/>
                  </w:tcBorders>
                  <w:shd w:val="clear" w:color="000000" w:fill="FFFFFF"/>
                  <w:vAlign w:val="bottom"/>
                  <w:hideMark/>
                </w:tcPr>
                <w:p w:rsidR="004951DF" w:rsidRDefault="004951DF" w:rsidP="004951DF">
                  <w:pPr>
                    <w:jc w:val="right"/>
                    <w:rPr>
                      <w:rFonts w:ascii="Calibri" w:hAnsi="Calibri"/>
                      <w:color w:val="000000"/>
                    </w:rPr>
                  </w:pPr>
                  <w:r>
                    <w:rPr>
                      <w:rFonts w:ascii="Calibri" w:hAnsi="Calibri" w:cs="Arial"/>
                      <w:color w:val="000000"/>
                      <w:sz w:val="22"/>
                      <w:szCs w:val="22"/>
                    </w:rPr>
                    <w:t>0,</w:t>
                  </w:r>
                  <w:r w:rsidR="00AE4128">
                    <w:rPr>
                      <w:rFonts w:ascii="Calibri" w:hAnsi="Calibri" w:cs="Arial"/>
                      <w:color w:val="000000"/>
                      <w:sz w:val="22"/>
                      <w:szCs w:val="22"/>
                    </w:rPr>
                    <w:t>9</w:t>
                  </w:r>
                </w:p>
              </w:tc>
            </w:tr>
            <w:tr w:rsidR="004951DF" w:rsidTr="00807057">
              <w:trPr>
                <w:trHeight w:val="288"/>
              </w:trPr>
              <w:tc>
                <w:tcPr>
                  <w:tcW w:w="1240" w:type="dxa"/>
                  <w:tcBorders>
                    <w:top w:val="nil"/>
                    <w:left w:val="nil"/>
                    <w:bottom w:val="nil"/>
                    <w:right w:val="nil"/>
                  </w:tcBorders>
                  <w:shd w:val="clear" w:color="auto" w:fill="auto"/>
                  <w:noWrap/>
                  <w:vAlign w:val="bottom"/>
                  <w:hideMark/>
                </w:tcPr>
                <w:p w:rsidR="004951DF" w:rsidRPr="009931CE" w:rsidRDefault="004951DF" w:rsidP="004951DF">
                  <w:pPr>
                    <w:jc w:val="right"/>
                    <w:rPr>
                      <w:rFonts w:ascii="Calibri" w:hAnsi="Calibri"/>
                      <w:b/>
                      <w:bCs/>
                    </w:rPr>
                  </w:pPr>
                  <w:r w:rsidRPr="009931CE">
                    <w:rPr>
                      <w:rFonts w:ascii="Calibri" w:hAnsi="Calibri"/>
                      <w:b/>
                      <w:bCs/>
                      <w:sz w:val="22"/>
                      <w:szCs w:val="22"/>
                    </w:rPr>
                    <w:t>2018</w:t>
                  </w:r>
                </w:p>
              </w:tc>
              <w:tc>
                <w:tcPr>
                  <w:tcW w:w="603"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3,1</w:t>
                  </w:r>
                </w:p>
              </w:tc>
              <w:tc>
                <w:tcPr>
                  <w:tcW w:w="461"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nil"/>
                    <w:right w:val="nil"/>
                  </w:tcBorders>
                  <w:shd w:val="clear" w:color="auto" w:fill="auto"/>
                  <w:noWrap/>
                  <w:vAlign w:val="bottom"/>
                  <w:hideMark/>
                </w:tcPr>
                <w:p w:rsidR="004951DF" w:rsidRDefault="004951DF" w:rsidP="004951DF">
                  <w:pPr>
                    <w:jc w:val="right"/>
                    <w:rPr>
                      <w:rFonts w:ascii="Calibri" w:hAnsi="Calibri"/>
                      <w:color w:val="000000"/>
                    </w:rPr>
                  </w:pPr>
                  <w:r>
                    <w:rPr>
                      <w:rFonts w:ascii="Calibri" w:hAnsi="Calibri"/>
                      <w:color w:val="000000"/>
                      <w:sz w:val="22"/>
                      <w:szCs w:val="22"/>
                    </w:rPr>
                    <w:t>3,1</w:t>
                  </w:r>
                </w:p>
              </w:tc>
              <w:tc>
                <w:tcPr>
                  <w:tcW w:w="319"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479" w:type="dxa"/>
                  <w:tcBorders>
                    <w:top w:val="nil"/>
                    <w:left w:val="nil"/>
                    <w:bottom w:val="nil"/>
                    <w:right w:val="nil"/>
                  </w:tcBorders>
                  <w:shd w:val="clear" w:color="000000" w:fill="FFFFFF"/>
                  <w:vAlign w:val="bottom"/>
                  <w:hideMark/>
                </w:tcPr>
                <w:p w:rsidR="004951DF" w:rsidRDefault="004951DF" w:rsidP="004951DF">
                  <w:pPr>
                    <w:jc w:val="right"/>
                    <w:rPr>
                      <w:rFonts w:ascii="Calibri" w:hAnsi="Calibri"/>
                      <w:color w:val="000000"/>
                    </w:rPr>
                  </w:pPr>
                  <w:r>
                    <w:rPr>
                      <w:rFonts w:ascii="Calibri" w:hAnsi="Calibri" w:cs="Arial"/>
                      <w:color w:val="000000"/>
                      <w:sz w:val="22"/>
                      <w:szCs w:val="22"/>
                    </w:rPr>
                    <w:t>0,</w:t>
                  </w:r>
                  <w:r w:rsidR="00AE4128">
                    <w:rPr>
                      <w:rFonts w:ascii="Calibri" w:hAnsi="Calibri" w:cs="Arial"/>
                      <w:color w:val="000000"/>
                      <w:sz w:val="22"/>
                      <w:szCs w:val="22"/>
                    </w:rPr>
                    <w:t>0</w:t>
                  </w:r>
                </w:p>
              </w:tc>
            </w:tr>
            <w:tr w:rsidR="004951DF" w:rsidTr="00807057">
              <w:trPr>
                <w:trHeight w:hRule="exact" w:val="300"/>
              </w:trPr>
              <w:tc>
                <w:tcPr>
                  <w:tcW w:w="1240" w:type="dxa"/>
                  <w:tcBorders>
                    <w:top w:val="nil"/>
                    <w:left w:val="nil"/>
                    <w:bottom w:val="single" w:sz="12" w:space="0" w:color="76923C"/>
                    <w:right w:val="nil"/>
                  </w:tcBorders>
                  <w:shd w:val="clear" w:color="auto" w:fill="auto"/>
                  <w:vAlign w:val="bottom"/>
                  <w:hideMark/>
                </w:tcPr>
                <w:p w:rsidR="004951DF" w:rsidRPr="009931CE" w:rsidRDefault="004951DF" w:rsidP="004951DF">
                  <w:pPr>
                    <w:jc w:val="right"/>
                    <w:rPr>
                      <w:rFonts w:ascii="Arial" w:hAnsi="Arial" w:cs="Arial"/>
                      <w:b/>
                      <w:bCs/>
                      <w:sz w:val="20"/>
                      <w:szCs w:val="20"/>
                    </w:rPr>
                  </w:pPr>
                  <w:r w:rsidRPr="009931CE">
                    <w:rPr>
                      <w:rFonts w:ascii="Arial" w:hAnsi="Arial" w:cs="Arial"/>
                      <w:b/>
                      <w:bCs/>
                      <w:sz w:val="20"/>
                      <w:szCs w:val="20"/>
                    </w:rPr>
                    <w:t>2019</w:t>
                  </w:r>
                </w:p>
              </w:tc>
              <w:tc>
                <w:tcPr>
                  <w:tcW w:w="603"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single" w:sz="12" w:space="0" w:color="76923C"/>
                    <w:right w:val="nil"/>
                  </w:tcBorders>
                  <w:shd w:val="clear" w:color="auto" w:fill="auto"/>
                  <w:vAlign w:val="bottom"/>
                  <w:hideMark/>
                </w:tcPr>
                <w:p w:rsidR="004951DF" w:rsidRDefault="004951DF" w:rsidP="004951DF">
                  <w:pPr>
                    <w:jc w:val="right"/>
                    <w:rPr>
                      <w:rFonts w:ascii="Arial" w:hAnsi="Arial" w:cs="Arial"/>
                      <w:color w:val="000000"/>
                      <w:sz w:val="20"/>
                      <w:szCs w:val="20"/>
                    </w:rPr>
                  </w:pPr>
                  <w:r>
                    <w:rPr>
                      <w:rFonts w:ascii="Arial" w:hAnsi="Arial" w:cs="Arial"/>
                      <w:color w:val="000000"/>
                      <w:sz w:val="20"/>
                      <w:szCs w:val="20"/>
                    </w:rPr>
                    <w:t>2,9</w:t>
                  </w:r>
                </w:p>
              </w:tc>
              <w:tc>
                <w:tcPr>
                  <w:tcW w:w="461"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240" w:type="dxa"/>
                  <w:tcBorders>
                    <w:top w:val="nil"/>
                    <w:left w:val="nil"/>
                    <w:bottom w:val="single" w:sz="12" w:space="0" w:color="76923C"/>
                    <w:right w:val="nil"/>
                  </w:tcBorders>
                  <w:shd w:val="clear" w:color="auto" w:fill="auto"/>
                  <w:vAlign w:val="bottom"/>
                  <w:hideMark/>
                </w:tcPr>
                <w:p w:rsidR="004951DF" w:rsidRDefault="004951DF" w:rsidP="004951DF">
                  <w:pPr>
                    <w:jc w:val="right"/>
                    <w:rPr>
                      <w:rFonts w:ascii="Arial" w:hAnsi="Arial" w:cs="Arial"/>
                      <w:color w:val="000000"/>
                      <w:sz w:val="20"/>
                      <w:szCs w:val="20"/>
                    </w:rPr>
                  </w:pPr>
                  <w:r>
                    <w:rPr>
                      <w:rFonts w:ascii="Arial" w:hAnsi="Arial" w:cs="Arial"/>
                      <w:color w:val="000000"/>
                      <w:sz w:val="20"/>
                      <w:szCs w:val="20"/>
                    </w:rPr>
                    <w:t>2,6</w:t>
                  </w:r>
                </w:p>
              </w:tc>
              <w:tc>
                <w:tcPr>
                  <w:tcW w:w="319" w:type="dxa"/>
                  <w:tcBorders>
                    <w:top w:val="nil"/>
                    <w:left w:val="nil"/>
                    <w:bottom w:val="nil"/>
                    <w:right w:val="nil"/>
                  </w:tcBorders>
                  <w:shd w:val="clear" w:color="auto" w:fill="auto"/>
                  <w:vAlign w:val="bottom"/>
                  <w:hideMark/>
                </w:tcPr>
                <w:p w:rsidR="004951DF" w:rsidRDefault="004951DF" w:rsidP="004951DF">
                  <w:pPr>
                    <w:rPr>
                      <w:rFonts w:ascii="Calibri" w:hAnsi="Calibri"/>
                      <w:color w:val="000000"/>
                    </w:rPr>
                  </w:pPr>
                </w:p>
              </w:tc>
              <w:tc>
                <w:tcPr>
                  <w:tcW w:w="1479" w:type="dxa"/>
                  <w:tcBorders>
                    <w:top w:val="nil"/>
                    <w:left w:val="nil"/>
                    <w:bottom w:val="single" w:sz="12" w:space="0" w:color="76923C"/>
                    <w:right w:val="nil"/>
                  </w:tcBorders>
                  <w:shd w:val="clear" w:color="auto" w:fill="auto"/>
                  <w:vAlign w:val="bottom"/>
                  <w:hideMark/>
                </w:tcPr>
                <w:p w:rsidR="004951DF" w:rsidRDefault="004951DF" w:rsidP="004951DF">
                  <w:pPr>
                    <w:jc w:val="right"/>
                    <w:rPr>
                      <w:rFonts w:ascii="Arial" w:hAnsi="Arial" w:cs="Arial"/>
                      <w:color w:val="000000"/>
                      <w:sz w:val="20"/>
                      <w:szCs w:val="20"/>
                    </w:rPr>
                  </w:pPr>
                  <w:r>
                    <w:rPr>
                      <w:rFonts w:ascii="Arial" w:hAnsi="Arial" w:cs="Arial"/>
                      <w:color w:val="000000"/>
                      <w:sz w:val="20"/>
                      <w:szCs w:val="20"/>
                    </w:rPr>
                    <w:t>0,3</w:t>
                  </w:r>
                </w:p>
              </w:tc>
            </w:tr>
          </w:tbl>
          <w:p w:rsidR="004951DF" w:rsidRDefault="004951DF" w:rsidP="0031228E">
            <w:pPr>
              <w:spacing w:before="120" w:line="360" w:lineRule="exact"/>
              <w:jc w:val="both"/>
              <w:rPr>
                <w:rFonts w:ascii="Calibri" w:hAnsi="Calibri"/>
                <w:sz w:val="26"/>
                <w:szCs w:val="26"/>
              </w:rPr>
            </w:pPr>
          </w:p>
          <w:p w:rsidR="00EE7576" w:rsidRPr="0031228E" w:rsidRDefault="00EE7576" w:rsidP="00EE7576">
            <w:pPr>
              <w:spacing w:before="120" w:line="360" w:lineRule="exact"/>
              <w:jc w:val="both"/>
              <w:rPr>
                <w:rFonts w:ascii="Calibri" w:hAnsi="Calibri"/>
                <w:sz w:val="26"/>
                <w:szCs w:val="26"/>
              </w:rPr>
            </w:pPr>
            <w:r w:rsidRPr="0031228E">
              <w:rPr>
                <w:rFonts w:ascii="Calibri" w:hAnsi="Calibri"/>
                <w:sz w:val="26"/>
                <w:szCs w:val="26"/>
              </w:rPr>
              <w:lastRenderedPageBreak/>
              <w:t xml:space="preserve">Globalement, les croissances des </w:t>
            </w:r>
            <w:r>
              <w:rPr>
                <w:rFonts w:ascii="Calibri" w:hAnsi="Calibri"/>
                <w:sz w:val="26"/>
                <w:szCs w:val="26"/>
              </w:rPr>
              <w:t>composantes de la demande</w:t>
            </w:r>
            <w:r w:rsidRPr="0031228E">
              <w:rPr>
                <w:rFonts w:ascii="Calibri" w:hAnsi="Calibri"/>
                <w:sz w:val="26"/>
                <w:szCs w:val="26"/>
              </w:rPr>
              <w:t xml:space="preserve"> ont enregistré</w:t>
            </w:r>
            <w:r>
              <w:rPr>
                <w:rFonts w:ascii="Calibri" w:hAnsi="Calibri"/>
                <w:sz w:val="26"/>
                <w:szCs w:val="26"/>
              </w:rPr>
              <w:t>,</w:t>
            </w:r>
            <w:r w:rsidRPr="0031228E">
              <w:rPr>
                <w:rFonts w:ascii="Calibri" w:hAnsi="Calibri"/>
                <w:sz w:val="26"/>
                <w:szCs w:val="26"/>
              </w:rPr>
              <w:t xml:space="preserve"> entre 2014 et 2019</w:t>
            </w:r>
            <w:r>
              <w:rPr>
                <w:rFonts w:ascii="Calibri" w:hAnsi="Calibri"/>
                <w:sz w:val="26"/>
                <w:szCs w:val="26"/>
              </w:rPr>
              <w:t>,</w:t>
            </w:r>
            <w:r w:rsidRPr="0031228E">
              <w:rPr>
                <w:rFonts w:ascii="Calibri" w:hAnsi="Calibri"/>
                <w:sz w:val="26"/>
                <w:szCs w:val="26"/>
              </w:rPr>
              <w:t xml:space="preserve"> des révisions différenciées : la croissance des dépenses de consommation finale des ménages a été révisée de -0,5 %, celle des Administrations Publiques a été revue à la hausse de 0,4%. Par ailleurs, la croissance de la formation brute du capital fixe a été réévaluée de 2,1 % en moyenne annuelle.</w:t>
            </w:r>
          </w:p>
          <w:p w:rsidR="00FB2826" w:rsidRDefault="0031228E" w:rsidP="00C22738">
            <w:pPr>
              <w:spacing w:before="120" w:line="360" w:lineRule="exact"/>
              <w:jc w:val="both"/>
              <w:rPr>
                <w:rFonts w:ascii="Calibri" w:hAnsi="Calibri" w:cs="Calibri"/>
                <w:b/>
                <w:color w:val="C00000"/>
                <w:sz w:val="26"/>
                <w:szCs w:val="26"/>
              </w:rPr>
            </w:pPr>
            <w:r w:rsidRPr="0031228E">
              <w:rPr>
                <w:rFonts w:ascii="Calibri" w:hAnsi="Calibri"/>
                <w:sz w:val="26"/>
                <w:szCs w:val="26"/>
              </w:rPr>
              <w:t xml:space="preserve">Au niveau des échanges extérieurs, la croissance des importations </w:t>
            </w:r>
            <w:r w:rsidR="00AE29DB">
              <w:rPr>
                <w:rFonts w:ascii="Calibri" w:hAnsi="Calibri"/>
                <w:sz w:val="26"/>
                <w:szCs w:val="26"/>
              </w:rPr>
              <w:t xml:space="preserve">et </w:t>
            </w:r>
            <w:r w:rsidR="00AE29DB" w:rsidRPr="0031228E">
              <w:rPr>
                <w:rFonts w:ascii="Calibri" w:hAnsi="Calibri"/>
                <w:sz w:val="26"/>
                <w:szCs w:val="26"/>
              </w:rPr>
              <w:t xml:space="preserve">des exportations </w:t>
            </w:r>
            <w:r w:rsidR="00AE29DB">
              <w:rPr>
                <w:rFonts w:ascii="Calibri" w:hAnsi="Calibri"/>
                <w:sz w:val="26"/>
                <w:szCs w:val="26"/>
              </w:rPr>
              <w:t>ont</w:t>
            </w:r>
            <w:r w:rsidRPr="0031228E">
              <w:rPr>
                <w:rFonts w:ascii="Calibri" w:hAnsi="Calibri"/>
                <w:sz w:val="26"/>
                <w:szCs w:val="26"/>
              </w:rPr>
              <w:t xml:space="preserve"> été réévaluée</w:t>
            </w:r>
            <w:r w:rsidR="00AE29DB">
              <w:rPr>
                <w:rFonts w:ascii="Calibri" w:hAnsi="Calibri"/>
                <w:sz w:val="26"/>
                <w:szCs w:val="26"/>
              </w:rPr>
              <w:t xml:space="preserve"> du même taux soit</w:t>
            </w:r>
            <w:r w:rsidRPr="0031228E">
              <w:rPr>
                <w:rFonts w:ascii="Calibri" w:hAnsi="Calibri"/>
                <w:sz w:val="26"/>
                <w:szCs w:val="26"/>
              </w:rPr>
              <w:t xml:space="preserve"> -0,</w:t>
            </w:r>
            <w:r w:rsidR="00AE29DB">
              <w:rPr>
                <w:rFonts w:ascii="Calibri" w:hAnsi="Calibri"/>
                <w:sz w:val="26"/>
                <w:szCs w:val="26"/>
              </w:rPr>
              <w:t>8</w:t>
            </w:r>
            <w:r w:rsidRPr="0031228E">
              <w:rPr>
                <w:rFonts w:ascii="Calibri" w:hAnsi="Calibri"/>
                <w:sz w:val="26"/>
                <w:szCs w:val="26"/>
              </w:rPr>
              <w:t>% en moyenne annuelle ce qui n’a pas affecté la croissance du déficit commercial entre les deux bases.</w:t>
            </w:r>
          </w:p>
          <w:p w:rsidR="0031228E" w:rsidRPr="001F0C6D" w:rsidRDefault="001F0C6D" w:rsidP="001F0C6D">
            <w:pPr>
              <w:spacing w:before="120" w:line="360" w:lineRule="exact"/>
              <w:jc w:val="both"/>
              <w:rPr>
                <w:rFonts w:ascii="Calibri" w:hAnsi="Calibri"/>
                <w:sz w:val="26"/>
                <w:szCs w:val="26"/>
              </w:rPr>
            </w:pPr>
            <w:r w:rsidRPr="00DF2BF0">
              <w:rPr>
                <w:rFonts w:ascii="Calibri" w:hAnsi="Calibri" w:cs="Calibri"/>
                <w:b/>
                <w:color w:val="C00000"/>
                <w:sz w:val="26"/>
                <w:szCs w:val="26"/>
              </w:rPr>
              <w:t>R</w:t>
            </w:r>
            <w:r w:rsidR="0031228E" w:rsidRPr="00DF2BF0">
              <w:rPr>
                <w:rFonts w:ascii="Calibri" w:hAnsi="Calibri" w:cs="Calibri"/>
                <w:b/>
                <w:color w:val="C00000"/>
                <w:sz w:val="26"/>
                <w:szCs w:val="26"/>
              </w:rPr>
              <w:t>atios macroéconomiques</w:t>
            </w:r>
            <w:r w:rsidRPr="00DF2BF0">
              <w:rPr>
                <w:rFonts w:ascii="Calibri" w:hAnsi="Calibri" w:cs="Calibri"/>
                <w:b/>
                <w:color w:val="C00000"/>
                <w:sz w:val="26"/>
                <w:szCs w:val="26"/>
              </w:rPr>
              <w:t> :</w:t>
            </w:r>
          </w:p>
          <w:p w:rsidR="00AE4128" w:rsidRDefault="00AE4128" w:rsidP="00AE4128">
            <w:pPr>
              <w:spacing w:before="120" w:line="360" w:lineRule="exact"/>
              <w:jc w:val="both"/>
              <w:rPr>
                <w:rFonts w:ascii="Calibri" w:eastAsia="Calibri" w:hAnsi="Calibri"/>
                <w:bCs/>
                <w:sz w:val="26"/>
                <w:szCs w:val="26"/>
                <w:lang w:eastAsia="en-US"/>
              </w:rPr>
            </w:pPr>
            <w:r w:rsidRPr="00AE4128">
              <w:rPr>
                <w:rFonts w:ascii="Calibri" w:eastAsia="Calibri" w:hAnsi="Calibri"/>
                <w:bCs/>
                <w:sz w:val="26"/>
                <w:szCs w:val="26"/>
                <w:lang w:eastAsia="en-US"/>
              </w:rPr>
              <w:t>Le PIB en valeur a été réévalué de 8,1 % sur l’en</w:t>
            </w:r>
            <w:r w:rsidR="00EE7576">
              <w:rPr>
                <w:rFonts w:ascii="Calibri" w:eastAsia="Calibri" w:hAnsi="Calibri"/>
                <w:bCs/>
                <w:sz w:val="26"/>
                <w:szCs w:val="26"/>
                <w:lang w:eastAsia="en-US"/>
              </w:rPr>
              <w:t>semble de la période 2014-2019. R</w:t>
            </w:r>
            <w:r w:rsidRPr="00AE4128">
              <w:rPr>
                <w:rFonts w:ascii="Calibri" w:eastAsia="Calibri" w:hAnsi="Calibri"/>
                <w:bCs/>
                <w:sz w:val="26"/>
                <w:szCs w:val="26"/>
                <w:lang w:eastAsia="en-US"/>
              </w:rPr>
              <w:t xml:space="preserve">apporté à la population, le PIB par tête est passé </w:t>
            </w:r>
            <w:r w:rsidR="005F0B1C" w:rsidRPr="00AE4128">
              <w:rPr>
                <w:rFonts w:ascii="Calibri" w:eastAsia="Calibri" w:hAnsi="Calibri"/>
                <w:bCs/>
                <w:sz w:val="26"/>
                <w:szCs w:val="26"/>
                <w:lang w:eastAsia="en-US"/>
              </w:rPr>
              <w:t>de 29</w:t>
            </w:r>
            <w:r w:rsidRPr="00AE4128">
              <w:rPr>
                <w:rFonts w:ascii="Calibri" w:eastAsia="Calibri" w:hAnsi="Calibri"/>
                <w:bCs/>
                <w:sz w:val="26"/>
                <w:szCs w:val="26"/>
                <w:lang w:eastAsia="en-US"/>
              </w:rPr>
              <w:t xml:space="preserve"> 656 DH en 2014 à 34 840 DH en 2019. Il s’est </w:t>
            </w:r>
            <w:r w:rsidR="00FB2826" w:rsidRPr="00AE4128">
              <w:rPr>
                <w:rFonts w:ascii="Calibri" w:eastAsia="Calibri" w:hAnsi="Calibri"/>
                <w:bCs/>
                <w:sz w:val="26"/>
                <w:szCs w:val="26"/>
                <w:lang w:eastAsia="en-US"/>
              </w:rPr>
              <w:t>situé à</w:t>
            </w:r>
            <w:r w:rsidRPr="00AE4128">
              <w:rPr>
                <w:rFonts w:ascii="Calibri" w:eastAsia="Calibri" w:hAnsi="Calibri"/>
                <w:bCs/>
                <w:sz w:val="26"/>
                <w:szCs w:val="26"/>
                <w:lang w:eastAsia="en-US"/>
              </w:rPr>
              <w:t xml:space="preserve"> 32 453 DH par an, en moyenne, soit une augmentation </w:t>
            </w:r>
            <w:r w:rsidR="00FB2826" w:rsidRPr="00AE4128">
              <w:rPr>
                <w:rFonts w:ascii="Calibri" w:eastAsia="Calibri" w:hAnsi="Calibri"/>
                <w:bCs/>
                <w:sz w:val="26"/>
                <w:szCs w:val="26"/>
                <w:lang w:eastAsia="en-US"/>
              </w:rPr>
              <w:t>de 2436</w:t>
            </w:r>
            <w:r w:rsidRPr="00AE4128">
              <w:rPr>
                <w:rFonts w:ascii="Calibri" w:eastAsia="Calibri" w:hAnsi="Calibri"/>
                <w:bCs/>
                <w:sz w:val="26"/>
                <w:szCs w:val="26"/>
                <w:lang w:eastAsia="en-US"/>
              </w:rPr>
              <w:t xml:space="preserve"> DH par habitant par rapport à la base 2007.</w:t>
            </w:r>
          </w:p>
          <w:p w:rsidR="00C22738" w:rsidRPr="00AE4128" w:rsidRDefault="00C22738" w:rsidP="00016DEE">
            <w:pPr>
              <w:jc w:val="both"/>
              <w:rPr>
                <w:rFonts w:ascii="Calibri" w:eastAsia="Calibri" w:hAnsi="Calibri"/>
                <w:bCs/>
                <w:sz w:val="26"/>
                <w:szCs w:val="26"/>
                <w:lang w:eastAsia="en-US"/>
              </w:rPr>
            </w:pPr>
          </w:p>
          <w:p w:rsidR="0031228E" w:rsidRDefault="007A5854" w:rsidP="00C97BC6">
            <w:pPr>
              <w:autoSpaceDE w:val="0"/>
              <w:autoSpaceDN w:val="0"/>
              <w:adjustRightInd w:val="0"/>
              <w:spacing w:line="360" w:lineRule="exact"/>
              <w:jc w:val="both"/>
              <w:rPr>
                <w:rFonts w:ascii="Arial" w:hAnsi="Arial" w:cs="Arial"/>
                <w:b/>
                <w:color w:val="C00000"/>
                <w:sz w:val="28"/>
                <w:szCs w:val="28"/>
              </w:rPr>
            </w:pPr>
            <w:r w:rsidRPr="00834FD7">
              <w:rPr>
                <w:rFonts w:ascii="Calibri" w:eastAsia="Calibri" w:hAnsi="Calibri"/>
                <w:bCs/>
                <w:sz w:val="26"/>
                <w:szCs w:val="26"/>
                <w:lang w:eastAsia="en-US"/>
              </w:rPr>
              <w:t xml:space="preserve">L’investissement brut a consolidé sa part dans le PIB aux alentours de 31,2% en moyenne par an. Durant la période 2014-2019, les sociétés </w:t>
            </w:r>
            <w:r>
              <w:rPr>
                <w:rFonts w:ascii="Calibri" w:eastAsia="Calibri" w:hAnsi="Calibri"/>
                <w:bCs/>
                <w:sz w:val="26"/>
                <w:szCs w:val="26"/>
                <w:lang w:eastAsia="en-US"/>
              </w:rPr>
              <w:t xml:space="preserve">non financières </w:t>
            </w:r>
            <w:r w:rsidRPr="00834FD7">
              <w:rPr>
                <w:rFonts w:ascii="Calibri" w:eastAsia="Calibri" w:hAnsi="Calibri"/>
                <w:bCs/>
                <w:sz w:val="26"/>
                <w:szCs w:val="26"/>
                <w:lang w:eastAsia="en-US"/>
              </w:rPr>
              <w:t>ont participé, à l’effort d’investissement</w:t>
            </w:r>
            <w:r>
              <w:rPr>
                <w:rFonts w:ascii="Calibri" w:eastAsia="Calibri" w:hAnsi="Calibri"/>
                <w:bCs/>
                <w:sz w:val="26"/>
                <w:szCs w:val="26"/>
                <w:lang w:eastAsia="en-US"/>
              </w:rPr>
              <w:t xml:space="preserve"> par </w:t>
            </w:r>
            <w:r w:rsidRPr="00834FD7">
              <w:rPr>
                <w:rFonts w:ascii="Calibri" w:eastAsia="Calibri" w:hAnsi="Calibri"/>
                <w:bCs/>
                <w:sz w:val="26"/>
                <w:szCs w:val="26"/>
                <w:lang w:eastAsia="en-US"/>
              </w:rPr>
              <w:t xml:space="preserve">56,1%, les ménages et </w:t>
            </w:r>
            <w:r>
              <w:rPr>
                <w:rFonts w:ascii="Calibri" w:eastAsia="Calibri" w:hAnsi="Calibri"/>
                <w:bCs/>
                <w:sz w:val="26"/>
                <w:szCs w:val="26"/>
                <w:lang w:eastAsia="en-US"/>
              </w:rPr>
              <w:t xml:space="preserve">les </w:t>
            </w:r>
            <w:r w:rsidRPr="00A61583">
              <w:rPr>
                <w:rFonts w:ascii="Calibri" w:eastAsia="Calibri" w:hAnsi="Calibri"/>
                <w:bCs/>
                <w:sz w:val="26"/>
                <w:szCs w:val="26"/>
                <w:lang w:eastAsia="en-US"/>
              </w:rPr>
              <w:t>Institution</w:t>
            </w:r>
            <w:r>
              <w:rPr>
                <w:rFonts w:ascii="Calibri" w:eastAsia="Calibri" w:hAnsi="Calibri"/>
                <w:bCs/>
                <w:sz w:val="26"/>
                <w:szCs w:val="26"/>
                <w:lang w:eastAsia="en-US"/>
              </w:rPr>
              <w:t>s</w:t>
            </w:r>
            <w:r w:rsidRPr="00A61583">
              <w:rPr>
                <w:rFonts w:ascii="Calibri" w:eastAsia="Calibri" w:hAnsi="Calibri"/>
                <w:bCs/>
                <w:sz w:val="26"/>
                <w:szCs w:val="26"/>
                <w:lang w:eastAsia="en-US"/>
              </w:rPr>
              <w:t xml:space="preserve"> Sans But Lucratif au service des ménages</w:t>
            </w:r>
            <w:r w:rsidRPr="00834FD7">
              <w:rPr>
                <w:rFonts w:ascii="Calibri" w:eastAsia="Calibri" w:hAnsi="Calibri"/>
                <w:bCs/>
                <w:sz w:val="26"/>
                <w:szCs w:val="26"/>
                <w:lang w:eastAsia="en-US"/>
              </w:rPr>
              <w:t xml:space="preserve"> </w:t>
            </w:r>
            <w:r>
              <w:rPr>
                <w:rFonts w:ascii="Calibri" w:eastAsia="Calibri" w:hAnsi="Calibri"/>
                <w:bCs/>
                <w:sz w:val="26"/>
                <w:szCs w:val="26"/>
                <w:lang w:eastAsia="en-US"/>
              </w:rPr>
              <w:t>p</w:t>
            </w:r>
            <w:r w:rsidRPr="00834FD7">
              <w:rPr>
                <w:rFonts w:ascii="Calibri" w:eastAsia="Calibri" w:hAnsi="Calibri"/>
                <w:bCs/>
                <w:sz w:val="26"/>
                <w:szCs w:val="26"/>
                <w:lang w:eastAsia="en-US"/>
              </w:rPr>
              <w:t>ar 25,8% (essentiell</w:t>
            </w:r>
            <w:r>
              <w:rPr>
                <w:rFonts w:ascii="Calibri" w:eastAsia="Calibri" w:hAnsi="Calibri"/>
                <w:bCs/>
                <w:sz w:val="26"/>
                <w:szCs w:val="26"/>
                <w:lang w:eastAsia="en-US"/>
              </w:rPr>
              <w:t>ement en matière de logement),</w:t>
            </w:r>
            <w:r w:rsidRPr="00834FD7">
              <w:rPr>
                <w:rFonts w:ascii="Calibri" w:eastAsia="Calibri" w:hAnsi="Calibri"/>
                <w:bCs/>
                <w:sz w:val="26"/>
                <w:szCs w:val="26"/>
                <w:lang w:eastAsia="en-US"/>
              </w:rPr>
              <w:t xml:space="preserve"> les A</w:t>
            </w:r>
            <w:r>
              <w:rPr>
                <w:rFonts w:ascii="Calibri" w:eastAsia="Calibri" w:hAnsi="Calibri"/>
                <w:bCs/>
                <w:sz w:val="26"/>
                <w:szCs w:val="26"/>
                <w:lang w:eastAsia="en-US"/>
              </w:rPr>
              <w:t xml:space="preserve">dministrations Publiques </w:t>
            </w:r>
            <w:r w:rsidRPr="00834FD7">
              <w:rPr>
                <w:rFonts w:ascii="Calibri" w:eastAsia="Calibri" w:hAnsi="Calibri"/>
                <w:bCs/>
                <w:sz w:val="26"/>
                <w:szCs w:val="26"/>
                <w:lang w:eastAsia="en-US"/>
              </w:rPr>
              <w:t xml:space="preserve"> par 16,7%</w:t>
            </w:r>
            <w:r>
              <w:rPr>
                <w:rFonts w:ascii="Calibri" w:eastAsia="Calibri" w:hAnsi="Calibri"/>
                <w:bCs/>
                <w:sz w:val="26"/>
                <w:szCs w:val="26"/>
                <w:lang w:eastAsia="en-US"/>
              </w:rPr>
              <w:t xml:space="preserve"> et les sociétés financières par 1,4%</w:t>
            </w:r>
            <w:r w:rsidRPr="00834FD7">
              <w:rPr>
                <w:rFonts w:ascii="Calibri" w:eastAsia="Calibri" w:hAnsi="Calibri"/>
                <w:bCs/>
                <w:sz w:val="26"/>
                <w:szCs w:val="26"/>
                <w:lang w:eastAsia="en-US"/>
              </w:rPr>
              <w:t>.</w:t>
            </w:r>
          </w:p>
          <w:p w:rsidR="0031228E" w:rsidRDefault="0031228E" w:rsidP="00C97BC6">
            <w:pPr>
              <w:autoSpaceDE w:val="0"/>
              <w:autoSpaceDN w:val="0"/>
              <w:adjustRightInd w:val="0"/>
              <w:spacing w:line="360" w:lineRule="exact"/>
              <w:jc w:val="both"/>
              <w:rPr>
                <w:rFonts w:ascii="Arial" w:hAnsi="Arial" w:cs="Arial"/>
                <w:b/>
                <w:color w:val="C00000"/>
                <w:sz w:val="28"/>
                <w:szCs w:val="28"/>
              </w:rPr>
            </w:pPr>
          </w:p>
          <w:p w:rsidR="0031228E" w:rsidRDefault="0031228E" w:rsidP="00C97BC6">
            <w:pPr>
              <w:autoSpaceDE w:val="0"/>
              <w:autoSpaceDN w:val="0"/>
              <w:adjustRightInd w:val="0"/>
              <w:spacing w:line="360" w:lineRule="exact"/>
              <w:jc w:val="both"/>
              <w:rPr>
                <w:rFonts w:ascii="Arial" w:hAnsi="Arial" w:cs="Arial"/>
                <w:b/>
                <w:color w:val="C00000"/>
                <w:sz w:val="28"/>
                <w:szCs w:val="28"/>
              </w:rPr>
            </w:pPr>
          </w:p>
          <w:p w:rsidR="0031228E" w:rsidRDefault="0031228E" w:rsidP="00C97BC6">
            <w:pPr>
              <w:autoSpaceDE w:val="0"/>
              <w:autoSpaceDN w:val="0"/>
              <w:adjustRightInd w:val="0"/>
              <w:spacing w:line="360" w:lineRule="exact"/>
              <w:jc w:val="both"/>
              <w:rPr>
                <w:rFonts w:ascii="Arial" w:hAnsi="Arial" w:cs="Arial"/>
                <w:b/>
                <w:color w:val="C00000"/>
                <w:sz w:val="28"/>
                <w:szCs w:val="28"/>
              </w:rPr>
            </w:pPr>
          </w:p>
          <w:p w:rsidR="0031228E" w:rsidRDefault="0031228E" w:rsidP="00C97BC6">
            <w:pPr>
              <w:autoSpaceDE w:val="0"/>
              <w:autoSpaceDN w:val="0"/>
              <w:adjustRightInd w:val="0"/>
              <w:spacing w:line="360" w:lineRule="exact"/>
              <w:jc w:val="both"/>
              <w:rPr>
                <w:rFonts w:ascii="Arial" w:hAnsi="Arial" w:cs="Arial"/>
                <w:b/>
                <w:color w:val="C00000"/>
                <w:sz w:val="28"/>
                <w:szCs w:val="28"/>
              </w:rPr>
            </w:pPr>
          </w:p>
          <w:p w:rsidR="00C97BC6" w:rsidRPr="00C97BC6" w:rsidRDefault="00C97BC6" w:rsidP="00C97BC6">
            <w:pPr>
              <w:spacing w:after="240" w:line="360" w:lineRule="exact"/>
              <w:jc w:val="both"/>
              <w:rPr>
                <w:rFonts w:ascii="Calibri" w:eastAsia="Calibri" w:hAnsi="Calibri"/>
                <w:bCs/>
                <w:sz w:val="26"/>
                <w:szCs w:val="26"/>
                <w:lang w:eastAsia="en-US"/>
              </w:rPr>
            </w:pPr>
          </w:p>
          <w:p w:rsidR="00C97BC6" w:rsidRPr="00C97BC6" w:rsidRDefault="00C97BC6" w:rsidP="004951DF">
            <w:pPr>
              <w:spacing w:before="120" w:line="360" w:lineRule="exact"/>
              <w:jc w:val="both"/>
              <w:rPr>
                <w:rFonts w:ascii="Calibri" w:eastAsia="Calibri" w:hAnsi="Calibri"/>
                <w:bCs/>
                <w:sz w:val="26"/>
                <w:szCs w:val="26"/>
                <w:lang w:eastAsia="en-US"/>
              </w:rPr>
            </w:pPr>
            <w:r w:rsidRPr="00C97BC6">
              <w:rPr>
                <w:rFonts w:ascii="Calibri" w:eastAsia="Calibri" w:hAnsi="Calibri"/>
                <w:bCs/>
                <w:sz w:val="26"/>
                <w:szCs w:val="26"/>
                <w:lang w:eastAsia="en-US"/>
              </w:rPr>
              <w:t xml:space="preserve">. </w:t>
            </w:r>
          </w:p>
          <w:p w:rsidR="00C97BC6" w:rsidRPr="004C0F54" w:rsidRDefault="00C97BC6" w:rsidP="00C97BC6">
            <w:pPr>
              <w:spacing w:line="360" w:lineRule="exact"/>
              <w:jc w:val="both"/>
              <w:rPr>
                <w:rFonts w:ascii="Calibri" w:eastAsia="Calibri" w:hAnsi="Calibri" w:cs="Calibri"/>
                <w:b/>
              </w:rPr>
            </w:pPr>
          </w:p>
          <w:p w:rsidR="00C97BC6" w:rsidRPr="004C0F54" w:rsidRDefault="00C97BC6" w:rsidP="00C97BC6">
            <w:pPr>
              <w:spacing w:line="360" w:lineRule="exact"/>
              <w:jc w:val="both"/>
              <w:rPr>
                <w:rFonts w:ascii="Calibri" w:eastAsia="Calibri" w:hAnsi="Calibri" w:cs="Calibri"/>
                <w:b/>
              </w:rPr>
            </w:pPr>
          </w:p>
          <w:p w:rsidR="00C97BC6" w:rsidRPr="004C0F54" w:rsidRDefault="00C97BC6" w:rsidP="00C97BC6">
            <w:pPr>
              <w:spacing w:line="360" w:lineRule="exact"/>
              <w:jc w:val="both"/>
              <w:rPr>
                <w:rFonts w:ascii="Calibri" w:eastAsia="Calibri" w:hAnsi="Calibri" w:cs="Calibri"/>
                <w:b/>
              </w:rPr>
            </w:pPr>
          </w:p>
          <w:p w:rsidR="00C97BC6" w:rsidRPr="004C0F54" w:rsidRDefault="00C97BC6" w:rsidP="00C97BC6"/>
          <w:p w:rsidR="00DE1D65" w:rsidRDefault="00DE1D65" w:rsidP="00512A01">
            <w:pPr>
              <w:pStyle w:val="Titre3"/>
              <w:shd w:val="clear" w:color="auto" w:fill="FFFFFF"/>
              <w:spacing w:before="0" w:beforeAutospacing="0" w:after="0" w:afterAutospacing="0"/>
              <w:ind w:right="213"/>
              <w:jc w:val="both"/>
              <w:rPr>
                <w:rFonts w:ascii="Book Antiqua" w:hAnsi="Book Antiqua"/>
                <w:sz w:val="28"/>
                <w:szCs w:val="28"/>
                <w:lang w:val="fr-FR" w:eastAsia="fr-FR"/>
              </w:rPr>
            </w:pPr>
          </w:p>
          <w:p w:rsidR="00453FB2" w:rsidRPr="0070208D" w:rsidRDefault="00453FB2" w:rsidP="00CB315A">
            <w:pPr>
              <w:rPr>
                <w:b/>
                <w:bCs/>
                <w:sz w:val="26"/>
                <w:szCs w:val="26"/>
              </w:rPr>
            </w:pPr>
          </w:p>
        </w:tc>
      </w:tr>
    </w:tbl>
    <w:p w:rsidR="00453FB2" w:rsidRDefault="00453FB2" w:rsidP="009B0B15">
      <w:bookmarkStart w:id="0" w:name="_MON_1441711720"/>
      <w:bookmarkStart w:id="1" w:name="_MON_1441775101"/>
      <w:bookmarkStart w:id="2" w:name="_MON_1441778557"/>
      <w:bookmarkStart w:id="3" w:name="_MON_1441799777"/>
      <w:bookmarkStart w:id="4" w:name="_MON_1442074274"/>
      <w:bookmarkStart w:id="5" w:name="_MON_1442074357"/>
      <w:bookmarkEnd w:id="0"/>
      <w:bookmarkEnd w:id="1"/>
      <w:bookmarkEnd w:id="2"/>
      <w:bookmarkEnd w:id="3"/>
      <w:bookmarkEnd w:id="4"/>
      <w:bookmarkEnd w:id="5"/>
    </w:p>
    <w:sectPr w:rsidR="00453FB2" w:rsidSect="004951DF">
      <w:footerReference w:type="default" r:id="rId10"/>
      <w:pgSz w:w="12240" w:h="15840"/>
      <w:pgMar w:top="1418" w:right="1531" w:bottom="1418" w:left="136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26D" w:rsidRDefault="0069526D" w:rsidP="00611FF6">
      <w:r>
        <w:separator/>
      </w:r>
    </w:p>
  </w:endnote>
  <w:endnote w:type="continuationSeparator" w:id="0">
    <w:p w:rsidR="0069526D" w:rsidRDefault="0069526D" w:rsidP="0061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A2" w:rsidRDefault="00375AA2">
    <w:pPr>
      <w:pStyle w:val="Pieddepage"/>
      <w:jc w:val="center"/>
    </w:pPr>
    <w:fldSimple w:instr=" PAGE   \* MERGEFORMAT ">
      <w:r w:rsidR="00B845E5">
        <w:rPr>
          <w:noProof/>
        </w:rPr>
        <w:t>2</w:t>
      </w:r>
    </w:fldSimple>
  </w:p>
  <w:p w:rsidR="00375AA2" w:rsidRDefault="00375A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26D" w:rsidRDefault="0069526D" w:rsidP="00611FF6">
      <w:r>
        <w:separator/>
      </w:r>
    </w:p>
  </w:footnote>
  <w:footnote w:type="continuationSeparator" w:id="0">
    <w:p w:rsidR="0069526D" w:rsidRDefault="0069526D" w:rsidP="0061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5BBB"/>
    <w:multiLevelType w:val="hybridMultilevel"/>
    <w:tmpl w:val="AA3E7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194AF1"/>
    <w:multiLevelType w:val="hybridMultilevel"/>
    <w:tmpl w:val="6652B41C"/>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114118A2"/>
    <w:multiLevelType w:val="hybridMultilevel"/>
    <w:tmpl w:val="08F28194"/>
    <w:lvl w:ilvl="0" w:tplc="040C0001">
      <w:start w:val="1"/>
      <w:numFmt w:val="bullet"/>
      <w:lvlText w:val=""/>
      <w:lvlJc w:val="left"/>
      <w:pPr>
        <w:ind w:left="958" w:hanging="360"/>
      </w:pPr>
      <w:rPr>
        <w:rFonts w:ascii="Symbol" w:hAnsi="Symbo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3">
    <w:nsid w:val="155043CB"/>
    <w:multiLevelType w:val="hybridMultilevel"/>
    <w:tmpl w:val="228A687E"/>
    <w:lvl w:ilvl="0" w:tplc="040C0001">
      <w:start w:val="1"/>
      <w:numFmt w:val="bullet"/>
      <w:lvlText w:val=""/>
      <w:lvlJc w:val="left"/>
      <w:pPr>
        <w:tabs>
          <w:tab w:val="num" w:pos="814"/>
        </w:tabs>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4">
    <w:nsid w:val="1A4D3D7D"/>
    <w:multiLevelType w:val="hybridMultilevel"/>
    <w:tmpl w:val="47342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5741EA"/>
    <w:multiLevelType w:val="hybridMultilevel"/>
    <w:tmpl w:val="E3027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E316F1"/>
    <w:multiLevelType w:val="multilevel"/>
    <w:tmpl w:val="898A1984"/>
    <w:lvl w:ilvl="0">
      <w:start w:val="1"/>
      <w:numFmt w:val="bullet"/>
      <w:lvlText w:val=""/>
      <w:lvlJc w:val="left"/>
      <w:pPr>
        <w:ind w:left="814" w:hanging="360"/>
      </w:pPr>
      <w:rPr>
        <w:rFonts w:ascii="Symbol" w:hAnsi="Symbol" w:hint="default"/>
      </w:rPr>
    </w:lvl>
    <w:lvl w:ilvl="1">
      <w:start w:val="1"/>
      <w:numFmt w:val="bullet"/>
      <w:lvlText w:val="o"/>
      <w:lvlJc w:val="left"/>
      <w:pPr>
        <w:ind w:left="1534" w:hanging="360"/>
      </w:pPr>
      <w:rPr>
        <w:rFonts w:ascii="Courier New" w:hAnsi="Courier New" w:hint="default"/>
      </w:rPr>
    </w:lvl>
    <w:lvl w:ilvl="2">
      <w:start w:val="1"/>
      <w:numFmt w:val="bullet"/>
      <w:lvlText w:val=""/>
      <w:lvlJc w:val="left"/>
      <w:pPr>
        <w:ind w:left="2254" w:hanging="360"/>
      </w:pPr>
      <w:rPr>
        <w:rFonts w:ascii="Wingdings" w:hAnsi="Wingdings" w:hint="default"/>
      </w:rPr>
    </w:lvl>
    <w:lvl w:ilvl="3">
      <w:start w:val="1"/>
      <w:numFmt w:val="bullet"/>
      <w:lvlText w:val=""/>
      <w:lvlJc w:val="left"/>
      <w:pPr>
        <w:ind w:left="2974" w:hanging="360"/>
      </w:pPr>
      <w:rPr>
        <w:rFonts w:ascii="Symbol" w:hAnsi="Symbol" w:hint="default"/>
      </w:rPr>
    </w:lvl>
    <w:lvl w:ilvl="4">
      <w:start w:val="1"/>
      <w:numFmt w:val="bullet"/>
      <w:lvlText w:val="o"/>
      <w:lvlJc w:val="left"/>
      <w:pPr>
        <w:ind w:left="3694" w:hanging="360"/>
      </w:pPr>
      <w:rPr>
        <w:rFonts w:ascii="Courier New" w:hAnsi="Courier New" w:hint="default"/>
      </w:rPr>
    </w:lvl>
    <w:lvl w:ilvl="5">
      <w:start w:val="1"/>
      <w:numFmt w:val="bullet"/>
      <w:lvlText w:val=""/>
      <w:lvlJc w:val="left"/>
      <w:pPr>
        <w:ind w:left="4414" w:hanging="360"/>
      </w:pPr>
      <w:rPr>
        <w:rFonts w:ascii="Wingdings" w:hAnsi="Wingdings" w:hint="default"/>
      </w:rPr>
    </w:lvl>
    <w:lvl w:ilvl="6">
      <w:start w:val="1"/>
      <w:numFmt w:val="bullet"/>
      <w:lvlText w:val=""/>
      <w:lvlJc w:val="left"/>
      <w:pPr>
        <w:ind w:left="5134" w:hanging="360"/>
      </w:pPr>
      <w:rPr>
        <w:rFonts w:ascii="Symbol" w:hAnsi="Symbol" w:hint="default"/>
      </w:rPr>
    </w:lvl>
    <w:lvl w:ilvl="7">
      <w:start w:val="1"/>
      <w:numFmt w:val="bullet"/>
      <w:lvlText w:val="o"/>
      <w:lvlJc w:val="left"/>
      <w:pPr>
        <w:ind w:left="5854" w:hanging="360"/>
      </w:pPr>
      <w:rPr>
        <w:rFonts w:ascii="Courier New" w:hAnsi="Courier New" w:hint="default"/>
      </w:rPr>
    </w:lvl>
    <w:lvl w:ilvl="8">
      <w:start w:val="1"/>
      <w:numFmt w:val="bullet"/>
      <w:lvlText w:val=""/>
      <w:lvlJc w:val="left"/>
      <w:pPr>
        <w:ind w:left="6574" w:hanging="360"/>
      </w:pPr>
      <w:rPr>
        <w:rFonts w:ascii="Wingdings" w:hAnsi="Wingdings" w:hint="default"/>
      </w:rPr>
    </w:lvl>
  </w:abstractNum>
  <w:abstractNum w:abstractNumId="7">
    <w:nsid w:val="424A46C5"/>
    <w:multiLevelType w:val="hybridMultilevel"/>
    <w:tmpl w:val="898A1984"/>
    <w:lvl w:ilvl="0" w:tplc="040C0001">
      <w:start w:val="1"/>
      <w:numFmt w:val="bullet"/>
      <w:lvlText w:val=""/>
      <w:lvlJc w:val="left"/>
      <w:pPr>
        <w:ind w:left="814" w:hanging="360"/>
      </w:pPr>
      <w:rPr>
        <w:rFonts w:ascii="Symbol" w:hAnsi="Symbol"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8">
    <w:nsid w:val="4977277F"/>
    <w:multiLevelType w:val="hybridMultilevel"/>
    <w:tmpl w:val="AD4016A0"/>
    <w:lvl w:ilvl="0" w:tplc="FD9A964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nsid w:val="4B2F1B5E"/>
    <w:multiLevelType w:val="hybridMultilevel"/>
    <w:tmpl w:val="2AE4B876"/>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0">
    <w:nsid w:val="51515430"/>
    <w:multiLevelType w:val="hybridMultilevel"/>
    <w:tmpl w:val="FD4E3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F454E6"/>
    <w:multiLevelType w:val="hybridMultilevel"/>
    <w:tmpl w:val="5606847E"/>
    <w:lvl w:ilvl="0" w:tplc="F678E6FE">
      <w:numFmt w:val="bullet"/>
      <w:lvlText w:val="-"/>
      <w:lvlJc w:val="left"/>
      <w:pPr>
        <w:ind w:left="1020" w:hanging="360"/>
      </w:pPr>
      <w:rPr>
        <w:rFonts w:ascii="Times New Roman" w:eastAsia="Times New Roman" w:hAnsi="Times New Roman" w:cs="Times New Roman"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2">
    <w:nsid w:val="525966EA"/>
    <w:multiLevelType w:val="hybridMultilevel"/>
    <w:tmpl w:val="E9D64AA8"/>
    <w:lvl w:ilvl="0" w:tplc="FFFFFFFF">
      <w:numFmt w:val="bullet"/>
      <w:lvlText w:val="-"/>
      <w:lvlJc w:val="left"/>
      <w:pPr>
        <w:tabs>
          <w:tab w:val="num" w:pos="814"/>
        </w:tabs>
        <w:ind w:left="814" w:hanging="360"/>
      </w:pPr>
      <w:rPr>
        <w:rFonts w:ascii="Times New Roman" w:eastAsia="Times New Roman" w:hAnsi="Times New Roman" w:cs="Times New Roman" w:hint="default"/>
      </w:rPr>
    </w:lvl>
    <w:lvl w:ilvl="1" w:tplc="040C0003">
      <w:start w:val="1"/>
      <w:numFmt w:val="bullet"/>
      <w:lvlText w:val="o"/>
      <w:lvlJc w:val="left"/>
      <w:pPr>
        <w:ind w:left="1534" w:hanging="360"/>
      </w:pPr>
      <w:rPr>
        <w:rFonts w:ascii="Courier New" w:hAnsi="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hint="default"/>
      </w:rPr>
    </w:lvl>
    <w:lvl w:ilvl="8" w:tplc="040C0005">
      <w:start w:val="1"/>
      <w:numFmt w:val="bullet"/>
      <w:lvlText w:val=""/>
      <w:lvlJc w:val="left"/>
      <w:pPr>
        <w:ind w:left="6574" w:hanging="360"/>
      </w:pPr>
      <w:rPr>
        <w:rFonts w:ascii="Wingdings" w:hAnsi="Wingdings" w:hint="default"/>
      </w:rPr>
    </w:lvl>
  </w:abstractNum>
  <w:abstractNum w:abstractNumId="13">
    <w:nsid w:val="554B58AF"/>
    <w:multiLevelType w:val="hybridMultilevel"/>
    <w:tmpl w:val="CEF408B6"/>
    <w:lvl w:ilvl="0" w:tplc="F678E6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EF6DA7"/>
    <w:multiLevelType w:val="hybridMultilevel"/>
    <w:tmpl w:val="C8AE4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F1148BB"/>
    <w:multiLevelType w:val="hybridMultilevel"/>
    <w:tmpl w:val="96F0F4C0"/>
    <w:lvl w:ilvl="0" w:tplc="47DAF6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A21206F"/>
    <w:multiLevelType w:val="hybridMultilevel"/>
    <w:tmpl w:val="F922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12"/>
  </w:num>
  <w:num w:numId="6">
    <w:abstractNumId w:val="4"/>
  </w:num>
  <w:num w:numId="7">
    <w:abstractNumId w:val="2"/>
  </w:num>
  <w:num w:numId="8">
    <w:abstractNumId w:val="16"/>
  </w:num>
  <w:num w:numId="9">
    <w:abstractNumId w:val="8"/>
  </w:num>
  <w:num w:numId="10">
    <w:abstractNumId w:val="5"/>
  </w:num>
  <w:num w:numId="11">
    <w:abstractNumId w:val="3"/>
  </w:num>
  <w:num w:numId="12">
    <w:abstractNumId w:val="11"/>
  </w:num>
  <w:num w:numId="13">
    <w:abstractNumId w:val="13"/>
  </w:num>
  <w:num w:numId="14">
    <w:abstractNumId w:val="14"/>
  </w:num>
  <w:num w:numId="15">
    <w:abstractNumId w:val="0"/>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607DF"/>
    <w:rsid w:val="000000E4"/>
    <w:rsid w:val="0000382C"/>
    <w:rsid w:val="00007F0A"/>
    <w:rsid w:val="000119D2"/>
    <w:rsid w:val="0001570D"/>
    <w:rsid w:val="00016DEE"/>
    <w:rsid w:val="00021C5B"/>
    <w:rsid w:val="00034A3F"/>
    <w:rsid w:val="000372D7"/>
    <w:rsid w:val="00044FC6"/>
    <w:rsid w:val="00046D53"/>
    <w:rsid w:val="0004751D"/>
    <w:rsid w:val="00051206"/>
    <w:rsid w:val="000532E5"/>
    <w:rsid w:val="000535AB"/>
    <w:rsid w:val="0005395B"/>
    <w:rsid w:val="00053BAE"/>
    <w:rsid w:val="000604C4"/>
    <w:rsid w:val="00061CCC"/>
    <w:rsid w:val="0006664F"/>
    <w:rsid w:val="00070640"/>
    <w:rsid w:val="0007102C"/>
    <w:rsid w:val="00071DEC"/>
    <w:rsid w:val="00072E38"/>
    <w:rsid w:val="0007573E"/>
    <w:rsid w:val="000764F4"/>
    <w:rsid w:val="00085217"/>
    <w:rsid w:val="000854C9"/>
    <w:rsid w:val="0008668A"/>
    <w:rsid w:val="000911F6"/>
    <w:rsid w:val="00091B25"/>
    <w:rsid w:val="0009383B"/>
    <w:rsid w:val="000946A7"/>
    <w:rsid w:val="000B0B65"/>
    <w:rsid w:val="000B4B3E"/>
    <w:rsid w:val="000B5668"/>
    <w:rsid w:val="000B58FC"/>
    <w:rsid w:val="000C09AF"/>
    <w:rsid w:val="000C0BE1"/>
    <w:rsid w:val="000C23CB"/>
    <w:rsid w:val="000C4103"/>
    <w:rsid w:val="000C4F8C"/>
    <w:rsid w:val="000C51EA"/>
    <w:rsid w:val="000C67FC"/>
    <w:rsid w:val="000D05B3"/>
    <w:rsid w:val="000D0D37"/>
    <w:rsid w:val="000D0DFC"/>
    <w:rsid w:val="000D29AB"/>
    <w:rsid w:val="000D2F9D"/>
    <w:rsid w:val="000D3117"/>
    <w:rsid w:val="000D63C8"/>
    <w:rsid w:val="000E0646"/>
    <w:rsid w:val="000E1B0A"/>
    <w:rsid w:val="000F257A"/>
    <w:rsid w:val="000F3D3D"/>
    <w:rsid w:val="000F47EB"/>
    <w:rsid w:val="000F4FE7"/>
    <w:rsid w:val="000F66DB"/>
    <w:rsid w:val="000F75DC"/>
    <w:rsid w:val="001020E2"/>
    <w:rsid w:val="00103B4D"/>
    <w:rsid w:val="0010418D"/>
    <w:rsid w:val="00104EBD"/>
    <w:rsid w:val="00104F4D"/>
    <w:rsid w:val="0010588B"/>
    <w:rsid w:val="00110694"/>
    <w:rsid w:val="00111F64"/>
    <w:rsid w:val="0011388D"/>
    <w:rsid w:val="00113957"/>
    <w:rsid w:val="00114A0F"/>
    <w:rsid w:val="00115CC3"/>
    <w:rsid w:val="00116550"/>
    <w:rsid w:val="001168A5"/>
    <w:rsid w:val="0012088A"/>
    <w:rsid w:val="00122F58"/>
    <w:rsid w:val="00126998"/>
    <w:rsid w:val="00132293"/>
    <w:rsid w:val="00141776"/>
    <w:rsid w:val="0014203D"/>
    <w:rsid w:val="0014305B"/>
    <w:rsid w:val="00150AB0"/>
    <w:rsid w:val="00152E9E"/>
    <w:rsid w:val="00154D24"/>
    <w:rsid w:val="00156305"/>
    <w:rsid w:val="00156878"/>
    <w:rsid w:val="00157105"/>
    <w:rsid w:val="001610B6"/>
    <w:rsid w:val="00163195"/>
    <w:rsid w:val="001652A3"/>
    <w:rsid w:val="001653BE"/>
    <w:rsid w:val="00165DA1"/>
    <w:rsid w:val="0017160F"/>
    <w:rsid w:val="00172297"/>
    <w:rsid w:val="0017266A"/>
    <w:rsid w:val="001727AC"/>
    <w:rsid w:val="001776B8"/>
    <w:rsid w:val="00181103"/>
    <w:rsid w:val="0018215F"/>
    <w:rsid w:val="00186AA0"/>
    <w:rsid w:val="001903EF"/>
    <w:rsid w:val="00192CA2"/>
    <w:rsid w:val="001940E6"/>
    <w:rsid w:val="001978BE"/>
    <w:rsid w:val="001A0192"/>
    <w:rsid w:val="001A0777"/>
    <w:rsid w:val="001A1C09"/>
    <w:rsid w:val="001A2615"/>
    <w:rsid w:val="001A4A33"/>
    <w:rsid w:val="001A5C14"/>
    <w:rsid w:val="001A7149"/>
    <w:rsid w:val="001B4853"/>
    <w:rsid w:val="001B7045"/>
    <w:rsid w:val="001B7A37"/>
    <w:rsid w:val="001C01C0"/>
    <w:rsid w:val="001C033E"/>
    <w:rsid w:val="001C23DA"/>
    <w:rsid w:val="001C5FC5"/>
    <w:rsid w:val="001D1198"/>
    <w:rsid w:val="001D36CE"/>
    <w:rsid w:val="001E14D4"/>
    <w:rsid w:val="001E282C"/>
    <w:rsid w:val="001F0C6D"/>
    <w:rsid w:val="001F19CD"/>
    <w:rsid w:val="001F1BDB"/>
    <w:rsid w:val="001F2EE8"/>
    <w:rsid w:val="001F5825"/>
    <w:rsid w:val="00204F31"/>
    <w:rsid w:val="002105CD"/>
    <w:rsid w:val="002138C2"/>
    <w:rsid w:val="00214222"/>
    <w:rsid w:val="0021605E"/>
    <w:rsid w:val="00217506"/>
    <w:rsid w:val="002209A0"/>
    <w:rsid w:val="00221EC2"/>
    <w:rsid w:val="0022654F"/>
    <w:rsid w:val="002271A9"/>
    <w:rsid w:val="00230684"/>
    <w:rsid w:val="002333D9"/>
    <w:rsid w:val="00234C9E"/>
    <w:rsid w:val="002434D0"/>
    <w:rsid w:val="002460AB"/>
    <w:rsid w:val="00246AA7"/>
    <w:rsid w:val="00246AF9"/>
    <w:rsid w:val="00251709"/>
    <w:rsid w:val="00252408"/>
    <w:rsid w:val="00253F11"/>
    <w:rsid w:val="0026107B"/>
    <w:rsid w:val="00261BD6"/>
    <w:rsid w:val="00264581"/>
    <w:rsid w:val="002649A4"/>
    <w:rsid w:val="00264B47"/>
    <w:rsid w:val="00267118"/>
    <w:rsid w:val="002679E2"/>
    <w:rsid w:val="002718E6"/>
    <w:rsid w:val="002735A2"/>
    <w:rsid w:val="002818B4"/>
    <w:rsid w:val="002819F1"/>
    <w:rsid w:val="0028536F"/>
    <w:rsid w:val="0028577D"/>
    <w:rsid w:val="0028642B"/>
    <w:rsid w:val="002874DC"/>
    <w:rsid w:val="00291E32"/>
    <w:rsid w:val="00292B0C"/>
    <w:rsid w:val="002969D9"/>
    <w:rsid w:val="00296A0C"/>
    <w:rsid w:val="00296F87"/>
    <w:rsid w:val="002A02B9"/>
    <w:rsid w:val="002A106F"/>
    <w:rsid w:val="002A2143"/>
    <w:rsid w:val="002A3547"/>
    <w:rsid w:val="002A3D4E"/>
    <w:rsid w:val="002A42FF"/>
    <w:rsid w:val="002A5269"/>
    <w:rsid w:val="002A55A5"/>
    <w:rsid w:val="002A5D52"/>
    <w:rsid w:val="002A628B"/>
    <w:rsid w:val="002A67AB"/>
    <w:rsid w:val="002A75DE"/>
    <w:rsid w:val="002B3895"/>
    <w:rsid w:val="002B479C"/>
    <w:rsid w:val="002B4871"/>
    <w:rsid w:val="002B61F1"/>
    <w:rsid w:val="002B6FC8"/>
    <w:rsid w:val="002B7460"/>
    <w:rsid w:val="002C1ACC"/>
    <w:rsid w:val="002C271E"/>
    <w:rsid w:val="002C3461"/>
    <w:rsid w:val="002C3FFB"/>
    <w:rsid w:val="002C60F4"/>
    <w:rsid w:val="002C702F"/>
    <w:rsid w:val="002C7B0E"/>
    <w:rsid w:val="002D51DB"/>
    <w:rsid w:val="002E0783"/>
    <w:rsid w:val="002E1150"/>
    <w:rsid w:val="002E32E7"/>
    <w:rsid w:val="002E5B65"/>
    <w:rsid w:val="002E72E6"/>
    <w:rsid w:val="002E7900"/>
    <w:rsid w:val="002F06D0"/>
    <w:rsid w:val="002F2F51"/>
    <w:rsid w:val="002F3F44"/>
    <w:rsid w:val="002F54D1"/>
    <w:rsid w:val="002F7E77"/>
    <w:rsid w:val="003035A5"/>
    <w:rsid w:val="00304E3D"/>
    <w:rsid w:val="00306849"/>
    <w:rsid w:val="0031004E"/>
    <w:rsid w:val="00310172"/>
    <w:rsid w:val="0031028E"/>
    <w:rsid w:val="00310AC3"/>
    <w:rsid w:val="003112F3"/>
    <w:rsid w:val="0031228E"/>
    <w:rsid w:val="00312FB7"/>
    <w:rsid w:val="003156C9"/>
    <w:rsid w:val="00315D02"/>
    <w:rsid w:val="003175CA"/>
    <w:rsid w:val="00323BC1"/>
    <w:rsid w:val="00325671"/>
    <w:rsid w:val="00325CB0"/>
    <w:rsid w:val="00326654"/>
    <w:rsid w:val="0032680B"/>
    <w:rsid w:val="00331839"/>
    <w:rsid w:val="00331ECC"/>
    <w:rsid w:val="0033234F"/>
    <w:rsid w:val="00333907"/>
    <w:rsid w:val="00334BA3"/>
    <w:rsid w:val="00340A9D"/>
    <w:rsid w:val="00350227"/>
    <w:rsid w:val="00353212"/>
    <w:rsid w:val="00353373"/>
    <w:rsid w:val="00354B44"/>
    <w:rsid w:val="00355B15"/>
    <w:rsid w:val="003614BB"/>
    <w:rsid w:val="003618E4"/>
    <w:rsid w:val="00364480"/>
    <w:rsid w:val="00365E93"/>
    <w:rsid w:val="003725F0"/>
    <w:rsid w:val="00372919"/>
    <w:rsid w:val="00375AA2"/>
    <w:rsid w:val="00375D45"/>
    <w:rsid w:val="00377E82"/>
    <w:rsid w:val="003811C4"/>
    <w:rsid w:val="00381C63"/>
    <w:rsid w:val="00382982"/>
    <w:rsid w:val="003833AF"/>
    <w:rsid w:val="003844C1"/>
    <w:rsid w:val="00385F5C"/>
    <w:rsid w:val="00387214"/>
    <w:rsid w:val="00391333"/>
    <w:rsid w:val="0039250E"/>
    <w:rsid w:val="00394904"/>
    <w:rsid w:val="003959E8"/>
    <w:rsid w:val="003A298E"/>
    <w:rsid w:val="003A72BC"/>
    <w:rsid w:val="003A7A7D"/>
    <w:rsid w:val="003B198C"/>
    <w:rsid w:val="003B1A46"/>
    <w:rsid w:val="003B1D13"/>
    <w:rsid w:val="003B2DFA"/>
    <w:rsid w:val="003B489D"/>
    <w:rsid w:val="003B5F6C"/>
    <w:rsid w:val="003B70DB"/>
    <w:rsid w:val="003C0365"/>
    <w:rsid w:val="003C1119"/>
    <w:rsid w:val="003C270C"/>
    <w:rsid w:val="003C5F41"/>
    <w:rsid w:val="003D0511"/>
    <w:rsid w:val="003D07B7"/>
    <w:rsid w:val="003D096F"/>
    <w:rsid w:val="003D144A"/>
    <w:rsid w:val="003E141C"/>
    <w:rsid w:val="003E1434"/>
    <w:rsid w:val="003E2158"/>
    <w:rsid w:val="003E50E8"/>
    <w:rsid w:val="003E5B3C"/>
    <w:rsid w:val="003E6827"/>
    <w:rsid w:val="003F2D76"/>
    <w:rsid w:val="003F38D4"/>
    <w:rsid w:val="003F6E61"/>
    <w:rsid w:val="003F73D5"/>
    <w:rsid w:val="00406475"/>
    <w:rsid w:val="00411FF2"/>
    <w:rsid w:val="004125AD"/>
    <w:rsid w:val="0041341A"/>
    <w:rsid w:val="00413FD5"/>
    <w:rsid w:val="00414945"/>
    <w:rsid w:val="00414ADC"/>
    <w:rsid w:val="00417731"/>
    <w:rsid w:val="00423D2B"/>
    <w:rsid w:val="004240A6"/>
    <w:rsid w:val="00424C0E"/>
    <w:rsid w:val="0042550F"/>
    <w:rsid w:val="00426CB7"/>
    <w:rsid w:val="004305E5"/>
    <w:rsid w:val="004352DF"/>
    <w:rsid w:val="00445A67"/>
    <w:rsid w:val="00452038"/>
    <w:rsid w:val="00452366"/>
    <w:rsid w:val="00453819"/>
    <w:rsid w:val="00453FB2"/>
    <w:rsid w:val="00454B87"/>
    <w:rsid w:val="00457DE2"/>
    <w:rsid w:val="004607DF"/>
    <w:rsid w:val="00462DA0"/>
    <w:rsid w:val="00467BEF"/>
    <w:rsid w:val="00476423"/>
    <w:rsid w:val="00483696"/>
    <w:rsid w:val="00485AEC"/>
    <w:rsid w:val="0049194E"/>
    <w:rsid w:val="00493535"/>
    <w:rsid w:val="00493A27"/>
    <w:rsid w:val="004951DF"/>
    <w:rsid w:val="004A475E"/>
    <w:rsid w:val="004A647A"/>
    <w:rsid w:val="004B234D"/>
    <w:rsid w:val="004B36F3"/>
    <w:rsid w:val="004B3B96"/>
    <w:rsid w:val="004C5C11"/>
    <w:rsid w:val="004D46A7"/>
    <w:rsid w:val="004D509B"/>
    <w:rsid w:val="004D525A"/>
    <w:rsid w:val="004E2BA5"/>
    <w:rsid w:val="004F09F4"/>
    <w:rsid w:val="004F3811"/>
    <w:rsid w:val="004F4AE5"/>
    <w:rsid w:val="004F5216"/>
    <w:rsid w:val="004F7798"/>
    <w:rsid w:val="00500683"/>
    <w:rsid w:val="005013C0"/>
    <w:rsid w:val="00501518"/>
    <w:rsid w:val="00504680"/>
    <w:rsid w:val="00507D84"/>
    <w:rsid w:val="0051297F"/>
    <w:rsid w:val="00512A01"/>
    <w:rsid w:val="005171DC"/>
    <w:rsid w:val="00517558"/>
    <w:rsid w:val="00522DBA"/>
    <w:rsid w:val="005232D1"/>
    <w:rsid w:val="00524EC4"/>
    <w:rsid w:val="0052535A"/>
    <w:rsid w:val="005277D3"/>
    <w:rsid w:val="0053161E"/>
    <w:rsid w:val="0053489A"/>
    <w:rsid w:val="0054460B"/>
    <w:rsid w:val="00544E8F"/>
    <w:rsid w:val="005453AA"/>
    <w:rsid w:val="005460FF"/>
    <w:rsid w:val="0054625E"/>
    <w:rsid w:val="005506AA"/>
    <w:rsid w:val="00552317"/>
    <w:rsid w:val="0055397C"/>
    <w:rsid w:val="00560D21"/>
    <w:rsid w:val="0056297F"/>
    <w:rsid w:val="00564A15"/>
    <w:rsid w:val="0057077B"/>
    <w:rsid w:val="00570811"/>
    <w:rsid w:val="00572489"/>
    <w:rsid w:val="0057462D"/>
    <w:rsid w:val="0057567E"/>
    <w:rsid w:val="00581388"/>
    <w:rsid w:val="00583738"/>
    <w:rsid w:val="00583AF0"/>
    <w:rsid w:val="005850D7"/>
    <w:rsid w:val="00591734"/>
    <w:rsid w:val="00591A34"/>
    <w:rsid w:val="00593DBB"/>
    <w:rsid w:val="00594AEB"/>
    <w:rsid w:val="005966E2"/>
    <w:rsid w:val="0059758A"/>
    <w:rsid w:val="005A0094"/>
    <w:rsid w:val="005A141D"/>
    <w:rsid w:val="005A1757"/>
    <w:rsid w:val="005A1FB4"/>
    <w:rsid w:val="005A5125"/>
    <w:rsid w:val="005A5A14"/>
    <w:rsid w:val="005A75DE"/>
    <w:rsid w:val="005B016B"/>
    <w:rsid w:val="005B40E7"/>
    <w:rsid w:val="005B4E44"/>
    <w:rsid w:val="005B51F1"/>
    <w:rsid w:val="005B52BA"/>
    <w:rsid w:val="005B53CC"/>
    <w:rsid w:val="005B5E05"/>
    <w:rsid w:val="005B69D1"/>
    <w:rsid w:val="005C6194"/>
    <w:rsid w:val="005D139A"/>
    <w:rsid w:val="005D1F4C"/>
    <w:rsid w:val="005D2309"/>
    <w:rsid w:val="005D4183"/>
    <w:rsid w:val="005D47CE"/>
    <w:rsid w:val="005D7DE5"/>
    <w:rsid w:val="005E3DDE"/>
    <w:rsid w:val="005E5F5A"/>
    <w:rsid w:val="005F0B1C"/>
    <w:rsid w:val="005F3D36"/>
    <w:rsid w:val="005F4141"/>
    <w:rsid w:val="005F4449"/>
    <w:rsid w:val="005F6E66"/>
    <w:rsid w:val="00601E93"/>
    <w:rsid w:val="00602FC3"/>
    <w:rsid w:val="0060573F"/>
    <w:rsid w:val="0060786F"/>
    <w:rsid w:val="00610DF7"/>
    <w:rsid w:val="00611FF6"/>
    <w:rsid w:val="0061260D"/>
    <w:rsid w:val="00612887"/>
    <w:rsid w:val="00614C23"/>
    <w:rsid w:val="0061745B"/>
    <w:rsid w:val="00617CED"/>
    <w:rsid w:val="00624CC3"/>
    <w:rsid w:val="00627A37"/>
    <w:rsid w:val="00627F7F"/>
    <w:rsid w:val="00630ACF"/>
    <w:rsid w:val="00630E5D"/>
    <w:rsid w:val="006324FB"/>
    <w:rsid w:val="00632851"/>
    <w:rsid w:val="00643C0E"/>
    <w:rsid w:val="00643E53"/>
    <w:rsid w:val="0064731F"/>
    <w:rsid w:val="00651B4A"/>
    <w:rsid w:val="006551CD"/>
    <w:rsid w:val="00655475"/>
    <w:rsid w:val="00655A5D"/>
    <w:rsid w:val="00655B5C"/>
    <w:rsid w:val="006569C0"/>
    <w:rsid w:val="00662CA5"/>
    <w:rsid w:val="00663958"/>
    <w:rsid w:val="00663D95"/>
    <w:rsid w:val="006709D1"/>
    <w:rsid w:val="00670F45"/>
    <w:rsid w:val="006730A2"/>
    <w:rsid w:val="00684363"/>
    <w:rsid w:val="0068542A"/>
    <w:rsid w:val="006857BA"/>
    <w:rsid w:val="00686ACA"/>
    <w:rsid w:val="00686D88"/>
    <w:rsid w:val="006903E0"/>
    <w:rsid w:val="00690DEE"/>
    <w:rsid w:val="00693671"/>
    <w:rsid w:val="00694A74"/>
    <w:rsid w:val="0069526D"/>
    <w:rsid w:val="00697060"/>
    <w:rsid w:val="006973E9"/>
    <w:rsid w:val="006A015F"/>
    <w:rsid w:val="006B244E"/>
    <w:rsid w:val="006B4A70"/>
    <w:rsid w:val="006B5299"/>
    <w:rsid w:val="006C14FB"/>
    <w:rsid w:val="006C17FF"/>
    <w:rsid w:val="006C2A4C"/>
    <w:rsid w:val="006C3457"/>
    <w:rsid w:val="006C4535"/>
    <w:rsid w:val="006C5CE1"/>
    <w:rsid w:val="006D1632"/>
    <w:rsid w:val="006D1BD0"/>
    <w:rsid w:val="006D2C3B"/>
    <w:rsid w:val="006D2CA1"/>
    <w:rsid w:val="006D35F7"/>
    <w:rsid w:val="006D3DE3"/>
    <w:rsid w:val="006D5A87"/>
    <w:rsid w:val="006D5C62"/>
    <w:rsid w:val="006E1326"/>
    <w:rsid w:val="006E1D21"/>
    <w:rsid w:val="006E31A1"/>
    <w:rsid w:val="006E5E3F"/>
    <w:rsid w:val="006E62FC"/>
    <w:rsid w:val="006E6A5E"/>
    <w:rsid w:val="006F01ED"/>
    <w:rsid w:val="006F249A"/>
    <w:rsid w:val="006F3112"/>
    <w:rsid w:val="006F3E27"/>
    <w:rsid w:val="006F5946"/>
    <w:rsid w:val="006F7E04"/>
    <w:rsid w:val="0070208D"/>
    <w:rsid w:val="00704845"/>
    <w:rsid w:val="00704FDF"/>
    <w:rsid w:val="007052E2"/>
    <w:rsid w:val="007117CA"/>
    <w:rsid w:val="00711921"/>
    <w:rsid w:val="00712000"/>
    <w:rsid w:val="00713C23"/>
    <w:rsid w:val="00714AB2"/>
    <w:rsid w:val="00715BDF"/>
    <w:rsid w:val="007169B0"/>
    <w:rsid w:val="00717974"/>
    <w:rsid w:val="007201E6"/>
    <w:rsid w:val="0072537A"/>
    <w:rsid w:val="007307C2"/>
    <w:rsid w:val="00735A2F"/>
    <w:rsid w:val="0075273A"/>
    <w:rsid w:val="00761185"/>
    <w:rsid w:val="00766767"/>
    <w:rsid w:val="00770CB5"/>
    <w:rsid w:val="007738D7"/>
    <w:rsid w:val="00774061"/>
    <w:rsid w:val="007801D3"/>
    <w:rsid w:val="00782F49"/>
    <w:rsid w:val="0078408F"/>
    <w:rsid w:val="00790FC8"/>
    <w:rsid w:val="00792438"/>
    <w:rsid w:val="0079618F"/>
    <w:rsid w:val="007A02EF"/>
    <w:rsid w:val="007A3D1B"/>
    <w:rsid w:val="007A3E4A"/>
    <w:rsid w:val="007A478A"/>
    <w:rsid w:val="007A49A7"/>
    <w:rsid w:val="007A5854"/>
    <w:rsid w:val="007A761D"/>
    <w:rsid w:val="007A7EB6"/>
    <w:rsid w:val="007B15A7"/>
    <w:rsid w:val="007B203C"/>
    <w:rsid w:val="007B3948"/>
    <w:rsid w:val="007B5302"/>
    <w:rsid w:val="007C2518"/>
    <w:rsid w:val="007C25E4"/>
    <w:rsid w:val="007C55CB"/>
    <w:rsid w:val="007D105C"/>
    <w:rsid w:val="007D5451"/>
    <w:rsid w:val="007D7B3D"/>
    <w:rsid w:val="007D7BF0"/>
    <w:rsid w:val="007E2D2A"/>
    <w:rsid w:val="007E7367"/>
    <w:rsid w:val="007F7EEF"/>
    <w:rsid w:val="00803D77"/>
    <w:rsid w:val="00804A53"/>
    <w:rsid w:val="00805940"/>
    <w:rsid w:val="00805CB4"/>
    <w:rsid w:val="00807057"/>
    <w:rsid w:val="00807C7B"/>
    <w:rsid w:val="00810202"/>
    <w:rsid w:val="008114CC"/>
    <w:rsid w:val="00812412"/>
    <w:rsid w:val="00812CE6"/>
    <w:rsid w:val="008131FD"/>
    <w:rsid w:val="00814EF6"/>
    <w:rsid w:val="008160A2"/>
    <w:rsid w:val="00816D3F"/>
    <w:rsid w:val="008214E7"/>
    <w:rsid w:val="008330A0"/>
    <w:rsid w:val="00835A04"/>
    <w:rsid w:val="008401FC"/>
    <w:rsid w:val="00840246"/>
    <w:rsid w:val="00840D85"/>
    <w:rsid w:val="00841582"/>
    <w:rsid w:val="00841758"/>
    <w:rsid w:val="00842771"/>
    <w:rsid w:val="008429B5"/>
    <w:rsid w:val="00842C92"/>
    <w:rsid w:val="008431EA"/>
    <w:rsid w:val="008437D7"/>
    <w:rsid w:val="0084468A"/>
    <w:rsid w:val="00850163"/>
    <w:rsid w:val="008517B4"/>
    <w:rsid w:val="00851D45"/>
    <w:rsid w:val="008527AF"/>
    <w:rsid w:val="008552FA"/>
    <w:rsid w:val="00855C2B"/>
    <w:rsid w:val="00856A05"/>
    <w:rsid w:val="00856F76"/>
    <w:rsid w:val="00857A80"/>
    <w:rsid w:val="00860B1F"/>
    <w:rsid w:val="0086299B"/>
    <w:rsid w:val="00862CEA"/>
    <w:rsid w:val="0086308A"/>
    <w:rsid w:val="00864220"/>
    <w:rsid w:val="00870C10"/>
    <w:rsid w:val="00873EF8"/>
    <w:rsid w:val="00882655"/>
    <w:rsid w:val="008826BE"/>
    <w:rsid w:val="008827D4"/>
    <w:rsid w:val="00882E3D"/>
    <w:rsid w:val="00884C62"/>
    <w:rsid w:val="00892C76"/>
    <w:rsid w:val="008938AB"/>
    <w:rsid w:val="008A0B6A"/>
    <w:rsid w:val="008A1CEF"/>
    <w:rsid w:val="008A483B"/>
    <w:rsid w:val="008A4FD3"/>
    <w:rsid w:val="008B0D42"/>
    <w:rsid w:val="008B19F0"/>
    <w:rsid w:val="008B6F16"/>
    <w:rsid w:val="008B72B0"/>
    <w:rsid w:val="008C292C"/>
    <w:rsid w:val="008C31EA"/>
    <w:rsid w:val="008C637A"/>
    <w:rsid w:val="008C7E7E"/>
    <w:rsid w:val="008D111A"/>
    <w:rsid w:val="008D128A"/>
    <w:rsid w:val="008E167C"/>
    <w:rsid w:val="008E1A8F"/>
    <w:rsid w:val="008E4785"/>
    <w:rsid w:val="008E5F0A"/>
    <w:rsid w:val="008E5F24"/>
    <w:rsid w:val="008F03B0"/>
    <w:rsid w:val="008F222D"/>
    <w:rsid w:val="008F580F"/>
    <w:rsid w:val="0090051C"/>
    <w:rsid w:val="00900B41"/>
    <w:rsid w:val="00902870"/>
    <w:rsid w:val="00907003"/>
    <w:rsid w:val="00911090"/>
    <w:rsid w:val="00912AF8"/>
    <w:rsid w:val="00915A71"/>
    <w:rsid w:val="009160F6"/>
    <w:rsid w:val="00916EBA"/>
    <w:rsid w:val="00922153"/>
    <w:rsid w:val="00922A7A"/>
    <w:rsid w:val="009304F3"/>
    <w:rsid w:val="00931202"/>
    <w:rsid w:val="00933CA5"/>
    <w:rsid w:val="00936D5A"/>
    <w:rsid w:val="00943A2F"/>
    <w:rsid w:val="00944ADD"/>
    <w:rsid w:val="00945096"/>
    <w:rsid w:val="009527A6"/>
    <w:rsid w:val="00952CB3"/>
    <w:rsid w:val="0095406B"/>
    <w:rsid w:val="0095454E"/>
    <w:rsid w:val="00954C71"/>
    <w:rsid w:val="00954E4B"/>
    <w:rsid w:val="00954F5A"/>
    <w:rsid w:val="00955941"/>
    <w:rsid w:val="00955F2E"/>
    <w:rsid w:val="0095635D"/>
    <w:rsid w:val="00960D8F"/>
    <w:rsid w:val="0096185D"/>
    <w:rsid w:val="00961DB9"/>
    <w:rsid w:val="00964F63"/>
    <w:rsid w:val="00965FDB"/>
    <w:rsid w:val="00966434"/>
    <w:rsid w:val="0096689A"/>
    <w:rsid w:val="009733A9"/>
    <w:rsid w:val="009744F8"/>
    <w:rsid w:val="00976663"/>
    <w:rsid w:val="00976C97"/>
    <w:rsid w:val="009776A2"/>
    <w:rsid w:val="009804F4"/>
    <w:rsid w:val="00981C01"/>
    <w:rsid w:val="00981F00"/>
    <w:rsid w:val="00983CD7"/>
    <w:rsid w:val="00984975"/>
    <w:rsid w:val="00986867"/>
    <w:rsid w:val="00990C65"/>
    <w:rsid w:val="009931CE"/>
    <w:rsid w:val="00993477"/>
    <w:rsid w:val="00995E1E"/>
    <w:rsid w:val="0099779E"/>
    <w:rsid w:val="00997FB9"/>
    <w:rsid w:val="009A03A8"/>
    <w:rsid w:val="009A0D68"/>
    <w:rsid w:val="009A16BE"/>
    <w:rsid w:val="009A1922"/>
    <w:rsid w:val="009A4117"/>
    <w:rsid w:val="009A6AD0"/>
    <w:rsid w:val="009A6E05"/>
    <w:rsid w:val="009B0B15"/>
    <w:rsid w:val="009B1256"/>
    <w:rsid w:val="009B188D"/>
    <w:rsid w:val="009C31D5"/>
    <w:rsid w:val="009C670F"/>
    <w:rsid w:val="009C7940"/>
    <w:rsid w:val="009D02F6"/>
    <w:rsid w:val="009D3DC5"/>
    <w:rsid w:val="009D69D7"/>
    <w:rsid w:val="009E0DAA"/>
    <w:rsid w:val="009E36CC"/>
    <w:rsid w:val="009E3FDE"/>
    <w:rsid w:val="009E4CEE"/>
    <w:rsid w:val="009E4E06"/>
    <w:rsid w:val="009E7BD9"/>
    <w:rsid w:val="009F3C04"/>
    <w:rsid w:val="009F4BA5"/>
    <w:rsid w:val="009F53CD"/>
    <w:rsid w:val="009F5B7F"/>
    <w:rsid w:val="009F5E14"/>
    <w:rsid w:val="009F62EE"/>
    <w:rsid w:val="00A00613"/>
    <w:rsid w:val="00A00EA5"/>
    <w:rsid w:val="00A01C87"/>
    <w:rsid w:val="00A02B93"/>
    <w:rsid w:val="00A045CE"/>
    <w:rsid w:val="00A046A5"/>
    <w:rsid w:val="00A04EE4"/>
    <w:rsid w:val="00A06624"/>
    <w:rsid w:val="00A06634"/>
    <w:rsid w:val="00A10BB9"/>
    <w:rsid w:val="00A11E02"/>
    <w:rsid w:val="00A1223E"/>
    <w:rsid w:val="00A14A61"/>
    <w:rsid w:val="00A1530E"/>
    <w:rsid w:val="00A16746"/>
    <w:rsid w:val="00A227C7"/>
    <w:rsid w:val="00A22A70"/>
    <w:rsid w:val="00A2533E"/>
    <w:rsid w:val="00A3101E"/>
    <w:rsid w:val="00A31489"/>
    <w:rsid w:val="00A316D6"/>
    <w:rsid w:val="00A32969"/>
    <w:rsid w:val="00A32AD0"/>
    <w:rsid w:val="00A35941"/>
    <w:rsid w:val="00A35A9B"/>
    <w:rsid w:val="00A3667F"/>
    <w:rsid w:val="00A37978"/>
    <w:rsid w:val="00A37C72"/>
    <w:rsid w:val="00A40F5A"/>
    <w:rsid w:val="00A419CA"/>
    <w:rsid w:val="00A41E7A"/>
    <w:rsid w:val="00A46488"/>
    <w:rsid w:val="00A464C8"/>
    <w:rsid w:val="00A47AA8"/>
    <w:rsid w:val="00A47F5E"/>
    <w:rsid w:val="00A52295"/>
    <w:rsid w:val="00A53F63"/>
    <w:rsid w:val="00A559EF"/>
    <w:rsid w:val="00A564EC"/>
    <w:rsid w:val="00A6162B"/>
    <w:rsid w:val="00A6369B"/>
    <w:rsid w:val="00A6499F"/>
    <w:rsid w:val="00A64B61"/>
    <w:rsid w:val="00A66BCE"/>
    <w:rsid w:val="00A671AA"/>
    <w:rsid w:val="00A67412"/>
    <w:rsid w:val="00A71820"/>
    <w:rsid w:val="00A72BDE"/>
    <w:rsid w:val="00A72F34"/>
    <w:rsid w:val="00A746C8"/>
    <w:rsid w:val="00A748CC"/>
    <w:rsid w:val="00A9031A"/>
    <w:rsid w:val="00A91B31"/>
    <w:rsid w:val="00A93888"/>
    <w:rsid w:val="00A93EEC"/>
    <w:rsid w:val="00A96C5A"/>
    <w:rsid w:val="00AA2940"/>
    <w:rsid w:val="00AA537F"/>
    <w:rsid w:val="00AB0640"/>
    <w:rsid w:val="00AB09DB"/>
    <w:rsid w:val="00AB0E92"/>
    <w:rsid w:val="00AB2AE1"/>
    <w:rsid w:val="00AB3BAC"/>
    <w:rsid w:val="00AB47DD"/>
    <w:rsid w:val="00AB47E1"/>
    <w:rsid w:val="00AB4BE9"/>
    <w:rsid w:val="00AB5733"/>
    <w:rsid w:val="00AB7058"/>
    <w:rsid w:val="00AB7DBC"/>
    <w:rsid w:val="00AC0648"/>
    <w:rsid w:val="00AC3410"/>
    <w:rsid w:val="00AC50E1"/>
    <w:rsid w:val="00AC5511"/>
    <w:rsid w:val="00AC7BB7"/>
    <w:rsid w:val="00AE29DB"/>
    <w:rsid w:val="00AE3542"/>
    <w:rsid w:val="00AE4128"/>
    <w:rsid w:val="00AE531E"/>
    <w:rsid w:val="00AE5A6D"/>
    <w:rsid w:val="00AE6A7E"/>
    <w:rsid w:val="00AE7A99"/>
    <w:rsid w:val="00AF0E66"/>
    <w:rsid w:val="00AF15ED"/>
    <w:rsid w:val="00B005DD"/>
    <w:rsid w:val="00B005FE"/>
    <w:rsid w:val="00B00A66"/>
    <w:rsid w:val="00B0435B"/>
    <w:rsid w:val="00B112F5"/>
    <w:rsid w:val="00B1148A"/>
    <w:rsid w:val="00B11AE0"/>
    <w:rsid w:val="00B12D2F"/>
    <w:rsid w:val="00B1446A"/>
    <w:rsid w:val="00B14D8A"/>
    <w:rsid w:val="00B15B9E"/>
    <w:rsid w:val="00B16B86"/>
    <w:rsid w:val="00B175BD"/>
    <w:rsid w:val="00B245F3"/>
    <w:rsid w:val="00B3138A"/>
    <w:rsid w:val="00B317EB"/>
    <w:rsid w:val="00B32235"/>
    <w:rsid w:val="00B36F6A"/>
    <w:rsid w:val="00B42A15"/>
    <w:rsid w:val="00B43A33"/>
    <w:rsid w:val="00B448F9"/>
    <w:rsid w:val="00B462B3"/>
    <w:rsid w:val="00B463A1"/>
    <w:rsid w:val="00B52534"/>
    <w:rsid w:val="00B53052"/>
    <w:rsid w:val="00B5555D"/>
    <w:rsid w:val="00B558F5"/>
    <w:rsid w:val="00B5600B"/>
    <w:rsid w:val="00B57AC9"/>
    <w:rsid w:val="00B6038F"/>
    <w:rsid w:val="00B61B9E"/>
    <w:rsid w:val="00B6467E"/>
    <w:rsid w:val="00B66859"/>
    <w:rsid w:val="00B717A8"/>
    <w:rsid w:val="00B719B0"/>
    <w:rsid w:val="00B73087"/>
    <w:rsid w:val="00B75039"/>
    <w:rsid w:val="00B75B1D"/>
    <w:rsid w:val="00B827A1"/>
    <w:rsid w:val="00B845E5"/>
    <w:rsid w:val="00B85FFD"/>
    <w:rsid w:val="00B8745B"/>
    <w:rsid w:val="00B87AE4"/>
    <w:rsid w:val="00B9256A"/>
    <w:rsid w:val="00B93674"/>
    <w:rsid w:val="00B93A97"/>
    <w:rsid w:val="00B979F5"/>
    <w:rsid w:val="00BA1798"/>
    <w:rsid w:val="00BA525B"/>
    <w:rsid w:val="00BA70D1"/>
    <w:rsid w:val="00BB00E2"/>
    <w:rsid w:val="00BB123B"/>
    <w:rsid w:val="00BB243F"/>
    <w:rsid w:val="00BB3DB1"/>
    <w:rsid w:val="00BC0D2C"/>
    <w:rsid w:val="00BC20D1"/>
    <w:rsid w:val="00BC40FE"/>
    <w:rsid w:val="00BC4918"/>
    <w:rsid w:val="00BC5D59"/>
    <w:rsid w:val="00BD034B"/>
    <w:rsid w:val="00BD3EEA"/>
    <w:rsid w:val="00BD52F6"/>
    <w:rsid w:val="00BD75D2"/>
    <w:rsid w:val="00BE1E1E"/>
    <w:rsid w:val="00BE35F1"/>
    <w:rsid w:val="00BE3EE9"/>
    <w:rsid w:val="00BE45AF"/>
    <w:rsid w:val="00BE4D50"/>
    <w:rsid w:val="00BE5F58"/>
    <w:rsid w:val="00BF04E0"/>
    <w:rsid w:val="00BF32FD"/>
    <w:rsid w:val="00BF5729"/>
    <w:rsid w:val="00BF7A71"/>
    <w:rsid w:val="00C00522"/>
    <w:rsid w:val="00C008BF"/>
    <w:rsid w:val="00C00CB2"/>
    <w:rsid w:val="00C00CD1"/>
    <w:rsid w:val="00C078B0"/>
    <w:rsid w:val="00C07E35"/>
    <w:rsid w:val="00C10571"/>
    <w:rsid w:val="00C11221"/>
    <w:rsid w:val="00C13D2E"/>
    <w:rsid w:val="00C155C3"/>
    <w:rsid w:val="00C15997"/>
    <w:rsid w:val="00C16036"/>
    <w:rsid w:val="00C169AE"/>
    <w:rsid w:val="00C174AC"/>
    <w:rsid w:val="00C179AA"/>
    <w:rsid w:val="00C20029"/>
    <w:rsid w:val="00C22738"/>
    <w:rsid w:val="00C23297"/>
    <w:rsid w:val="00C27A25"/>
    <w:rsid w:val="00C303C0"/>
    <w:rsid w:val="00C30E85"/>
    <w:rsid w:val="00C321B3"/>
    <w:rsid w:val="00C322F1"/>
    <w:rsid w:val="00C33376"/>
    <w:rsid w:val="00C3716C"/>
    <w:rsid w:val="00C37289"/>
    <w:rsid w:val="00C37BF4"/>
    <w:rsid w:val="00C41FEB"/>
    <w:rsid w:val="00C43283"/>
    <w:rsid w:val="00C504BD"/>
    <w:rsid w:val="00C54F65"/>
    <w:rsid w:val="00C55878"/>
    <w:rsid w:val="00C61106"/>
    <w:rsid w:val="00C61956"/>
    <w:rsid w:val="00C6365B"/>
    <w:rsid w:val="00C64FC5"/>
    <w:rsid w:val="00C665D8"/>
    <w:rsid w:val="00C666B6"/>
    <w:rsid w:val="00C70B0C"/>
    <w:rsid w:val="00C734D8"/>
    <w:rsid w:val="00C73B3F"/>
    <w:rsid w:val="00C75B2A"/>
    <w:rsid w:val="00C761E5"/>
    <w:rsid w:val="00C76AFA"/>
    <w:rsid w:val="00C76BA2"/>
    <w:rsid w:val="00C77049"/>
    <w:rsid w:val="00C801A4"/>
    <w:rsid w:val="00C84479"/>
    <w:rsid w:val="00C86008"/>
    <w:rsid w:val="00C87413"/>
    <w:rsid w:val="00C903EC"/>
    <w:rsid w:val="00C91943"/>
    <w:rsid w:val="00C94B24"/>
    <w:rsid w:val="00C959DB"/>
    <w:rsid w:val="00C95F2B"/>
    <w:rsid w:val="00C97BC6"/>
    <w:rsid w:val="00CA0711"/>
    <w:rsid w:val="00CA3FF4"/>
    <w:rsid w:val="00CA67A6"/>
    <w:rsid w:val="00CA6DC0"/>
    <w:rsid w:val="00CB09B6"/>
    <w:rsid w:val="00CB0C11"/>
    <w:rsid w:val="00CB0C60"/>
    <w:rsid w:val="00CB315A"/>
    <w:rsid w:val="00CB6F79"/>
    <w:rsid w:val="00CC38F4"/>
    <w:rsid w:val="00CC51B6"/>
    <w:rsid w:val="00CD23CB"/>
    <w:rsid w:val="00CD3048"/>
    <w:rsid w:val="00CD5BCB"/>
    <w:rsid w:val="00CD6928"/>
    <w:rsid w:val="00CD7347"/>
    <w:rsid w:val="00CD7581"/>
    <w:rsid w:val="00CE1CA2"/>
    <w:rsid w:val="00CE2139"/>
    <w:rsid w:val="00CE245C"/>
    <w:rsid w:val="00CE4EBD"/>
    <w:rsid w:val="00CE7BED"/>
    <w:rsid w:val="00CF098D"/>
    <w:rsid w:val="00CF3FFC"/>
    <w:rsid w:val="00D00FA4"/>
    <w:rsid w:val="00D02236"/>
    <w:rsid w:val="00D02655"/>
    <w:rsid w:val="00D03540"/>
    <w:rsid w:val="00D03EC3"/>
    <w:rsid w:val="00D04A2F"/>
    <w:rsid w:val="00D05E13"/>
    <w:rsid w:val="00D13135"/>
    <w:rsid w:val="00D177AC"/>
    <w:rsid w:val="00D2128F"/>
    <w:rsid w:val="00D2288B"/>
    <w:rsid w:val="00D24703"/>
    <w:rsid w:val="00D31447"/>
    <w:rsid w:val="00D34A6C"/>
    <w:rsid w:val="00D37390"/>
    <w:rsid w:val="00D405F5"/>
    <w:rsid w:val="00D40FBC"/>
    <w:rsid w:val="00D42665"/>
    <w:rsid w:val="00D43371"/>
    <w:rsid w:val="00D43D00"/>
    <w:rsid w:val="00D43D53"/>
    <w:rsid w:val="00D464F3"/>
    <w:rsid w:val="00D52027"/>
    <w:rsid w:val="00D52D7E"/>
    <w:rsid w:val="00D61633"/>
    <w:rsid w:val="00D6216D"/>
    <w:rsid w:val="00D636CE"/>
    <w:rsid w:val="00D66084"/>
    <w:rsid w:val="00D66CAF"/>
    <w:rsid w:val="00D67075"/>
    <w:rsid w:val="00D702FF"/>
    <w:rsid w:val="00D70381"/>
    <w:rsid w:val="00D70876"/>
    <w:rsid w:val="00D734D1"/>
    <w:rsid w:val="00D73C9C"/>
    <w:rsid w:val="00D80C32"/>
    <w:rsid w:val="00D825FB"/>
    <w:rsid w:val="00D8422D"/>
    <w:rsid w:val="00D84479"/>
    <w:rsid w:val="00D8622E"/>
    <w:rsid w:val="00D8789E"/>
    <w:rsid w:val="00D91246"/>
    <w:rsid w:val="00D94CAC"/>
    <w:rsid w:val="00D94CCC"/>
    <w:rsid w:val="00D97ACE"/>
    <w:rsid w:val="00DA0838"/>
    <w:rsid w:val="00DA2BB2"/>
    <w:rsid w:val="00DA5957"/>
    <w:rsid w:val="00DA6F1C"/>
    <w:rsid w:val="00DB164A"/>
    <w:rsid w:val="00DB1C94"/>
    <w:rsid w:val="00DB3668"/>
    <w:rsid w:val="00DB425B"/>
    <w:rsid w:val="00DB5324"/>
    <w:rsid w:val="00DC19CA"/>
    <w:rsid w:val="00DC3B74"/>
    <w:rsid w:val="00DC5729"/>
    <w:rsid w:val="00DC5E86"/>
    <w:rsid w:val="00DC6E01"/>
    <w:rsid w:val="00DC7160"/>
    <w:rsid w:val="00DD068E"/>
    <w:rsid w:val="00DD18AB"/>
    <w:rsid w:val="00DD2554"/>
    <w:rsid w:val="00DD2F2B"/>
    <w:rsid w:val="00DD375A"/>
    <w:rsid w:val="00DD410A"/>
    <w:rsid w:val="00DD561A"/>
    <w:rsid w:val="00DD6E8C"/>
    <w:rsid w:val="00DD7781"/>
    <w:rsid w:val="00DE0BEB"/>
    <w:rsid w:val="00DE1D65"/>
    <w:rsid w:val="00DE2212"/>
    <w:rsid w:val="00DE49FE"/>
    <w:rsid w:val="00DE7CA8"/>
    <w:rsid w:val="00DF08A0"/>
    <w:rsid w:val="00DF0D90"/>
    <w:rsid w:val="00DF2BF0"/>
    <w:rsid w:val="00DF33E5"/>
    <w:rsid w:val="00DF677F"/>
    <w:rsid w:val="00DF6F33"/>
    <w:rsid w:val="00DF74AC"/>
    <w:rsid w:val="00E024F4"/>
    <w:rsid w:val="00E027DA"/>
    <w:rsid w:val="00E02EC7"/>
    <w:rsid w:val="00E03985"/>
    <w:rsid w:val="00E04DC7"/>
    <w:rsid w:val="00E04DFA"/>
    <w:rsid w:val="00E05BA4"/>
    <w:rsid w:val="00E063E4"/>
    <w:rsid w:val="00E07C3F"/>
    <w:rsid w:val="00E11938"/>
    <w:rsid w:val="00E22751"/>
    <w:rsid w:val="00E236DF"/>
    <w:rsid w:val="00E24FA9"/>
    <w:rsid w:val="00E24FBC"/>
    <w:rsid w:val="00E2657D"/>
    <w:rsid w:val="00E30AE6"/>
    <w:rsid w:val="00E318F1"/>
    <w:rsid w:val="00E35436"/>
    <w:rsid w:val="00E37DB3"/>
    <w:rsid w:val="00E407D8"/>
    <w:rsid w:val="00E4366F"/>
    <w:rsid w:val="00E438EE"/>
    <w:rsid w:val="00E45B73"/>
    <w:rsid w:val="00E53568"/>
    <w:rsid w:val="00E53C9E"/>
    <w:rsid w:val="00E60E05"/>
    <w:rsid w:val="00E61C04"/>
    <w:rsid w:val="00E65F36"/>
    <w:rsid w:val="00E6636B"/>
    <w:rsid w:val="00E70667"/>
    <w:rsid w:val="00E71D29"/>
    <w:rsid w:val="00E73031"/>
    <w:rsid w:val="00E7366D"/>
    <w:rsid w:val="00E76242"/>
    <w:rsid w:val="00E80038"/>
    <w:rsid w:val="00E8018B"/>
    <w:rsid w:val="00E815A2"/>
    <w:rsid w:val="00E81DE0"/>
    <w:rsid w:val="00E86210"/>
    <w:rsid w:val="00E862FE"/>
    <w:rsid w:val="00E9167F"/>
    <w:rsid w:val="00E9180F"/>
    <w:rsid w:val="00E97455"/>
    <w:rsid w:val="00EA0607"/>
    <w:rsid w:val="00EA13FF"/>
    <w:rsid w:val="00EA1D95"/>
    <w:rsid w:val="00EA21E8"/>
    <w:rsid w:val="00EA42C5"/>
    <w:rsid w:val="00EA5C24"/>
    <w:rsid w:val="00EA6570"/>
    <w:rsid w:val="00EB0698"/>
    <w:rsid w:val="00EB1E5B"/>
    <w:rsid w:val="00EB2467"/>
    <w:rsid w:val="00EB28C9"/>
    <w:rsid w:val="00EB5557"/>
    <w:rsid w:val="00EB69E8"/>
    <w:rsid w:val="00EC1EE0"/>
    <w:rsid w:val="00EC63E3"/>
    <w:rsid w:val="00ED0F87"/>
    <w:rsid w:val="00ED5757"/>
    <w:rsid w:val="00EE3AD8"/>
    <w:rsid w:val="00EE4D05"/>
    <w:rsid w:val="00EE7576"/>
    <w:rsid w:val="00EE782D"/>
    <w:rsid w:val="00EF33AD"/>
    <w:rsid w:val="00EF3CCA"/>
    <w:rsid w:val="00EF3D52"/>
    <w:rsid w:val="00EF5363"/>
    <w:rsid w:val="00EF5D2A"/>
    <w:rsid w:val="00F00F4A"/>
    <w:rsid w:val="00F061FC"/>
    <w:rsid w:val="00F06C4C"/>
    <w:rsid w:val="00F0778F"/>
    <w:rsid w:val="00F07865"/>
    <w:rsid w:val="00F10EA4"/>
    <w:rsid w:val="00F122E2"/>
    <w:rsid w:val="00F12A8D"/>
    <w:rsid w:val="00F144B4"/>
    <w:rsid w:val="00F15AC5"/>
    <w:rsid w:val="00F26BD9"/>
    <w:rsid w:val="00F2700B"/>
    <w:rsid w:val="00F32A78"/>
    <w:rsid w:val="00F347A2"/>
    <w:rsid w:val="00F349BD"/>
    <w:rsid w:val="00F36B93"/>
    <w:rsid w:val="00F40AA5"/>
    <w:rsid w:val="00F434D8"/>
    <w:rsid w:val="00F461D5"/>
    <w:rsid w:val="00F46CC0"/>
    <w:rsid w:val="00F47A68"/>
    <w:rsid w:val="00F6025E"/>
    <w:rsid w:val="00F61069"/>
    <w:rsid w:val="00F610B1"/>
    <w:rsid w:val="00F640A6"/>
    <w:rsid w:val="00F641D5"/>
    <w:rsid w:val="00F7016B"/>
    <w:rsid w:val="00F71B74"/>
    <w:rsid w:val="00F71C66"/>
    <w:rsid w:val="00F74100"/>
    <w:rsid w:val="00F75472"/>
    <w:rsid w:val="00F7785F"/>
    <w:rsid w:val="00F81078"/>
    <w:rsid w:val="00F81841"/>
    <w:rsid w:val="00F9001E"/>
    <w:rsid w:val="00F91365"/>
    <w:rsid w:val="00F915B6"/>
    <w:rsid w:val="00F94379"/>
    <w:rsid w:val="00FA311B"/>
    <w:rsid w:val="00FA4232"/>
    <w:rsid w:val="00FA5473"/>
    <w:rsid w:val="00FB1934"/>
    <w:rsid w:val="00FB2826"/>
    <w:rsid w:val="00FB48C6"/>
    <w:rsid w:val="00FC4057"/>
    <w:rsid w:val="00FC4650"/>
    <w:rsid w:val="00FC489D"/>
    <w:rsid w:val="00FC4AD8"/>
    <w:rsid w:val="00FC4D28"/>
    <w:rsid w:val="00FC5D50"/>
    <w:rsid w:val="00FC6C3B"/>
    <w:rsid w:val="00FD1C51"/>
    <w:rsid w:val="00FD2161"/>
    <w:rsid w:val="00FD44E9"/>
    <w:rsid w:val="00FD6065"/>
    <w:rsid w:val="00FD6541"/>
    <w:rsid w:val="00FD7335"/>
    <w:rsid w:val="00FD7EC1"/>
    <w:rsid w:val="00FE0987"/>
    <w:rsid w:val="00FE6154"/>
    <w:rsid w:val="00FE6B35"/>
    <w:rsid w:val="00FE7E62"/>
    <w:rsid w:val="00FF018B"/>
    <w:rsid w:val="00FF34DD"/>
    <w:rsid w:val="00FF7515"/>
    <w:rsid w:val="00FF7B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B1"/>
    <w:rPr>
      <w:rFonts w:ascii="Times New Roman" w:eastAsia="Times New Roman" w:hAnsi="Times New Roman" w:cs="Times New Roman"/>
      <w:sz w:val="24"/>
      <w:szCs w:val="24"/>
    </w:rPr>
  </w:style>
  <w:style w:type="paragraph" w:styleId="Titre3">
    <w:name w:val="heading 3"/>
    <w:basedOn w:val="Normal"/>
    <w:link w:val="Titre3Car"/>
    <w:uiPriority w:val="9"/>
    <w:qFormat/>
    <w:locked/>
    <w:rsid w:val="00A1530E"/>
    <w:pPr>
      <w:spacing w:before="100" w:beforeAutospacing="1" w:after="100" w:afterAutospacing="1"/>
      <w:outlineLvl w:val="2"/>
    </w:pPr>
    <w:rPr>
      <w:rFonts w:ascii="Cambria" w:hAnsi="Cambria"/>
      <w:b/>
      <w:bCs/>
      <w:sz w:val="26"/>
      <w:szCs w:val="26"/>
      <w:lang/>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
    <w:rsid w:val="00A13F4D"/>
    <w:rPr>
      <w:rFonts w:ascii="Cambria" w:eastAsia="Times New Roman" w:hAnsi="Cambria" w:cs="Times New Roman"/>
      <w:b/>
      <w:bCs/>
      <w:sz w:val="26"/>
      <w:szCs w:val="26"/>
    </w:rPr>
  </w:style>
  <w:style w:type="paragraph" w:styleId="Titre">
    <w:name w:val="Title"/>
    <w:basedOn w:val="Normal"/>
    <w:link w:val="TitreCar"/>
    <w:uiPriority w:val="99"/>
    <w:qFormat/>
    <w:rsid w:val="00F610B1"/>
    <w:pPr>
      <w:jc w:val="center"/>
    </w:pPr>
    <w:rPr>
      <w:rFonts w:eastAsia="Calibri"/>
      <w:b/>
      <w:bCs/>
      <w:sz w:val="28"/>
      <w:szCs w:val="28"/>
      <w:lang/>
    </w:rPr>
  </w:style>
  <w:style w:type="character" w:customStyle="1" w:styleId="TitleChar">
    <w:name w:val="Title Char"/>
    <w:uiPriority w:val="99"/>
    <w:locked/>
    <w:rsid w:val="00BE35F1"/>
    <w:rPr>
      <w:rFonts w:cs="Times New Roman"/>
      <w:b/>
      <w:bCs/>
      <w:sz w:val="28"/>
      <w:szCs w:val="28"/>
      <w:lang w:val="fr-FR" w:eastAsia="fr-FR" w:bidi="ar-SA"/>
    </w:rPr>
  </w:style>
  <w:style w:type="character" w:customStyle="1" w:styleId="TitreCar">
    <w:name w:val="Titre Car"/>
    <w:link w:val="Titre"/>
    <w:uiPriority w:val="99"/>
    <w:locked/>
    <w:rsid w:val="00F610B1"/>
    <w:rPr>
      <w:rFonts w:ascii="Times New Roman" w:hAnsi="Times New Roman" w:cs="Times New Roman"/>
      <w:b/>
      <w:bCs/>
      <w:sz w:val="28"/>
      <w:szCs w:val="28"/>
      <w:lang w:eastAsia="fr-FR"/>
    </w:rPr>
  </w:style>
  <w:style w:type="paragraph" w:styleId="Pieddepage">
    <w:name w:val="footer"/>
    <w:basedOn w:val="Normal"/>
    <w:link w:val="PieddepageCar"/>
    <w:uiPriority w:val="99"/>
    <w:rsid w:val="00F610B1"/>
    <w:pPr>
      <w:tabs>
        <w:tab w:val="center" w:pos="4536"/>
        <w:tab w:val="right" w:pos="9072"/>
      </w:tabs>
    </w:pPr>
    <w:rPr>
      <w:rFonts w:eastAsia="Calibri"/>
      <w:lang/>
    </w:rPr>
  </w:style>
  <w:style w:type="character" w:customStyle="1" w:styleId="PieddepageCar">
    <w:name w:val="Pied de page Car"/>
    <w:link w:val="Pieddepage"/>
    <w:uiPriority w:val="99"/>
    <w:locked/>
    <w:rsid w:val="00F610B1"/>
    <w:rPr>
      <w:rFonts w:ascii="Times New Roman" w:hAnsi="Times New Roman" w:cs="Times New Roman"/>
      <w:sz w:val="24"/>
      <w:szCs w:val="24"/>
      <w:lang w:eastAsia="fr-FR"/>
    </w:rPr>
  </w:style>
  <w:style w:type="paragraph" w:customStyle="1" w:styleId="ListParagraph1">
    <w:name w:val="List Paragraph1"/>
    <w:basedOn w:val="Normal"/>
    <w:uiPriority w:val="99"/>
    <w:rsid w:val="00F610B1"/>
    <w:pPr>
      <w:ind w:left="720"/>
    </w:pPr>
  </w:style>
  <w:style w:type="paragraph" w:styleId="Textedebulles">
    <w:name w:val="Balloon Text"/>
    <w:basedOn w:val="Normal"/>
    <w:link w:val="TextedebullesCar"/>
    <w:uiPriority w:val="99"/>
    <w:semiHidden/>
    <w:rsid w:val="00F915B6"/>
    <w:rPr>
      <w:rFonts w:eastAsia="Calibri"/>
      <w:sz w:val="2"/>
      <w:szCs w:val="20"/>
      <w:lang/>
    </w:rPr>
  </w:style>
  <w:style w:type="character" w:customStyle="1" w:styleId="TextedebullesCar">
    <w:name w:val="Texte de bulles Car"/>
    <w:link w:val="Textedebulles"/>
    <w:uiPriority w:val="99"/>
    <w:semiHidden/>
    <w:locked/>
    <w:rsid w:val="0052535A"/>
    <w:rPr>
      <w:rFonts w:ascii="Times New Roman" w:hAnsi="Times New Roman" w:cs="Times New Roman"/>
      <w:sz w:val="2"/>
    </w:rPr>
  </w:style>
  <w:style w:type="paragraph" w:styleId="En-tte">
    <w:name w:val="header"/>
    <w:basedOn w:val="Normal"/>
    <w:link w:val="En-tteCar"/>
    <w:uiPriority w:val="99"/>
    <w:semiHidden/>
    <w:rsid w:val="00FB1934"/>
    <w:pPr>
      <w:tabs>
        <w:tab w:val="center" w:pos="4536"/>
        <w:tab w:val="right" w:pos="9072"/>
      </w:tabs>
    </w:pPr>
    <w:rPr>
      <w:rFonts w:eastAsia="Calibri"/>
      <w:lang/>
    </w:rPr>
  </w:style>
  <w:style w:type="character" w:customStyle="1" w:styleId="En-tteCar">
    <w:name w:val="En-tête Car"/>
    <w:link w:val="En-tte"/>
    <w:uiPriority w:val="99"/>
    <w:semiHidden/>
    <w:locked/>
    <w:rsid w:val="00FB1934"/>
    <w:rPr>
      <w:rFonts w:ascii="Times New Roman" w:hAnsi="Times New Roman" w:cs="Times New Roman"/>
      <w:sz w:val="24"/>
      <w:szCs w:val="24"/>
    </w:rPr>
  </w:style>
  <w:style w:type="paragraph" w:styleId="Paragraphedeliste">
    <w:name w:val="List Paragraph"/>
    <w:basedOn w:val="Normal"/>
    <w:uiPriority w:val="34"/>
    <w:qFormat/>
    <w:rsid w:val="00A3101E"/>
    <w:pPr>
      <w:ind w:left="720"/>
      <w:contextualSpacing/>
    </w:pPr>
  </w:style>
  <w:style w:type="character" w:styleId="lev">
    <w:name w:val="Strong"/>
    <w:uiPriority w:val="22"/>
    <w:qFormat/>
    <w:locked/>
    <w:rsid w:val="00882E3D"/>
    <w:rPr>
      <w:b/>
      <w:bCs/>
    </w:rPr>
  </w:style>
</w:styles>
</file>

<file path=word/webSettings.xml><?xml version="1.0" encoding="utf-8"?>
<w:webSettings xmlns:r="http://schemas.openxmlformats.org/officeDocument/2006/relationships" xmlns:w="http://schemas.openxmlformats.org/wordprocessingml/2006/main">
  <w:divs>
    <w:div w:id="61416231">
      <w:bodyDiv w:val="1"/>
      <w:marLeft w:val="0"/>
      <w:marRight w:val="0"/>
      <w:marTop w:val="0"/>
      <w:marBottom w:val="0"/>
      <w:divBdr>
        <w:top w:val="none" w:sz="0" w:space="0" w:color="auto"/>
        <w:left w:val="none" w:sz="0" w:space="0" w:color="auto"/>
        <w:bottom w:val="none" w:sz="0" w:space="0" w:color="auto"/>
        <w:right w:val="none" w:sz="0" w:space="0" w:color="auto"/>
      </w:divBdr>
      <w:divsChild>
        <w:div w:id="189882455">
          <w:marLeft w:val="0"/>
          <w:marRight w:val="0"/>
          <w:marTop w:val="0"/>
          <w:marBottom w:val="0"/>
          <w:divBdr>
            <w:top w:val="none" w:sz="0" w:space="0" w:color="auto"/>
            <w:left w:val="none" w:sz="0" w:space="0" w:color="auto"/>
            <w:bottom w:val="none" w:sz="0" w:space="0" w:color="auto"/>
            <w:right w:val="none" w:sz="0" w:space="0" w:color="auto"/>
          </w:divBdr>
        </w:div>
        <w:div w:id="622810090">
          <w:marLeft w:val="0"/>
          <w:marRight w:val="0"/>
          <w:marTop w:val="0"/>
          <w:marBottom w:val="0"/>
          <w:divBdr>
            <w:top w:val="none" w:sz="0" w:space="0" w:color="auto"/>
            <w:left w:val="none" w:sz="0" w:space="0" w:color="auto"/>
            <w:bottom w:val="none" w:sz="0" w:space="0" w:color="auto"/>
            <w:right w:val="none" w:sz="0" w:space="0" w:color="auto"/>
          </w:divBdr>
        </w:div>
        <w:div w:id="1331568428">
          <w:marLeft w:val="0"/>
          <w:marRight w:val="0"/>
          <w:marTop w:val="0"/>
          <w:marBottom w:val="0"/>
          <w:divBdr>
            <w:top w:val="none" w:sz="0" w:space="0" w:color="auto"/>
            <w:left w:val="none" w:sz="0" w:space="0" w:color="auto"/>
            <w:bottom w:val="none" w:sz="0" w:space="0" w:color="auto"/>
            <w:right w:val="none" w:sz="0" w:space="0" w:color="auto"/>
          </w:divBdr>
        </w:div>
        <w:div w:id="1835603840">
          <w:marLeft w:val="0"/>
          <w:marRight w:val="0"/>
          <w:marTop w:val="0"/>
          <w:marBottom w:val="0"/>
          <w:divBdr>
            <w:top w:val="none" w:sz="0" w:space="0" w:color="auto"/>
            <w:left w:val="none" w:sz="0" w:space="0" w:color="auto"/>
            <w:bottom w:val="none" w:sz="0" w:space="0" w:color="auto"/>
            <w:right w:val="none" w:sz="0" w:space="0" w:color="auto"/>
          </w:divBdr>
        </w:div>
        <w:div w:id="1875187988">
          <w:marLeft w:val="0"/>
          <w:marRight w:val="0"/>
          <w:marTop w:val="0"/>
          <w:marBottom w:val="0"/>
          <w:divBdr>
            <w:top w:val="none" w:sz="0" w:space="0" w:color="auto"/>
            <w:left w:val="none" w:sz="0" w:space="0" w:color="auto"/>
            <w:bottom w:val="none" w:sz="0" w:space="0" w:color="auto"/>
            <w:right w:val="none" w:sz="0" w:space="0" w:color="auto"/>
          </w:divBdr>
        </w:div>
      </w:divsChild>
    </w:div>
    <w:div w:id="679434801">
      <w:marLeft w:val="0"/>
      <w:marRight w:val="0"/>
      <w:marTop w:val="0"/>
      <w:marBottom w:val="0"/>
      <w:divBdr>
        <w:top w:val="none" w:sz="0" w:space="0" w:color="auto"/>
        <w:left w:val="none" w:sz="0" w:space="0" w:color="auto"/>
        <w:bottom w:val="none" w:sz="0" w:space="0" w:color="auto"/>
        <w:right w:val="none" w:sz="0" w:space="0" w:color="auto"/>
      </w:divBdr>
    </w:div>
    <w:div w:id="679434802">
      <w:marLeft w:val="0"/>
      <w:marRight w:val="0"/>
      <w:marTop w:val="0"/>
      <w:marBottom w:val="0"/>
      <w:divBdr>
        <w:top w:val="none" w:sz="0" w:space="0" w:color="auto"/>
        <w:left w:val="none" w:sz="0" w:space="0" w:color="auto"/>
        <w:bottom w:val="none" w:sz="0" w:space="0" w:color="auto"/>
        <w:right w:val="none" w:sz="0" w:space="0" w:color="auto"/>
      </w:divBdr>
      <w:divsChild>
        <w:div w:id="679434805">
          <w:marLeft w:val="0"/>
          <w:marRight w:val="0"/>
          <w:marTop w:val="0"/>
          <w:marBottom w:val="0"/>
          <w:divBdr>
            <w:top w:val="none" w:sz="0" w:space="0" w:color="auto"/>
            <w:left w:val="none" w:sz="0" w:space="0" w:color="auto"/>
            <w:bottom w:val="none" w:sz="0" w:space="0" w:color="auto"/>
            <w:right w:val="none" w:sz="0" w:space="0" w:color="auto"/>
          </w:divBdr>
        </w:div>
      </w:divsChild>
    </w:div>
    <w:div w:id="679434803">
      <w:marLeft w:val="0"/>
      <w:marRight w:val="0"/>
      <w:marTop w:val="0"/>
      <w:marBottom w:val="0"/>
      <w:divBdr>
        <w:top w:val="none" w:sz="0" w:space="0" w:color="auto"/>
        <w:left w:val="none" w:sz="0" w:space="0" w:color="auto"/>
        <w:bottom w:val="none" w:sz="0" w:space="0" w:color="auto"/>
        <w:right w:val="none" w:sz="0" w:space="0" w:color="auto"/>
      </w:divBdr>
    </w:div>
    <w:div w:id="679434806">
      <w:marLeft w:val="0"/>
      <w:marRight w:val="0"/>
      <w:marTop w:val="0"/>
      <w:marBottom w:val="0"/>
      <w:divBdr>
        <w:top w:val="none" w:sz="0" w:space="0" w:color="auto"/>
        <w:left w:val="none" w:sz="0" w:space="0" w:color="auto"/>
        <w:bottom w:val="none" w:sz="0" w:space="0" w:color="auto"/>
        <w:right w:val="none" w:sz="0" w:space="0" w:color="auto"/>
      </w:divBdr>
    </w:div>
    <w:div w:id="679434807">
      <w:marLeft w:val="0"/>
      <w:marRight w:val="0"/>
      <w:marTop w:val="0"/>
      <w:marBottom w:val="0"/>
      <w:divBdr>
        <w:top w:val="none" w:sz="0" w:space="0" w:color="auto"/>
        <w:left w:val="none" w:sz="0" w:space="0" w:color="auto"/>
        <w:bottom w:val="none" w:sz="0" w:space="0" w:color="auto"/>
        <w:right w:val="none" w:sz="0" w:space="0" w:color="auto"/>
      </w:divBdr>
    </w:div>
    <w:div w:id="679434808">
      <w:marLeft w:val="0"/>
      <w:marRight w:val="0"/>
      <w:marTop w:val="0"/>
      <w:marBottom w:val="0"/>
      <w:divBdr>
        <w:top w:val="none" w:sz="0" w:space="0" w:color="auto"/>
        <w:left w:val="none" w:sz="0" w:space="0" w:color="auto"/>
        <w:bottom w:val="none" w:sz="0" w:space="0" w:color="auto"/>
        <w:right w:val="none" w:sz="0" w:space="0" w:color="auto"/>
      </w:divBdr>
      <w:divsChild>
        <w:div w:id="679434804">
          <w:marLeft w:val="0"/>
          <w:marRight w:val="0"/>
          <w:marTop w:val="0"/>
          <w:marBottom w:val="0"/>
          <w:divBdr>
            <w:top w:val="none" w:sz="0" w:space="0" w:color="auto"/>
            <w:left w:val="none" w:sz="0" w:space="0" w:color="auto"/>
            <w:bottom w:val="none" w:sz="0" w:space="0" w:color="auto"/>
            <w:right w:val="none" w:sz="0" w:space="0" w:color="auto"/>
          </w:divBdr>
        </w:div>
      </w:divsChild>
    </w:div>
    <w:div w:id="704595194">
      <w:bodyDiv w:val="1"/>
      <w:marLeft w:val="0"/>
      <w:marRight w:val="0"/>
      <w:marTop w:val="0"/>
      <w:marBottom w:val="0"/>
      <w:divBdr>
        <w:top w:val="none" w:sz="0" w:space="0" w:color="auto"/>
        <w:left w:val="none" w:sz="0" w:space="0" w:color="auto"/>
        <w:bottom w:val="none" w:sz="0" w:space="0" w:color="auto"/>
        <w:right w:val="none" w:sz="0" w:space="0" w:color="auto"/>
      </w:divBdr>
    </w:div>
    <w:div w:id="1036584114">
      <w:bodyDiv w:val="1"/>
      <w:marLeft w:val="0"/>
      <w:marRight w:val="0"/>
      <w:marTop w:val="0"/>
      <w:marBottom w:val="0"/>
      <w:divBdr>
        <w:top w:val="none" w:sz="0" w:space="0" w:color="auto"/>
        <w:left w:val="none" w:sz="0" w:space="0" w:color="auto"/>
        <w:bottom w:val="none" w:sz="0" w:space="0" w:color="auto"/>
        <w:right w:val="none" w:sz="0" w:space="0" w:color="auto"/>
      </w:divBdr>
    </w:div>
    <w:div w:id="1274558939">
      <w:bodyDiv w:val="1"/>
      <w:marLeft w:val="0"/>
      <w:marRight w:val="0"/>
      <w:marTop w:val="0"/>
      <w:marBottom w:val="0"/>
      <w:divBdr>
        <w:top w:val="none" w:sz="0" w:space="0" w:color="auto"/>
        <w:left w:val="none" w:sz="0" w:space="0" w:color="auto"/>
        <w:bottom w:val="none" w:sz="0" w:space="0" w:color="auto"/>
        <w:right w:val="none" w:sz="0" w:space="0" w:color="auto"/>
      </w:divBdr>
    </w:div>
    <w:div w:id="1831559991">
      <w:bodyDiv w:val="1"/>
      <w:marLeft w:val="0"/>
      <w:marRight w:val="0"/>
      <w:marTop w:val="0"/>
      <w:marBottom w:val="0"/>
      <w:divBdr>
        <w:top w:val="none" w:sz="0" w:space="0" w:color="auto"/>
        <w:left w:val="none" w:sz="0" w:space="0" w:color="auto"/>
        <w:bottom w:val="none" w:sz="0" w:space="0" w:color="auto"/>
        <w:right w:val="none" w:sz="0" w:space="0" w:color="auto"/>
      </w:divBdr>
    </w:div>
    <w:div w:id="1944073194">
      <w:bodyDiv w:val="1"/>
      <w:marLeft w:val="0"/>
      <w:marRight w:val="0"/>
      <w:marTop w:val="0"/>
      <w:marBottom w:val="0"/>
      <w:divBdr>
        <w:top w:val="none" w:sz="0" w:space="0" w:color="auto"/>
        <w:left w:val="none" w:sz="0" w:space="0" w:color="auto"/>
        <w:bottom w:val="none" w:sz="0" w:space="0" w:color="auto"/>
        <w:right w:val="none" w:sz="0" w:space="0" w:color="auto"/>
      </w:divBdr>
    </w:div>
    <w:div w:id="21453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OneDrive\cnt_juin2021\comptes_nat_t1_2021_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8145-8D48-49A1-8DAA-C118E57A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comptes_nat_t1_2021_fr</Template>
  <TotalTime>1</TotalTime>
  <Pages>7</Pages>
  <Words>1990</Words>
  <Characters>10949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2022-04-15T10:19:00Z</cp:lastPrinted>
  <dcterms:created xsi:type="dcterms:W3CDTF">2022-04-19T00:26:00Z</dcterms:created>
  <dcterms:modified xsi:type="dcterms:W3CDTF">2022-04-19T00:26:00Z</dcterms:modified>
</cp:coreProperties>
</file>