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Default="00F729D9" w:rsidP="00F729D9"/>
    <w:p w:rsidR="00F729D9" w:rsidRPr="002D4FDF" w:rsidRDefault="00F729D9" w:rsidP="00F729D9">
      <w:pPr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F729D9" w:rsidRPr="002D4FDF" w:rsidRDefault="00F729D9" w:rsidP="00F729D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F729D9" w:rsidRPr="002D4FDF" w:rsidRDefault="00F729D9" w:rsidP="002D4FD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</w:t>
      </w:r>
      <w:r w:rsidR="002D4FDF"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 la production</w:t>
      </w:r>
    </w:p>
    <w:p w:rsidR="00F729D9" w:rsidRPr="002D4FDF" w:rsidRDefault="00AB6FA3" w:rsidP="00F729D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</w:t>
      </w:r>
      <w:r w:rsidR="00F729D9"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, énergétique et minière</w:t>
      </w:r>
    </w:p>
    <w:p w:rsidR="00F729D9" w:rsidRPr="002D4FDF" w:rsidRDefault="002D4FDF" w:rsidP="00F729D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bookmarkStart w:id="0" w:name="_GoBack"/>
      <w:bookmarkEnd w:id="0"/>
      <w:r w:rsidRPr="002D4FD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(Base 100 : 2015)</w:t>
      </w:r>
    </w:p>
    <w:p w:rsidR="002D4FDF" w:rsidRDefault="002D4FDF" w:rsidP="00F729D9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2D4FDF" w:rsidRPr="002D4FDF" w:rsidRDefault="002D4FDF" w:rsidP="00F729D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D4FDF">
        <w:rPr>
          <w:rFonts w:ascii="Arial" w:hAnsi="Arial" w:cs="Arial"/>
          <w:b/>
          <w:bCs/>
          <w:color w:val="632423"/>
          <w:lang w:bidi="ar-MA"/>
        </w:rPr>
        <w:t>Premier trimestre 2022</w:t>
      </w:r>
    </w:p>
    <w:p w:rsidR="00F729D9" w:rsidRPr="00945F55" w:rsidRDefault="00F729D9" w:rsidP="00F729D9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>
        <w:tab/>
      </w:r>
    </w:p>
    <w:p w:rsidR="002D4FDF" w:rsidRDefault="002D4FDF" w:rsidP="002D4FDF">
      <w:pPr>
        <w:pStyle w:val="Corpsdetexte2"/>
        <w:spacing w:line="380" w:lineRule="exact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>
        <w:t>baisse</w:t>
      </w:r>
      <w:r w:rsidRPr="002023BA">
        <w:t xml:space="preserve"> de </w:t>
      </w:r>
      <w:r>
        <w:t>2,3</w:t>
      </w:r>
      <w:r w:rsidRPr="002023BA">
        <w:t xml:space="preserve">% au cours du </w:t>
      </w:r>
      <w:r>
        <w:t>premier</w:t>
      </w:r>
      <w:r w:rsidRPr="002023BA">
        <w:t xml:space="preserve"> trimestre </w:t>
      </w:r>
      <w:r>
        <w:t xml:space="preserve">2022 </w:t>
      </w:r>
      <w:r w:rsidRPr="002023BA">
        <w:t>par rapport à la même période de 20</w:t>
      </w:r>
      <w:r>
        <w:t>21</w:t>
      </w:r>
      <w:r w:rsidRPr="002023BA">
        <w:t xml:space="preserve">. </w:t>
      </w:r>
    </w:p>
    <w:p w:rsidR="002D4FDF" w:rsidRDefault="002D4FDF" w:rsidP="002D4FDF">
      <w:pPr>
        <w:pStyle w:val="Corpsdetexte2"/>
        <w:spacing w:before="240" w:line="380" w:lineRule="exact"/>
      </w:pPr>
      <w:r w:rsidRPr="00942070">
        <w:t xml:space="preserve">Cette évolution résulte notamment de la </w:t>
      </w:r>
      <w:r>
        <w:t>baisse</w:t>
      </w:r>
      <w:r w:rsidRPr="00942070">
        <w:t xml:space="preserve"> de l’indice de la production de</w:t>
      </w:r>
      <w:r>
        <w:t xml:space="preserve"> l’</w:t>
      </w:r>
      <w:r w:rsidRPr="00942070">
        <w:t>«</w:t>
      </w:r>
      <w:r>
        <w:t xml:space="preserve"> </w:t>
      </w:r>
      <w:r w:rsidRPr="00942070">
        <w:t>industrie chimique</w:t>
      </w:r>
      <w:r>
        <w:t xml:space="preserve"> </w:t>
      </w:r>
      <w:r w:rsidRPr="00942070">
        <w:t xml:space="preserve">» de </w:t>
      </w:r>
      <w:r>
        <w:t>8,6</w:t>
      </w:r>
      <w:r w:rsidRPr="00942070">
        <w:t>%,</w:t>
      </w:r>
      <w:r>
        <w:t xml:space="preserve"> de celui des « industries alimentaires » de 1,3%, de celui de la « fabrication d’équipements électriques » de 3,4%, de celui de la « fabrication des produits en caoutchouc et en plastique » de 3,2%, de celui de l’« industrie automobile » de 2,6%, de celui de </w:t>
      </w:r>
      <w:r w:rsidRPr="00942070">
        <w:t> </w:t>
      </w:r>
      <w:r w:rsidRPr="00842040">
        <w:t xml:space="preserve">l’« industrie </w:t>
      </w:r>
      <w:r>
        <w:t>de l’habillement » de 1,6% et de celui de l’« industrie de textiles » de 2,3%.</w:t>
      </w:r>
    </w:p>
    <w:p w:rsidR="002D4FDF" w:rsidRPr="00942070" w:rsidRDefault="002D4FDF" w:rsidP="002D4FDF">
      <w:pPr>
        <w:pStyle w:val="Corpsdetexte2"/>
        <w:spacing w:before="240" w:line="380" w:lineRule="exact"/>
      </w:pPr>
      <w:r>
        <w:t>E</w:t>
      </w:r>
      <w:r w:rsidRPr="001F04F3">
        <w:t>n revanche, l’indice de l’«</w:t>
      </w:r>
      <w:r>
        <w:t xml:space="preserve"> </w:t>
      </w:r>
      <w:r w:rsidRPr="001F04F3">
        <w:t xml:space="preserve">industrie </w:t>
      </w:r>
      <w:r>
        <w:t xml:space="preserve">pharmaceutique </w:t>
      </w:r>
      <w:r w:rsidRPr="001F04F3">
        <w:t xml:space="preserve">» a enregistré une </w:t>
      </w:r>
      <w:r>
        <w:t>hausse</w:t>
      </w:r>
      <w:r w:rsidRPr="001F04F3">
        <w:t xml:space="preserve"> de </w:t>
      </w:r>
      <w:r>
        <w:t>9,9</w:t>
      </w:r>
      <w:r w:rsidRPr="001F04F3">
        <w:t>%, celui de l</w:t>
      </w:r>
      <w:r>
        <w:t>a « métallurgie</w:t>
      </w:r>
      <w:r w:rsidRPr="00EC52A2">
        <w:t xml:space="preserve"> » de </w:t>
      </w:r>
      <w:r>
        <w:t>1,5</w:t>
      </w:r>
      <w:r w:rsidRPr="00EC52A2">
        <w:t xml:space="preserve">%, celui de </w:t>
      </w:r>
      <w:r>
        <w:t xml:space="preserve">la </w:t>
      </w:r>
      <w:r w:rsidRPr="00EC52A2">
        <w:t>« fabrication de meubles » d</w:t>
      </w:r>
      <w:r>
        <w:t>e 5,0% et</w:t>
      </w:r>
      <w:r w:rsidRPr="00EC52A2">
        <w:t xml:space="preserve"> celui de la « fabrication des boissons » de </w:t>
      </w:r>
      <w:r>
        <w:t>0,9%</w:t>
      </w:r>
      <w:r w:rsidRPr="00EC52A2">
        <w:t>.</w:t>
      </w:r>
      <w:r>
        <w:t xml:space="preserve">  </w:t>
      </w:r>
    </w:p>
    <w:p w:rsidR="002D4FDF" w:rsidRPr="002023BA" w:rsidRDefault="002D4FDF" w:rsidP="002D4FDF">
      <w:pPr>
        <w:pStyle w:val="Corpsdetexte2"/>
        <w:spacing w:before="240" w:line="380" w:lineRule="exact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>
        <w:t>baisse de 10,1%</w:t>
      </w:r>
      <w:r w:rsidRPr="002023BA">
        <w:t>, résulta</w:t>
      </w:r>
      <w:r>
        <w:t>n</w:t>
      </w:r>
      <w:r w:rsidRPr="002023BA">
        <w:t xml:space="preserve">t de </w:t>
      </w:r>
      <w:r>
        <w:t>la baisse de l’indice de la production des</w:t>
      </w:r>
      <w:r w:rsidRPr="002023BA">
        <w:t xml:space="preserve"> « produits divers des industries extractives » de </w:t>
      </w:r>
      <w:r>
        <w:t>10,6</w:t>
      </w:r>
      <w:r w:rsidRPr="002023BA">
        <w:t>%</w:t>
      </w:r>
      <w:r>
        <w:t xml:space="preserve"> et de la hausse de celui </w:t>
      </w:r>
      <w:r w:rsidRPr="002023BA">
        <w:t>des</w:t>
      </w:r>
      <w:r>
        <w:t xml:space="preserve"> </w:t>
      </w:r>
      <w:r w:rsidRPr="002023BA">
        <w:t xml:space="preserve">« minerais métalliques » de </w:t>
      </w:r>
      <w:r>
        <w:t>1,2</w:t>
      </w:r>
      <w:r w:rsidRPr="002023BA">
        <w:t>%</w:t>
      </w:r>
      <w:r>
        <w:t>.</w:t>
      </w:r>
    </w:p>
    <w:p w:rsidR="002D4FDF" w:rsidRDefault="002D4FDF" w:rsidP="002D4FDF">
      <w:pPr>
        <w:pStyle w:val="Corpsdetexte2"/>
        <w:spacing w:line="380" w:lineRule="exact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>
        <w:t xml:space="preserve">hausse </w:t>
      </w:r>
      <w:r w:rsidRPr="002023BA">
        <w:t xml:space="preserve">de </w:t>
      </w:r>
      <w:r>
        <w:t>4,2</w:t>
      </w:r>
      <w:r w:rsidRPr="002023BA">
        <w:t xml:space="preserve">%. </w:t>
      </w: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Pr="002D4FDF" w:rsidRDefault="002D4FDF" w:rsidP="002D4FDF">
      <w:pPr>
        <w:suppressAutoHyphens/>
        <w:spacing w:line="262" w:lineRule="auto"/>
        <w:jc w:val="center"/>
        <w:rPr>
          <w:color w:val="DB803A"/>
        </w:rPr>
      </w:pPr>
      <w:r w:rsidRPr="002D4FDF">
        <w:rPr>
          <w:b/>
          <w:color w:val="DB803A"/>
        </w:rPr>
        <w:lastRenderedPageBreak/>
        <w:t>Indice de la production</w:t>
      </w:r>
      <w:r w:rsidRPr="002D4FDF">
        <w:rPr>
          <w:b/>
          <w:color w:val="DB803A"/>
        </w:rPr>
        <w:fldChar w:fldCharType="begin"/>
      </w:r>
      <w:r w:rsidRPr="002D4FDF">
        <w:rPr>
          <w:b/>
          <w:color w:val="DB803A"/>
        </w:rPr>
        <w:instrText xml:space="preserve">PRIVATE </w:instrText>
      </w:r>
      <w:r w:rsidRPr="002D4FDF">
        <w:rPr>
          <w:b/>
          <w:color w:val="DB803A"/>
        </w:rPr>
        <w:fldChar w:fldCharType="end"/>
      </w:r>
    </w:p>
    <w:p w:rsidR="002D4FDF" w:rsidRPr="002D4FDF" w:rsidRDefault="002D4FDF" w:rsidP="002D4FDF">
      <w:pPr>
        <w:suppressAutoHyphens/>
        <w:spacing w:line="262" w:lineRule="auto"/>
        <w:jc w:val="center"/>
        <w:rPr>
          <w:b/>
          <w:bCs/>
          <w:color w:val="DB803A"/>
        </w:rPr>
      </w:pPr>
      <w:r w:rsidRPr="002D4FDF">
        <w:rPr>
          <w:b/>
          <w:bCs/>
          <w:color w:val="DB803A"/>
        </w:rPr>
        <w:t>industrielle, énergétique et minière</w:t>
      </w:r>
    </w:p>
    <w:p w:rsidR="002D4FDF" w:rsidRPr="002D4FDF" w:rsidRDefault="002D4FDF" w:rsidP="002D4FDF">
      <w:pPr>
        <w:suppressAutoHyphens/>
        <w:spacing w:line="262" w:lineRule="auto"/>
        <w:jc w:val="center"/>
        <w:rPr>
          <w:b/>
          <w:bCs/>
          <w:color w:val="DB803A"/>
        </w:rPr>
      </w:pPr>
      <w:r w:rsidRPr="002D4FDF">
        <w:rPr>
          <w:b/>
          <w:bCs/>
          <w:color w:val="DB803A"/>
        </w:rPr>
        <w:t>(Base 100 : 2015)</w:t>
      </w:r>
    </w:p>
    <w:p w:rsidR="002D4FDF" w:rsidRPr="002D4FDF" w:rsidRDefault="002D4FDF" w:rsidP="002D4FDF">
      <w:pPr>
        <w:suppressAutoHyphens/>
        <w:spacing w:line="262" w:lineRule="auto"/>
        <w:jc w:val="center"/>
        <w:rPr>
          <w:b/>
          <w:bCs/>
          <w:color w:val="DB803A"/>
        </w:rPr>
      </w:pPr>
    </w:p>
    <w:p w:rsidR="002D4FDF" w:rsidRPr="002D4FDF" w:rsidRDefault="002D4FDF" w:rsidP="002D4FDF">
      <w:pPr>
        <w:pStyle w:val="Titre6"/>
        <w:jc w:val="center"/>
        <w:rPr>
          <w:color w:val="DB803A"/>
          <w:rtl/>
        </w:rPr>
      </w:pPr>
      <w:r w:rsidRPr="002D4FDF">
        <w:rPr>
          <w:color w:val="DB803A"/>
        </w:rPr>
        <w:t>1</w:t>
      </w:r>
      <w:r w:rsidRPr="002D4FDF">
        <w:rPr>
          <w:color w:val="DB803A"/>
          <w:vertAlign w:val="superscript"/>
        </w:rPr>
        <w:t xml:space="preserve">er </w:t>
      </w:r>
      <w:r w:rsidRPr="002D4FDF">
        <w:rPr>
          <w:color w:val="DB803A"/>
        </w:rPr>
        <w:t>trimestre 2022</w:t>
      </w:r>
    </w:p>
    <w:p w:rsidR="002D4FDF" w:rsidRPr="00C942EC" w:rsidRDefault="002D4FDF" w:rsidP="002D4FDF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2D4FDF" w:rsidRPr="00C942EC" w:rsidTr="00CD291A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C942EC" w:rsidRDefault="002D4FDF" w:rsidP="00CD291A">
            <w:pPr>
              <w:rPr>
                <w:b/>
                <w:bCs/>
                <w:i/>
                <w:iCs/>
              </w:rPr>
            </w:pPr>
            <w:r w:rsidRPr="00C942EC">
              <w:rPr>
                <w:b/>
                <w:bCs/>
                <w:i/>
                <w:iCs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4FDF" w:rsidRPr="00C942EC" w:rsidRDefault="002D4FDF" w:rsidP="00CD29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vertAlign w:val="superscript"/>
              </w:rPr>
              <w:t>er</w:t>
            </w:r>
            <w:r w:rsidRPr="00C942EC">
              <w:rPr>
                <w:b/>
                <w:bCs/>
                <w:i/>
                <w:iCs/>
              </w:rPr>
              <w:t xml:space="preserve"> trimestre 20</w:t>
            </w: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2D4FDF" w:rsidRPr="00C942EC" w:rsidRDefault="002D4FDF" w:rsidP="00CD29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Pr="0035308E">
              <w:rPr>
                <w:b/>
                <w:bCs/>
                <w:i/>
                <w:iCs/>
                <w:vertAlign w:val="superscript"/>
              </w:rPr>
              <w:t>er</w:t>
            </w:r>
            <w:r>
              <w:rPr>
                <w:b/>
                <w:bCs/>
                <w:i/>
                <w:iCs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</w:rPr>
              <w:t>t</w:t>
            </w:r>
            <w:r w:rsidRPr="00C942EC">
              <w:rPr>
                <w:b/>
                <w:bCs/>
                <w:i/>
                <w:iCs/>
              </w:rPr>
              <w:t>rimestre 20</w:t>
            </w: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2D4FDF" w:rsidRPr="00C942EC" w:rsidRDefault="002D4FDF" w:rsidP="00CD291A">
            <w:pPr>
              <w:jc w:val="center"/>
              <w:rPr>
                <w:b/>
                <w:bCs/>
                <w:i/>
                <w:iCs/>
              </w:rPr>
            </w:pPr>
            <w:r w:rsidRPr="00C942EC">
              <w:rPr>
                <w:b/>
                <w:bCs/>
                <w:i/>
                <w:iCs/>
              </w:rPr>
              <w:t>Var %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Pr="00C32D4A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Pr="00C32D4A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2E">
              <w:rPr>
                <w:b/>
                <w:bCs/>
                <w:sz w:val="20"/>
                <w:szCs w:val="20"/>
              </w:rPr>
              <w:t>-10,1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1,2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-10,6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Pr="00C32D4A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114,7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Pr="00C32D4A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2E">
              <w:rPr>
                <w:b/>
                <w:bCs/>
                <w:sz w:val="20"/>
                <w:szCs w:val="20"/>
              </w:rPr>
              <w:t>-2,3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-1,3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0,9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0,4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-2,3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-1,6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2,0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-7,4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-3,2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6,6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-8,6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9,9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-3,2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-0,4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1,5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-1,4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-3,1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-3,4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machines et équipements n.c.a.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2,7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-2,6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2,7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5,0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-10,6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DD6C01" w:rsidRDefault="002D4FDF" w:rsidP="00CD291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Default="002D4FDF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-16,7</w:t>
            </w:r>
          </w:p>
        </w:tc>
      </w:tr>
      <w:tr w:rsidR="002D4FDF" w:rsidRPr="00C86913" w:rsidTr="00CD291A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2D4FDF" w:rsidRPr="003004EE" w:rsidRDefault="002D4FDF" w:rsidP="00CD291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4FDF" w:rsidRPr="00C32D4A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 w:rsidRPr="00C32D4A">
              <w:rPr>
                <w:b/>
                <w:bCs/>
                <w:sz w:val="20"/>
                <w:szCs w:val="20"/>
              </w:rPr>
              <w:t>121,4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2D4FDF" w:rsidRPr="00C32D4A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FDF" w:rsidRPr="00C7292E" w:rsidRDefault="002D4FDF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2E">
              <w:rPr>
                <w:b/>
                <w:bCs/>
                <w:sz w:val="20"/>
                <w:szCs w:val="20"/>
              </w:rPr>
              <w:t>4,2</w:t>
            </w:r>
          </w:p>
        </w:tc>
      </w:tr>
    </w:tbl>
    <w:p w:rsidR="002D4FDF" w:rsidRDefault="002D4FDF" w:rsidP="002D4FDF">
      <w:pPr>
        <w:suppressAutoHyphens/>
        <w:spacing w:line="262" w:lineRule="auto"/>
        <w:jc w:val="right"/>
        <w:rPr>
          <w:b/>
          <w:rtl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0000FF"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  <w:color w:val="DB803A"/>
        </w:rPr>
      </w:pPr>
    </w:p>
    <w:p w:rsidR="002D4FDF" w:rsidRPr="002D4FDF" w:rsidRDefault="002D4FDF" w:rsidP="002D4FDF">
      <w:pPr>
        <w:suppressAutoHyphens/>
        <w:spacing w:line="262" w:lineRule="auto"/>
        <w:jc w:val="center"/>
        <w:rPr>
          <w:b/>
          <w:color w:val="DB803A"/>
        </w:rPr>
      </w:pPr>
      <w:r>
        <w:rPr>
          <w:b/>
          <w:color w:val="DB803A"/>
        </w:rPr>
        <w:lastRenderedPageBreak/>
        <w:t>E</w:t>
      </w:r>
      <w:r w:rsidRPr="002D4FDF">
        <w:rPr>
          <w:b/>
          <w:color w:val="DB803A"/>
        </w:rPr>
        <w:t>volution trimestrielle de l’indice de la production par secteur</w:t>
      </w:r>
    </w:p>
    <w:p w:rsidR="002D4FDF" w:rsidRDefault="002D4FDF" w:rsidP="002D4FDF">
      <w:pPr>
        <w:suppressAutoHyphens/>
        <w:spacing w:line="262" w:lineRule="auto"/>
        <w:jc w:val="center"/>
        <w:rPr>
          <w:b/>
        </w:rPr>
      </w:pPr>
    </w:p>
    <w:p w:rsidR="002D4FDF" w:rsidRDefault="002D4FDF" w:rsidP="002D4FDF">
      <w:pPr>
        <w:suppressAutoHyphens/>
        <w:spacing w:line="262" w:lineRule="auto"/>
        <w:jc w:val="center"/>
        <w:rPr>
          <w:b/>
        </w:rPr>
      </w:pPr>
    </w:p>
    <w:tbl>
      <w:tblPr>
        <w:tblpPr w:leftFromText="141" w:rightFromText="141" w:vertAnchor="text" w:horzAnchor="margin" w:tblpXSpec="center" w:tblpY="33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2D4FDF" w:rsidRPr="00BD7697" w:rsidTr="00CD291A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D4FDF" w:rsidRPr="00BD7697" w:rsidRDefault="002D4FDF" w:rsidP="00CD291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D4FDF" w:rsidRPr="00BD7697" w:rsidRDefault="002D4FDF" w:rsidP="00CD291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>
              <w:rPr>
                <w:b/>
                <w:bCs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 w:rsidRPr="00CB4D53">
              <w:rPr>
                <w:b/>
                <w:bCs/>
              </w:rPr>
              <w:t>INDUSTRIES MANUFACTURIERES</w:t>
            </w:r>
            <w:r>
              <w:rPr>
                <w:b/>
                <w:bCs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PRODUCTION ET DISTRIBUTION D’</w:t>
            </w:r>
            <w:r w:rsidRPr="00CB4D53">
              <w:rPr>
                <w:b/>
                <w:bCs/>
              </w:rPr>
              <w:t>ELECTRICITE</w:t>
            </w:r>
          </w:p>
        </w:tc>
      </w:tr>
      <w:tr w:rsidR="002D4FDF" w:rsidRPr="00BD7697" w:rsidTr="00CD291A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CB4D53">
              <w:rPr>
                <w:b/>
                <w:bCs/>
              </w:rPr>
              <w:t>1</w:t>
            </w:r>
            <w:r w:rsidRPr="0046003F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4FDF" w:rsidRPr="0083166E" w:rsidRDefault="002D4FDF" w:rsidP="00CD291A">
            <w:pPr>
              <w:jc w:val="center"/>
            </w:pPr>
            <w: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D4FDF" w:rsidRPr="0083166E" w:rsidRDefault="002D4FDF" w:rsidP="00CD291A">
            <w:pPr>
              <w:jc w:val="center"/>
            </w:pPr>
            <w: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D4FDF" w:rsidRPr="0083166E" w:rsidRDefault="002D4FDF" w:rsidP="00CD291A">
            <w:pPr>
              <w:jc w:val="center"/>
            </w:pPr>
            <w:r>
              <w:t>121,4</w:t>
            </w:r>
          </w:p>
        </w:tc>
      </w:tr>
      <w:tr w:rsidR="002D4FDF" w:rsidRPr="00BD7697" w:rsidTr="00CD291A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CB4D53">
              <w:rPr>
                <w:b/>
                <w:bCs/>
              </w:rPr>
              <w:t>2</w:t>
            </w:r>
            <w:r w:rsidRPr="0046003F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4FDF" w:rsidRDefault="002D4FDF" w:rsidP="00CD291A">
            <w:pPr>
              <w:jc w:val="center"/>
            </w:pPr>
            <w: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D4FDF" w:rsidRDefault="002D4FDF" w:rsidP="00CD291A">
            <w:pPr>
              <w:jc w:val="center"/>
            </w:pPr>
            <w: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D4FDF" w:rsidRDefault="002D4FDF" w:rsidP="00CD291A">
            <w:pPr>
              <w:jc w:val="center"/>
            </w:pPr>
            <w:r>
              <w:t>130,5</w:t>
            </w:r>
          </w:p>
        </w:tc>
      </w:tr>
      <w:tr w:rsidR="002D4FDF" w:rsidRPr="00BD7697" w:rsidTr="00CD291A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CB4D53">
              <w:rPr>
                <w:b/>
                <w:bCs/>
              </w:rPr>
              <w:t>3</w:t>
            </w:r>
            <w:r w:rsidRPr="0046003F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4FDF" w:rsidRPr="003D0347" w:rsidRDefault="002D4FDF" w:rsidP="00CD291A">
            <w:pPr>
              <w:jc w:val="center"/>
            </w:pPr>
            <w:r>
              <w:t>148,2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D4FDF" w:rsidRPr="003D0347" w:rsidRDefault="002D4FDF" w:rsidP="00CD291A">
            <w:pPr>
              <w:jc w:val="center"/>
            </w:pPr>
            <w:r>
              <w:t>107,5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D4FDF" w:rsidRPr="003D0347" w:rsidRDefault="002D4FDF" w:rsidP="00CD291A">
            <w:pPr>
              <w:jc w:val="center"/>
            </w:pPr>
            <w:r>
              <w:t>141,5</w:t>
            </w:r>
          </w:p>
        </w:tc>
      </w:tr>
      <w:tr w:rsidR="002D4FDF" w:rsidRPr="00BD7697" w:rsidTr="00CD291A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CB4D53">
              <w:rPr>
                <w:b/>
                <w:bCs/>
              </w:rPr>
              <w:t>4</w:t>
            </w:r>
            <w:r w:rsidRPr="0046003F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4FDF" w:rsidRDefault="002D4FDF" w:rsidP="00CD291A">
            <w:pPr>
              <w:jc w:val="center"/>
            </w:pPr>
            <w:r>
              <w:t>146,2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D4FDF" w:rsidRDefault="002D4FDF" w:rsidP="00CD291A">
            <w:pPr>
              <w:jc w:val="center"/>
            </w:pPr>
            <w:r>
              <w:t>121,6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D4FDF" w:rsidRPr="00711680" w:rsidRDefault="002D4FDF" w:rsidP="00CD291A">
            <w:pPr>
              <w:jc w:val="center"/>
            </w:pPr>
            <w:r>
              <w:t>133,0</w:t>
            </w:r>
          </w:p>
        </w:tc>
      </w:tr>
      <w:tr w:rsidR="002D4FDF" w:rsidRPr="00BD7697" w:rsidTr="00CD291A">
        <w:trPr>
          <w:trHeight w:val="552"/>
        </w:trPr>
        <w:tc>
          <w:tcPr>
            <w:tcW w:w="1063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D4FDF" w:rsidRPr="00CB4D53" w:rsidRDefault="002D4FDF" w:rsidP="00CD291A">
            <w:pPr>
              <w:tabs>
                <w:tab w:val="left" w:pos="657"/>
              </w:tabs>
              <w:ind w:right="240"/>
              <w:rPr>
                <w:b/>
                <w:bCs/>
              </w:rPr>
            </w:pPr>
            <w:r w:rsidRPr="00CB4D53">
              <w:rPr>
                <w:b/>
                <w:bCs/>
              </w:rPr>
              <w:t>1</w:t>
            </w:r>
            <w:r w:rsidRPr="0046003F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4FDF" w:rsidRPr="0083166E" w:rsidRDefault="002D4FDF" w:rsidP="00CD291A">
            <w:pPr>
              <w:jc w:val="center"/>
            </w:pPr>
            <w: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D4FDF" w:rsidRPr="0083166E" w:rsidRDefault="002D4FDF" w:rsidP="00CD291A">
            <w:pPr>
              <w:jc w:val="center"/>
            </w:pPr>
            <w: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D4FDF" w:rsidRPr="0083166E" w:rsidRDefault="002D4FDF" w:rsidP="00CD291A">
            <w:pPr>
              <w:jc w:val="center"/>
            </w:pPr>
            <w:r>
              <w:t>126,5</w:t>
            </w:r>
          </w:p>
        </w:tc>
      </w:tr>
    </w:tbl>
    <w:p w:rsidR="002D4FDF" w:rsidRDefault="002D4FDF" w:rsidP="002D4FDF">
      <w:pPr>
        <w:suppressAutoHyphens/>
        <w:spacing w:line="262" w:lineRule="auto"/>
        <w:jc w:val="center"/>
        <w:rPr>
          <w:b/>
        </w:rPr>
      </w:pPr>
    </w:p>
    <w:p w:rsidR="002D4FDF" w:rsidRDefault="002D4FDF" w:rsidP="002D4FDF">
      <w:pPr>
        <w:suppressAutoHyphens/>
        <w:spacing w:line="262" w:lineRule="auto"/>
        <w:jc w:val="center"/>
      </w:pPr>
    </w:p>
    <w:p w:rsidR="002D4FDF" w:rsidRDefault="002D4FDF" w:rsidP="002D4FDF">
      <w:pPr>
        <w:suppressAutoHyphens/>
        <w:spacing w:line="262" w:lineRule="auto"/>
        <w:jc w:val="center"/>
      </w:pPr>
    </w:p>
    <w:p w:rsidR="002D4FDF" w:rsidRDefault="002D4FDF" w:rsidP="002D4FDF">
      <w:pPr>
        <w:suppressAutoHyphens/>
        <w:spacing w:line="262" w:lineRule="auto"/>
        <w:jc w:val="center"/>
      </w:pPr>
      <w:r w:rsidRPr="00DC03E1">
        <w:rPr>
          <w:noProof/>
        </w:rPr>
        <w:drawing>
          <wp:inline distT="0" distB="0" distL="0" distR="0">
            <wp:extent cx="5759450" cy="4651165"/>
            <wp:effectExtent l="19050" t="0" r="12700" b="0"/>
            <wp:docPr id="3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29D9" w:rsidRDefault="00F729D9" w:rsidP="002D4FDF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  <w:b/>
          <w:color w:val="FF0000"/>
        </w:rPr>
      </w:pPr>
    </w:p>
    <w:sectPr w:rsidR="00F729D9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2D" w:rsidRDefault="00FB062D">
      <w:r>
        <w:separator/>
      </w:r>
    </w:p>
  </w:endnote>
  <w:endnote w:type="continuationSeparator" w:id="1">
    <w:p w:rsidR="00FB062D" w:rsidRDefault="00FB0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105C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105C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D4FD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D4FDF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105C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2D" w:rsidRDefault="00FB062D">
      <w:r>
        <w:separator/>
      </w:r>
    </w:p>
  </w:footnote>
  <w:footnote w:type="continuationSeparator" w:id="1">
    <w:p w:rsidR="00FB062D" w:rsidRDefault="00FB0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354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7E0A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669FA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4FDF"/>
    <w:rsid w:val="002F237C"/>
    <w:rsid w:val="002F3B72"/>
    <w:rsid w:val="0030560D"/>
    <w:rsid w:val="0030605C"/>
    <w:rsid w:val="003121A0"/>
    <w:rsid w:val="00314191"/>
    <w:rsid w:val="003151E9"/>
    <w:rsid w:val="00315BF1"/>
    <w:rsid w:val="00316A57"/>
    <w:rsid w:val="0031735D"/>
    <w:rsid w:val="00321531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198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938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05C3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B6FA3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442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B62BC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07F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9D9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062D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9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4F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F729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D4F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D4FD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D4F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Nouvel%20IP%20BASE%202015\Ann&#233;e%202022\Communiqu&#233;%201%20trim%202022\graphe-ipi4tr2020publ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772166886079303"/>
          <c:y val="1.108493274278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Feuil1htf!$A$15:$B$19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Feuil1htf!$A$15:$B$19</c15:sqref>
                  </c15:fullRef>
                </c:ext>
              </c:extLst>
            </c:multiLvlStrRef>
          </c:cat>
          <c:val>
            <c:numRef>
              <c:f>Feuil1htf!$C$15:$C$19</c:f>
              <c:numCache>
                <c:formatCode>0.0</c:formatCode>
                <c:ptCount val="5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Feuil1htf!$C$15:$C$19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Feuil1htf!$A$15:$B$19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Feuil1htf!$A$15:$B$19</c15:sqref>
                  </c15:fullRef>
                </c:ext>
              </c:extLst>
            </c:multiLvlStrRef>
          </c:cat>
          <c:val>
            <c:numRef>
              <c:f>Feuil1htf!$D$15:$D$19</c:f>
              <c:numCache>
                <c:formatCode>0.0</c:formatCode>
                <c:ptCount val="5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Feuil1htf!$D$15:$D$19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Feuil1htf!$A$15:$B$19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Feuil1htf!$A$15:$B$19</c15:sqref>
                  </c15:fullRef>
                </c:ext>
              </c:extLst>
            </c:multiLvlStrRef>
          </c:cat>
          <c:val>
            <c:numRef>
              <c:f>Feuil1htf!$E$15:$E$19</c:f>
              <c:numCache>
                <c:formatCode>General</c:formatCode>
                <c:ptCount val="5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Feuil1htf!$E$15:$E$19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87152896"/>
        <c:axId val="87156992"/>
      </c:lineChart>
      <c:catAx>
        <c:axId val="871528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156992"/>
        <c:crosses val="autoZero"/>
        <c:auto val="1"/>
        <c:lblAlgn val="ctr"/>
        <c:lblOffset val="100"/>
        <c:tickLblSkip val="1"/>
        <c:tickMarkSkip val="1"/>
      </c:catAx>
      <c:valAx>
        <c:axId val="87156992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1528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cnd</cp:lastModifiedBy>
  <cp:revision>7</cp:revision>
  <cp:lastPrinted>2012-11-26T10:50:00Z</cp:lastPrinted>
  <dcterms:created xsi:type="dcterms:W3CDTF">2022-05-31T14:11:00Z</dcterms:created>
  <dcterms:modified xsi:type="dcterms:W3CDTF">2022-06-15T09:42:00Z</dcterms:modified>
</cp:coreProperties>
</file>