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91" w:rsidRDefault="004C0691" w:rsidP="004C0691">
      <w:pPr>
        <w:spacing w:line="276" w:lineRule="auto"/>
        <w:jc w:val="right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8D235E" w:rsidRDefault="008D235E" w:rsidP="004C0691">
      <w:pPr>
        <w:spacing w:line="276" w:lineRule="auto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</w:p>
    <w:p w:rsidR="008666DD" w:rsidRDefault="00D8149F" w:rsidP="004C0691">
      <w:pPr>
        <w:spacing w:line="276" w:lineRule="auto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   </w:t>
      </w:r>
      <w:r w:rsidR="00BE5CF3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   </w:t>
      </w:r>
    </w:p>
    <w:p w:rsidR="004C0691" w:rsidRPr="004C0691" w:rsidRDefault="004C0691" w:rsidP="004C0691">
      <w:pPr>
        <w:spacing w:line="276" w:lineRule="auto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  <w:r w:rsidRPr="004C0691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Note d’information du Haut-</w:t>
      </w:r>
      <w:r w:rsidR="00AC757D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C</w:t>
      </w:r>
      <w:r w:rsidRPr="004C0691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ommissariat au Plan</w:t>
      </w:r>
    </w:p>
    <w:p w:rsidR="004C0691" w:rsidRPr="004C0691" w:rsidRDefault="008627FF" w:rsidP="004C0691">
      <w:pPr>
        <w:spacing w:line="276" w:lineRule="auto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r</w:t>
      </w:r>
      <w:r w:rsidR="00AC757D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elative</w:t>
      </w:r>
      <w:r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 </w:t>
      </w:r>
      <w:r w:rsidR="00AC757D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aux</w:t>
      </w:r>
      <w:r w:rsidR="004C0691" w:rsidRPr="004C0691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 principales caractéristiques de la population</w:t>
      </w:r>
    </w:p>
    <w:p w:rsidR="004C0691" w:rsidRPr="004C0691" w:rsidRDefault="004A10B8" w:rsidP="004C0691">
      <w:pPr>
        <w:spacing w:line="276" w:lineRule="auto"/>
        <w:jc w:val="center"/>
        <w:rPr>
          <w:rFonts w:ascii="Book Antiqua" w:hAnsi="Book Antiqua"/>
          <w:b/>
          <w:bCs/>
          <w:color w:val="548DD4" w:themeColor="text2" w:themeTint="99"/>
          <w:sz w:val="28"/>
          <w:szCs w:val="28"/>
        </w:rPr>
      </w:pPr>
      <w:r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>a</w:t>
      </w:r>
      <w:r w:rsidR="004C0691" w:rsidRPr="004C0691">
        <w:rPr>
          <w:rFonts w:ascii="Book Antiqua" w:hAnsi="Book Antiqua"/>
          <w:b/>
          <w:bCs/>
          <w:color w:val="548DD4" w:themeColor="text2" w:themeTint="99"/>
          <w:sz w:val="28"/>
          <w:szCs w:val="28"/>
        </w:rPr>
        <w:t xml:space="preserve">ctive occupée en 2021  </w:t>
      </w:r>
    </w:p>
    <w:p w:rsidR="00635C1B" w:rsidRDefault="00635C1B"/>
    <w:p w:rsidR="00CA01A7" w:rsidRDefault="00CA01A7" w:rsidP="00CA01A7">
      <w:pPr>
        <w:spacing w:before="120" w:after="120" w:line="312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 w:rsidRPr="00CA01A7">
        <w:rPr>
          <w:rFonts w:ascii="Book Antiqua" w:hAnsi="Book Antiqua" w:cstheme="majorBidi"/>
          <w:b/>
          <w:bCs/>
          <w:color w:val="17365D" w:themeColor="text2" w:themeShade="BF"/>
        </w:rPr>
        <w:t>La présente note dresse le portrait de la population active occupée et les traits saillants de la qualité de l’emploi en 2021.</w:t>
      </w:r>
    </w:p>
    <w:p w:rsidR="004305EF" w:rsidRPr="0021129D" w:rsidRDefault="00CA01A7" w:rsidP="00CA01A7">
      <w:pPr>
        <w:spacing w:before="120" w:after="120" w:line="312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>
        <w:rPr>
          <w:rFonts w:ascii="Book Antiqua" w:hAnsi="Book Antiqua" w:cstheme="majorBidi"/>
          <w:b/>
          <w:bCs/>
          <w:color w:val="17365D" w:themeColor="text2" w:themeShade="BF"/>
        </w:rPr>
        <w:t>L</w:t>
      </w:r>
      <w:r w:rsidR="0022401E" w:rsidRPr="0021129D">
        <w:rPr>
          <w:rFonts w:ascii="Book Antiqua" w:hAnsi="Book Antiqua" w:cstheme="majorBidi"/>
          <w:b/>
          <w:bCs/>
          <w:color w:val="17365D" w:themeColor="text2" w:themeShade="BF"/>
        </w:rPr>
        <w:t>a population</w:t>
      </w: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 en âge d’activité (</w:t>
      </w:r>
      <w:r w:rsidR="0022401E" w:rsidRPr="0021129D">
        <w:rPr>
          <w:rFonts w:ascii="Book Antiqua" w:hAnsi="Book Antiqua" w:cstheme="majorBidi"/>
          <w:b/>
          <w:bCs/>
          <w:color w:val="17365D" w:themeColor="text2" w:themeShade="BF"/>
        </w:rPr>
        <w:t>15</w:t>
      </w:r>
      <w:r w:rsidR="008A66ED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22401E" w:rsidRPr="0021129D">
        <w:rPr>
          <w:rFonts w:ascii="Book Antiqua" w:hAnsi="Book Antiqua" w:cstheme="majorBidi"/>
          <w:b/>
          <w:bCs/>
          <w:color w:val="17365D" w:themeColor="text2" w:themeShade="BF"/>
        </w:rPr>
        <w:t>ans et plus</w:t>
      </w:r>
      <w:r>
        <w:rPr>
          <w:rFonts w:ascii="Book Antiqua" w:hAnsi="Book Antiqua" w:cstheme="majorBidi"/>
          <w:b/>
          <w:bCs/>
          <w:color w:val="17365D" w:themeColor="text2" w:themeShade="BF"/>
        </w:rPr>
        <w:t>)</w:t>
      </w:r>
      <w:r w:rsidR="0022401E" w:rsidRPr="0021129D">
        <w:rPr>
          <w:rFonts w:ascii="Book Antiqua" w:hAnsi="Book Antiqua" w:cstheme="majorBidi"/>
          <w:b/>
          <w:bCs/>
          <w:color w:val="17365D" w:themeColor="text2" w:themeShade="BF"/>
        </w:rPr>
        <w:t xml:space="preserve"> a atteint</w:t>
      </w:r>
      <w:r w:rsid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27.127.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000 personnes, 12.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280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.000 sont des acti</w:t>
      </w: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ves 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(10.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772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 xml:space="preserve">.000 pourvues d’un emploi et </w:t>
      </w:r>
      <w:r w:rsidR="00CC24BC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1.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5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0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8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>.000 en situation de chômage) et 14.</w:t>
      </w:r>
      <w:r w:rsidR="003A5C3A" w:rsidRPr="0021129D">
        <w:rPr>
          <w:rFonts w:ascii="Book Antiqua" w:hAnsi="Book Antiqua" w:cstheme="majorBidi"/>
          <w:b/>
          <w:bCs/>
          <w:color w:val="17365D" w:themeColor="text2" w:themeShade="BF"/>
        </w:rPr>
        <w:t>84</w:t>
      </w:r>
      <w:r w:rsidR="004305EF" w:rsidRPr="0021129D">
        <w:rPr>
          <w:rFonts w:ascii="Book Antiqua" w:hAnsi="Book Antiqua" w:cstheme="majorBidi"/>
          <w:b/>
          <w:bCs/>
          <w:color w:val="17365D" w:themeColor="text2" w:themeShade="BF"/>
        </w:rPr>
        <w:t xml:space="preserve">7.000 sont en dehors du marché de travail. </w:t>
      </w:r>
    </w:p>
    <w:p w:rsidR="00877DC5" w:rsidRPr="001C3AC7" w:rsidRDefault="00082DD1" w:rsidP="0022401E">
      <w:pPr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 w:rsidRPr="001C3AC7">
        <w:rPr>
          <w:rFonts w:ascii="Book Antiqua" w:hAnsi="Book Antiqua" w:cstheme="majorBidi"/>
          <w:b/>
          <w:bCs/>
          <w:color w:val="17365D" w:themeColor="text2" w:themeShade="BF"/>
        </w:rPr>
        <w:t>Parmi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AC757D" w:rsidRPr="001C3AC7">
        <w:rPr>
          <w:rFonts w:ascii="Book Antiqua" w:hAnsi="Book Antiqua" w:cstheme="majorBidi"/>
          <w:b/>
          <w:bCs/>
          <w:color w:val="17365D" w:themeColor="text2" w:themeShade="BF"/>
        </w:rPr>
        <w:t>l</w:t>
      </w:r>
      <w:r w:rsidRPr="001C3AC7">
        <w:rPr>
          <w:rFonts w:ascii="Book Antiqua" w:hAnsi="Book Antiqua" w:cstheme="majorBidi"/>
          <w:b/>
          <w:bCs/>
          <w:color w:val="17365D" w:themeColor="text2" w:themeShade="BF"/>
        </w:rPr>
        <w:t>es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10.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77</w:t>
      </w:r>
      <w:r w:rsidRPr="001C3AC7">
        <w:rPr>
          <w:rFonts w:ascii="Book Antiqua" w:hAnsi="Book Antiqua" w:cstheme="majorBidi"/>
          <w:b/>
          <w:bCs/>
          <w:color w:val="17365D" w:themeColor="text2" w:themeShade="BF"/>
        </w:rPr>
        <w:t>2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.000 actifs occupés, 42,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1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% sont des ruraux et 22,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3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% sont de sexe féminin. Les jeunes âgés de 15 à 34 ans </w:t>
      </w:r>
      <w:r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en 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constituent 3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4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,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8</w:t>
      </w:r>
      <w:r w:rsidR="00851502" w:rsidRPr="001C3AC7">
        <w:rPr>
          <w:rFonts w:ascii="Book Antiqua" w:hAnsi="Book Antiqua" w:cstheme="majorBidi"/>
          <w:b/>
          <w:bCs/>
          <w:color w:val="17365D" w:themeColor="text2" w:themeShade="BF"/>
        </w:rPr>
        <w:t>% ;</w:t>
      </w:r>
      <w:r w:rsidR="009A6769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8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,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9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% pour les 15-24 ans et 26,</w:t>
      </w:r>
      <w:r w:rsidR="00461896" w:rsidRPr="001C3AC7">
        <w:rPr>
          <w:rFonts w:ascii="Book Antiqua" w:hAnsi="Book Antiqua" w:cstheme="majorBidi"/>
          <w:b/>
          <w:bCs/>
          <w:color w:val="17365D" w:themeColor="text2" w:themeShade="BF"/>
        </w:rPr>
        <w:t>9</w:t>
      </w:r>
      <w:r w:rsidR="004305EF" w:rsidRPr="001C3AC7">
        <w:rPr>
          <w:rFonts w:ascii="Book Antiqua" w:hAnsi="Book Antiqua" w:cstheme="majorBidi"/>
          <w:b/>
          <w:bCs/>
          <w:color w:val="17365D" w:themeColor="text2" w:themeShade="BF"/>
        </w:rPr>
        <w:t>% pour les 25-34 ans.</w:t>
      </w:r>
    </w:p>
    <w:p w:rsidR="004D3997" w:rsidRPr="001C3AC7" w:rsidRDefault="00CA01A7" w:rsidP="001C3AC7">
      <w:pPr>
        <w:spacing w:before="120" w:after="120" w:line="276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>
        <w:rPr>
          <w:rFonts w:ascii="Book Antiqua" w:hAnsi="Book Antiqua" w:cstheme="majorBidi"/>
          <w:b/>
          <w:bCs/>
          <w:color w:val="17365D" w:themeColor="text2" w:themeShade="BF"/>
        </w:rPr>
        <w:t>L</w:t>
      </w:r>
      <w:r w:rsidR="004D3997" w:rsidRPr="001C3AC7">
        <w:rPr>
          <w:rFonts w:ascii="Book Antiqua" w:hAnsi="Book Antiqua" w:cstheme="majorBidi"/>
          <w:b/>
          <w:bCs/>
          <w:color w:val="17365D" w:themeColor="text2" w:themeShade="BF"/>
        </w:rPr>
        <w:t>e secteur des "Services"</w:t>
      </w:r>
      <w:r w:rsidR="001C3AC7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demeure le premier pourvoyeur de l’emploi</w:t>
      </w:r>
      <w:r w:rsidR="004D3997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, </w:t>
      </w:r>
      <w:r w:rsidR="001C3AC7" w:rsidRPr="001C3AC7">
        <w:rPr>
          <w:rFonts w:ascii="Book Antiqua" w:hAnsi="Book Antiqua" w:cstheme="majorBidi"/>
          <w:b/>
          <w:bCs/>
          <w:color w:val="17365D" w:themeColor="text2" w:themeShade="BF"/>
        </w:rPr>
        <w:t>avec</w:t>
      </w:r>
      <w:r w:rsidR="004D3997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45,8% des actifs occupés dont 33,5% </w:t>
      </w: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d’entre eux </w:t>
      </w:r>
      <w:r w:rsidR="004D3997" w:rsidRPr="001C3AC7">
        <w:rPr>
          <w:rFonts w:ascii="Book Antiqua" w:hAnsi="Book Antiqua" w:cstheme="majorBidi"/>
          <w:b/>
          <w:bCs/>
          <w:color w:val="17365D" w:themeColor="text2" w:themeShade="BF"/>
        </w:rPr>
        <w:t>exercent dans la branche du commerce</w:t>
      </w: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, suivi de </w:t>
      </w:r>
      <w:r w:rsidRP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l’"Agriculture, forêt et pêche" </w:t>
      </w:r>
      <w:r>
        <w:rPr>
          <w:rFonts w:ascii="Book Antiqua" w:hAnsi="Book Antiqua" w:cstheme="majorBidi"/>
          <w:b/>
          <w:bCs/>
          <w:color w:val="17365D" w:themeColor="text2" w:themeShade="BF"/>
        </w:rPr>
        <w:t>(</w:t>
      </w:r>
      <w:r w:rsidRPr="00CA01A7">
        <w:rPr>
          <w:rFonts w:ascii="Book Antiqua" w:hAnsi="Book Antiqua" w:cstheme="majorBidi"/>
          <w:b/>
          <w:bCs/>
          <w:color w:val="17365D" w:themeColor="text2" w:themeShade="BF"/>
        </w:rPr>
        <w:t>avec</w:t>
      </w: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Pr="00CA01A7">
        <w:rPr>
          <w:rFonts w:ascii="Book Antiqua" w:hAnsi="Book Antiqua" w:cstheme="majorBidi"/>
          <w:b/>
          <w:bCs/>
          <w:color w:val="17365D" w:themeColor="text2" w:themeShade="BF"/>
        </w:rPr>
        <w:t>31,2%</w:t>
      </w:r>
      <w:r>
        <w:rPr>
          <w:rFonts w:ascii="Book Antiqua" w:hAnsi="Book Antiqua" w:cstheme="majorBidi"/>
          <w:b/>
          <w:bCs/>
          <w:color w:val="17365D" w:themeColor="text2" w:themeShade="BF"/>
        </w:rPr>
        <w:t>).</w:t>
      </w:r>
    </w:p>
    <w:p w:rsidR="001C3AC7" w:rsidRPr="001C3AC7" w:rsidRDefault="00CA01A7" w:rsidP="001C3AC7">
      <w:pPr>
        <w:spacing w:before="240" w:line="312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>
        <w:rPr>
          <w:rFonts w:ascii="Book Antiqua" w:hAnsi="Book Antiqua" w:cstheme="majorBidi"/>
          <w:b/>
          <w:bCs/>
          <w:color w:val="17365D" w:themeColor="text2" w:themeShade="BF"/>
        </w:rPr>
        <w:t xml:space="preserve">Plus </w:t>
      </w:r>
      <w:r w:rsidR="001C3AC7" w:rsidRPr="001C3AC7">
        <w:rPr>
          <w:rFonts w:ascii="Book Antiqua" w:hAnsi="Book Antiqua" w:cstheme="majorBidi"/>
          <w:b/>
          <w:bCs/>
          <w:color w:val="17365D" w:themeColor="text2" w:themeShade="BF"/>
        </w:rPr>
        <w:t>de la moitié (51,8%) des actifs occupés sont des salariés, 29,6% des indépendants, 13,7% des aides familiales et 2,2% d’entre eux sont des employeurs.</w:t>
      </w:r>
    </w:p>
    <w:p w:rsidR="001C3AC7" w:rsidRPr="001C3AC7" w:rsidRDefault="001C3AC7" w:rsidP="0022401E">
      <w:pPr>
        <w:spacing w:line="276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</w:p>
    <w:p w:rsidR="0022401E" w:rsidRPr="001C3AC7" w:rsidRDefault="00907088" w:rsidP="00CA01A7">
      <w:pPr>
        <w:spacing w:line="312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  <w:r>
        <w:rPr>
          <w:rFonts w:ascii="Book Antiqua" w:hAnsi="Book Antiqua" w:cstheme="majorBidi"/>
          <w:b/>
          <w:bCs/>
          <w:color w:val="17365D" w:themeColor="text2" w:themeShade="BF"/>
        </w:rPr>
        <w:t>L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es </w:t>
      </w:r>
      <w:r w:rsidR="00074ED2" w:rsidRPr="001C3AC7">
        <w:rPr>
          <w:rFonts w:ascii="Book Antiqua" w:hAnsi="Book Antiqua" w:cstheme="majorBidi"/>
          <w:b/>
          <w:bCs/>
          <w:color w:val="17365D" w:themeColor="text2" w:themeShade="BF"/>
        </w:rPr>
        <w:t>emploi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s</w:t>
      </w:r>
      <w:r w:rsidR="00074ED2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exercés </w:t>
      </w:r>
      <w:r w:rsidR="00074ED2" w:rsidRPr="001C3AC7">
        <w:rPr>
          <w:rFonts w:ascii="Book Antiqua" w:hAnsi="Book Antiqua" w:cstheme="majorBidi"/>
          <w:b/>
          <w:bCs/>
          <w:color w:val="17365D" w:themeColor="text2" w:themeShade="BF"/>
        </w:rPr>
        <w:t>reste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nt</w:t>
      </w:r>
      <w:r w:rsidR="00074ED2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peu 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qualifiés, faiblement protégés et organisés</w:t>
      </w:r>
      <w:r w:rsid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. Ainsi, </w:t>
      </w:r>
      <w:r w:rsidR="001C3AC7" w:rsidRPr="001C3AC7">
        <w:rPr>
          <w:rFonts w:ascii="Book Antiqua" w:hAnsi="Book Antiqua" w:cstheme="majorBidi"/>
          <w:b/>
          <w:bCs/>
          <w:color w:val="17365D" w:themeColor="text2" w:themeShade="BF"/>
        </w:rPr>
        <w:t>p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lus</w:t>
      </w:r>
      <w:r w:rsidR="00074ED2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 de la moitié (52,9%) des actifs occupés n’ont aucun diplôme</w:t>
      </w:r>
      <w:r w:rsidR="001C3AC7" w:rsidRPr="001C3AC7">
        <w:rPr>
          <w:rFonts w:ascii="Book Antiqua" w:hAnsi="Book Antiqua" w:cstheme="majorBidi"/>
          <w:b/>
          <w:bCs/>
          <w:color w:val="17365D" w:themeColor="text2" w:themeShade="BF"/>
        </w:rPr>
        <w:t xml:space="preserve">, 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10,5% occupent un emploi de type occasionnel ou saisonnier, plus de 14% exercent un emploi non rémunéré</w:t>
      </w:r>
      <w:r w:rsid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, 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25% bénéficient d’une couverture médicale liée à l’emploi (45,4% pour les salariés)</w:t>
      </w:r>
      <w:r w:rsid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, </w:t>
      </w:r>
      <w:r w:rsidR="0022401E" w:rsidRPr="001C3AC7">
        <w:rPr>
          <w:rFonts w:ascii="Book Antiqua" w:hAnsi="Book Antiqua" w:cstheme="majorBidi"/>
          <w:b/>
          <w:bCs/>
          <w:color w:val="17365D" w:themeColor="text2" w:themeShade="BF"/>
        </w:rPr>
        <w:t>plus de la moitié des salariés (54,6%) ne disposent d'aucun contrat formalisant leur relation avec l'employeur</w:t>
      </w:r>
      <w:r w:rsid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 et </w:t>
      </w:r>
      <w:r w:rsidR="00CA01A7" w:rsidRPr="00CA01A7">
        <w:rPr>
          <w:rFonts w:ascii="Book Antiqua" w:hAnsi="Book Antiqua" w:cstheme="majorBidi"/>
          <w:b/>
          <w:bCs/>
          <w:color w:val="17365D" w:themeColor="text2" w:themeShade="BF"/>
        </w:rPr>
        <w:t xml:space="preserve">9,3% sont en situation de sous-emploi. </w:t>
      </w:r>
    </w:p>
    <w:p w:rsidR="004D3997" w:rsidRPr="00CA01A7" w:rsidRDefault="004D3997" w:rsidP="00074ED2">
      <w:pPr>
        <w:spacing w:before="240" w:line="312" w:lineRule="auto"/>
        <w:jc w:val="both"/>
        <w:rPr>
          <w:rFonts w:ascii="Book Antiqua" w:hAnsi="Book Antiqua" w:cstheme="majorBidi"/>
          <w:b/>
          <w:bCs/>
          <w:color w:val="17365D" w:themeColor="text2" w:themeShade="BF"/>
        </w:rPr>
      </w:pPr>
    </w:p>
    <w:p w:rsidR="0022401E" w:rsidRDefault="0022401E" w:rsidP="00074ED2">
      <w:pPr>
        <w:spacing w:before="240" w:line="312" w:lineRule="auto"/>
        <w:jc w:val="both"/>
        <w:rPr>
          <w:rFonts w:ascii="Book Antiqua" w:hAnsi="Book Antiqua"/>
        </w:rPr>
      </w:pPr>
    </w:p>
    <w:p w:rsidR="00B20362" w:rsidRDefault="00B20362" w:rsidP="00CA01A7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</w:p>
    <w:p w:rsidR="00877DC5" w:rsidRPr="002F73CF" w:rsidRDefault="00877DC5" w:rsidP="00CA01A7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  <w:r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lastRenderedPageBreak/>
        <w:t xml:space="preserve">Augmentation de l’emploi, mais </w:t>
      </w:r>
      <w:r w:rsidR="002C37C0"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toujours</w:t>
      </w:r>
      <w:r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 inférieur au niveau enregistré avant la pandémie</w:t>
      </w:r>
    </w:p>
    <w:p w:rsidR="0009045C" w:rsidRDefault="0009045C" w:rsidP="0009045C">
      <w:pPr>
        <w:spacing w:before="120" w:after="12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5C79B5">
        <w:rPr>
          <w:rFonts w:ascii="Book Antiqua" w:hAnsi="Book Antiqua"/>
        </w:rPr>
        <w:t xml:space="preserve">près une baisse de 2,2 points, entre 2019 et </w:t>
      </w:r>
      <w:r>
        <w:rPr>
          <w:rFonts w:ascii="Book Antiqua" w:hAnsi="Book Antiqua"/>
        </w:rPr>
        <w:t>2020, passant de 41,6% à 39,4%, l</w:t>
      </w:r>
      <w:r w:rsidRPr="005C79B5">
        <w:rPr>
          <w:rFonts w:ascii="Book Antiqua" w:hAnsi="Book Antiqua"/>
        </w:rPr>
        <w:t>e taux d’emploi a augmenté</w:t>
      </w:r>
      <w:r>
        <w:rPr>
          <w:rFonts w:ascii="Book Antiqua" w:hAnsi="Book Antiqua"/>
        </w:rPr>
        <w:t xml:space="preserve"> de 0,3 point pour se situer </w:t>
      </w:r>
      <w:r w:rsidRPr="005C79B5">
        <w:rPr>
          <w:rFonts w:ascii="Book Antiqua" w:hAnsi="Book Antiqua"/>
        </w:rPr>
        <w:t>à 39,7% au niveau national</w:t>
      </w:r>
      <w:r w:rsidR="002F73CF">
        <w:rPr>
          <w:rFonts w:ascii="Book Antiqua" w:hAnsi="Book Antiqua"/>
        </w:rPr>
        <w:t xml:space="preserve"> en 2021</w:t>
      </w:r>
      <w:r w:rsidRPr="00885B82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</w:p>
    <w:p w:rsidR="005C79B5" w:rsidRDefault="0009045C" w:rsidP="0009045C">
      <w:pPr>
        <w:spacing w:before="120" w:after="12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5C79B5">
        <w:rPr>
          <w:rFonts w:ascii="Book Antiqua" w:hAnsi="Book Antiqua"/>
        </w:rPr>
        <w:t xml:space="preserve">e taux </w:t>
      </w:r>
      <w:r w:rsidR="005C79B5" w:rsidRPr="005C79B5">
        <w:rPr>
          <w:rFonts w:ascii="Book Antiqua" w:hAnsi="Book Antiqua"/>
        </w:rPr>
        <w:t>a baissé de 0,2 point en milieu urbain (de 35,3% à 35,1%) et a augmenté de 1,4 point en milieu rural (de 47,0 à 48,4%</w:t>
      </w:r>
      <w:r w:rsidR="004A10B8" w:rsidRPr="005C79B5">
        <w:rPr>
          <w:rFonts w:ascii="Book Antiqua" w:hAnsi="Book Antiqua"/>
        </w:rPr>
        <w:t xml:space="preserve">). </w:t>
      </w:r>
      <w:r>
        <w:rPr>
          <w:rFonts w:ascii="Book Antiqua" w:hAnsi="Book Antiqua"/>
        </w:rPr>
        <w:t>Il</w:t>
      </w:r>
      <w:r w:rsidRPr="005C79B5">
        <w:rPr>
          <w:rFonts w:ascii="Book Antiqua" w:hAnsi="Book Antiqua"/>
        </w:rPr>
        <w:t xml:space="preserve"> </w:t>
      </w:r>
      <w:r w:rsidR="005C79B5" w:rsidRPr="005C79B5">
        <w:rPr>
          <w:rFonts w:ascii="Book Antiqua" w:hAnsi="Book Antiqua"/>
        </w:rPr>
        <w:t xml:space="preserve">a baissé parmi les hommes (-0,2 point) et augmenté parmi les femmes (+0,7 point). </w:t>
      </w:r>
    </w:p>
    <w:p w:rsidR="00ED75BB" w:rsidRDefault="00DE3373" w:rsidP="007B3884">
      <w:pPr>
        <w:spacing w:before="120" w:after="12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 taux d’emploi des jeunes de 15-29 ans </w:t>
      </w:r>
      <w:r w:rsidR="005F3471">
        <w:rPr>
          <w:rFonts w:ascii="Book Antiqua" w:hAnsi="Book Antiqua"/>
        </w:rPr>
        <w:t xml:space="preserve">se maintient à 25,4 % entre </w:t>
      </w:r>
      <w:r w:rsidR="0039161C">
        <w:rPr>
          <w:rFonts w:ascii="Book Antiqua" w:hAnsi="Book Antiqua"/>
        </w:rPr>
        <w:t>2020 et 2021</w:t>
      </w:r>
      <w:r w:rsidR="005F3471">
        <w:rPr>
          <w:rFonts w:ascii="Book Antiqua" w:hAnsi="Book Antiqua"/>
        </w:rPr>
        <w:t xml:space="preserve">, </w:t>
      </w:r>
      <w:r w:rsidR="0039161C">
        <w:rPr>
          <w:rFonts w:ascii="Book Antiqua" w:hAnsi="Book Antiqua"/>
        </w:rPr>
        <w:t>il est de</w:t>
      </w:r>
      <w:r w:rsidR="009A6769">
        <w:rPr>
          <w:rFonts w:ascii="Book Antiqua" w:hAnsi="Book Antiqua"/>
        </w:rPr>
        <w:t xml:space="preserve"> </w:t>
      </w:r>
      <w:r w:rsidR="0039161C">
        <w:rPr>
          <w:rFonts w:ascii="Book Antiqua" w:hAnsi="Book Antiqua"/>
        </w:rPr>
        <w:t>2,8</w:t>
      </w:r>
      <w:r w:rsidR="0039161C" w:rsidRPr="0039161C">
        <w:rPr>
          <w:rFonts w:ascii="Book Antiqua" w:hAnsi="Book Antiqua"/>
        </w:rPr>
        <w:t xml:space="preserve"> point</w:t>
      </w:r>
      <w:r w:rsidR="0039161C">
        <w:rPr>
          <w:rFonts w:ascii="Book Antiqua" w:hAnsi="Book Antiqua"/>
        </w:rPr>
        <w:t>s</w:t>
      </w:r>
      <w:r w:rsidR="0039161C" w:rsidRPr="0039161C">
        <w:rPr>
          <w:rFonts w:ascii="Book Antiqua" w:hAnsi="Book Antiqua"/>
        </w:rPr>
        <w:t xml:space="preserve"> sous son niveau </w:t>
      </w:r>
      <w:r w:rsidR="0039161C">
        <w:rPr>
          <w:rFonts w:ascii="Book Antiqua" w:hAnsi="Book Antiqua"/>
        </w:rPr>
        <w:t xml:space="preserve">d’avant crise </w:t>
      </w:r>
      <w:r w:rsidR="0039161C" w:rsidRPr="0039161C">
        <w:rPr>
          <w:rFonts w:ascii="Book Antiqua" w:hAnsi="Book Antiqua"/>
        </w:rPr>
        <w:t>(</w:t>
      </w:r>
      <w:r w:rsidR="0039161C">
        <w:rPr>
          <w:rFonts w:ascii="Book Antiqua" w:hAnsi="Book Antiqua"/>
        </w:rPr>
        <w:t>28,</w:t>
      </w:r>
      <w:r w:rsidR="0039161C" w:rsidRPr="0039161C">
        <w:rPr>
          <w:rFonts w:ascii="Book Antiqua" w:hAnsi="Book Antiqua"/>
        </w:rPr>
        <w:t>2% en 2019).</w:t>
      </w:r>
      <w:r w:rsidR="00CA01A7">
        <w:rPr>
          <w:rFonts w:ascii="Book Antiqua" w:hAnsi="Book Antiqua"/>
        </w:rPr>
        <w:t xml:space="preserve"> </w:t>
      </w:r>
      <w:r w:rsidR="0039161C">
        <w:rPr>
          <w:rFonts w:ascii="Book Antiqua" w:hAnsi="Book Antiqua"/>
        </w:rPr>
        <w:t>Le taux d’emploi des 30-44</w:t>
      </w:r>
      <w:r w:rsidR="00C47768">
        <w:rPr>
          <w:rFonts w:ascii="Book Antiqua" w:hAnsi="Book Antiqua"/>
        </w:rPr>
        <w:t xml:space="preserve"> ans </w:t>
      </w:r>
      <w:r w:rsidR="0039161C" w:rsidRPr="0039161C">
        <w:rPr>
          <w:rFonts w:ascii="Book Antiqua" w:hAnsi="Book Antiqua"/>
        </w:rPr>
        <w:t>a</w:t>
      </w:r>
      <w:r w:rsidR="00C47768">
        <w:rPr>
          <w:rFonts w:ascii="Book Antiqua" w:hAnsi="Book Antiqua"/>
        </w:rPr>
        <w:t xml:space="preserve"> légèrement </w:t>
      </w:r>
      <w:r w:rsidR="0039161C" w:rsidRPr="0039161C">
        <w:rPr>
          <w:rFonts w:ascii="Book Antiqua" w:hAnsi="Book Antiqua"/>
        </w:rPr>
        <w:t>progressé de 0,4 point</w:t>
      </w:r>
      <w:r w:rsidR="00C47768">
        <w:rPr>
          <w:rFonts w:ascii="Book Antiqua" w:hAnsi="Book Antiqua"/>
        </w:rPr>
        <w:t xml:space="preserve"> pour atteindre 54,8%, contre 56,8</w:t>
      </w:r>
      <w:r w:rsidR="005F3471">
        <w:rPr>
          <w:rFonts w:ascii="Book Antiqua" w:hAnsi="Book Antiqua"/>
        </w:rPr>
        <w:t>%</w:t>
      </w:r>
      <w:r w:rsidR="00C47768">
        <w:rPr>
          <w:rFonts w:ascii="Book Antiqua" w:hAnsi="Book Antiqua"/>
        </w:rPr>
        <w:t xml:space="preserve"> une année avant la crise sanitaire</w:t>
      </w:r>
      <w:r w:rsidR="005F3471">
        <w:rPr>
          <w:rFonts w:ascii="Book Antiqua" w:hAnsi="Book Antiqua"/>
        </w:rPr>
        <w:t xml:space="preserve">. </w:t>
      </w:r>
    </w:p>
    <w:p w:rsidR="00847CFF" w:rsidRPr="002F73CF" w:rsidRDefault="007350B4" w:rsidP="00847CFF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Les services et l’agriculture premiers pourvoyeurs de l’emploi</w:t>
      </w:r>
    </w:p>
    <w:p w:rsidR="00877DC5" w:rsidRDefault="00E72A8D" w:rsidP="005A290F">
      <w:pPr>
        <w:spacing w:before="240" w:line="312" w:lineRule="auto"/>
        <w:jc w:val="both"/>
        <w:rPr>
          <w:rFonts w:ascii="Book Antiqua" w:hAnsi="Book Antiqua"/>
        </w:rPr>
      </w:pPr>
      <w:r w:rsidRPr="005A290F">
        <w:rPr>
          <w:rFonts w:ascii="Book Antiqua" w:hAnsi="Book Antiqua"/>
        </w:rPr>
        <w:t xml:space="preserve">La répartition des actifs occupés selon le secteur d’activité montre que le secteur des services se situe en première position avec 4.935.000 personnes </w:t>
      </w:r>
      <w:r w:rsidR="00B20362">
        <w:rPr>
          <w:rFonts w:ascii="Book Antiqua" w:hAnsi="Book Antiqua"/>
        </w:rPr>
        <w:t>et</w:t>
      </w:r>
      <w:r w:rsidRPr="005A290F">
        <w:rPr>
          <w:rFonts w:ascii="Book Antiqua" w:hAnsi="Book Antiqua"/>
        </w:rPr>
        <w:t xml:space="preserve"> une part de 45,8%, suivi de l’"</w:t>
      </w:r>
      <w:r w:rsidR="00281D36">
        <w:rPr>
          <w:rFonts w:ascii="Book Antiqua" w:hAnsi="Book Antiqua"/>
        </w:rPr>
        <w:t>A</w:t>
      </w:r>
      <w:r w:rsidRPr="005A290F">
        <w:rPr>
          <w:rFonts w:ascii="Book Antiqua" w:hAnsi="Book Antiqua"/>
        </w:rPr>
        <w:t>griculture, forêt et pêche" avec 3.364.000 personnes (31,2%), de l’</w:t>
      </w:r>
      <w:r w:rsidR="00281D36">
        <w:rPr>
          <w:rFonts w:ascii="Book Antiqua" w:hAnsi="Book Antiqua"/>
        </w:rPr>
        <w:t>I</w:t>
      </w:r>
      <w:r w:rsidRPr="005A290F">
        <w:rPr>
          <w:rFonts w:ascii="Book Antiqua" w:hAnsi="Book Antiqua"/>
        </w:rPr>
        <w:t>ndustrie avec 1.261.000 personnes (11,7%</w:t>
      </w:r>
      <w:r w:rsidR="003C7967">
        <w:rPr>
          <w:rFonts w:ascii="Book Antiqua" w:hAnsi="Book Antiqua"/>
        </w:rPr>
        <w:t xml:space="preserve"> dont 44,6%</w:t>
      </w:r>
      <w:r w:rsidR="00C278D2">
        <w:rPr>
          <w:rFonts w:ascii="Book Antiqua" w:hAnsi="Book Antiqua"/>
        </w:rPr>
        <w:t xml:space="preserve"> exercent d’</w:t>
      </w:r>
      <w:r w:rsidR="003C7967">
        <w:rPr>
          <w:rFonts w:ascii="Book Antiqua" w:hAnsi="Book Antiqua"/>
        </w:rPr>
        <w:t>activités artisanales</w:t>
      </w:r>
      <w:r w:rsidR="001B5165">
        <w:rPr>
          <w:rStyle w:val="Appelnotedebasdep"/>
          <w:rFonts w:ascii="Book Antiqua" w:hAnsi="Book Antiqua"/>
        </w:rPr>
        <w:footnoteReference w:id="1"/>
      </w:r>
      <w:r w:rsidRPr="005A290F">
        <w:rPr>
          <w:rFonts w:ascii="Book Antiqua" w:hAnsi="Book Antiqua"/>
        </w:rPr>
        <w:t>) et, enfin, des BTP avec 1.210.000 personnes (11,2%)</w:t>
      </w:r>
      <w:r w:rsidRPr="005A290F">
        <w:rPr>
          <w:rStyle w:val="Appelnotedebasdep"/>
          <w:rFonts w:ascii="Book Antiqua" w:hAnsi="Book Antiqua"/>
        </w:rPr>
        <w:footnoteReference w:id="2"/>
      </w:r>
      <w:r w:rsidRPr="005A290F">
        <w:rPr>
          <w:rFonts w:ascii="Book Antiqua" w:hAnsi="Book Antiqua"/>
        </w:rPr>
        <w:t xml:space="preserve">. </w:t>
      </w:r>
    </w:p>
    <w:p w:rsidR="00E72A8D" w:rsidRPr="005A290F" w:rsidRDefault="00E72A8D" w:rsidP="005A290F">
      <w:pPr>
        <w:spacing w:before="240" w:line="312" w:lineRule="auto"/>
        <w:jc w:val="both"/>
        <w:rPr>
          <w:rFonts w:ascii="Book Antiqua" w:hAnsi="Book Antiqua"/>
        </w:rPr>
      </w:pPr>
      <w:r w:rsidRPr="005A290F">
        <w:rPr>
          <w:rFonts w:ascii="Book Antiqua" w:hAnsi="Book Antiqua"/>
        </w:rPr>
        <w:t>Parmi les 4.935.000 personnes exerçant dans le secteur des services, 3</w:t>
      </w:r>
      <w:r w:rsidR="005A290F" w:rsidRPr="005A290F">
        <w:rPr>
          <w:rFonts w:ascii="Book Antiqua" w:hAnsi="Book Antiqua"/>
        </w:rPr>
        <w:t>3</w:t>
      </w:r>
      <w:r w:rsidRPr="005A290F">
        <w:rPr>
          <w:rFonts w:ascii="Book Antiqua" w:hAnsi="Book Antiqua"/>
        </w:rPr>
        <w:t>,</w:t>
      </w:r>
      <w:r w:rsidR="005A290F" w:rsidRPr="005A290F">
        <w:rPr>
          <w:rFonts w:ascii="Book Antiqua" w:hAnsi="Book Antiqua"/>
        </w:rPr>
        <w:t>5</w:t>
      </w:r>
      <w:r w:rsidRPr="005A290F">
        <w:rPr>
          <w:rFonts w:ascii="Book Antiqua" w:hAnsi="Book Antiqua"/>
        </w:rPr>
        <w:t xml:space="preserve">% relèvent de la branche du commerce, </w:t>
      </w:r>
      <w:r w:rsidR="005A290F" w:rsidRPr="005A290F">
        <w:rPr>
          <w:rFonts w:ascii="Book Antiqua" w:hAnsi="Book Antiqua"/>
        </w:rPr>
        <w:t>12,5</w:t>
      </w:r>
      <w:r w:rsidRPr="005A290F">
        <w:rPr>
          <w:rFonts w:ascii="Book Antiqua" w:hAnsi="Book Antiqua"/>
        </w:rPr>
        <w:t xml:space="preserve">% des services sociaux fournis à la collectivité et </w:t>
      </w:r>
      <w:r w:rsidR="00DB348C" w:rsidRPr="005A290F">
        <w:rPr>
          <w:rFonts w:ascii="Book Antiqua" w:hAnsi="Book Antiqua"/>
        </w:rPr>
        <w:t>11,</w:t>
      </w:r>
      <w:r w:rsidR="005A290F" w:rsidRPr="005A290F">
        <w:rPr>
          <w:rFonts w:ascii="Book Antiqua" w:hAnsi="Book Antiqua"/>
        </w:rPr>
        <w:t>8</w:t>
      </w:r>
      <w:r w:rsidRPr="005A290F">
        <w:rPr>
          <w:rFonts w:ascii="Book Antiqua" w:hAnsi="Book Antiqua"/>
        </w:rPr>
        <w:t>% du transport, entrepôts et communications.</w:t>
      </w:r>
    </w:p>
    <w:p w:rsidR="00FB0023" w:rsidRDefault="00FB0023" w:rsidP="00FB0023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D45D4E">
        <w:rPr>
          <w:rFonts w:ascii="Book Antiqua" w:hAnsi="Book Antiqua"/>
          <w:b/>
          <w:bCs/>
          <w:color w:val="1F497D" w:themeColor="text2"/>
          <w:sz w:val="22"/>
          <w:szCs w:val="22"/>
        </w:rPr>
        <w:t>1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> : Répartition des actifs occupés selon les secteurs d’activité en 2021</w:t>
      </w:r>
      <w:r w:rsidR="00651E2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(%)</w:t>
      </w:r>
    </w:p>
    <w:p w:rsidR="004C0691" w:rsidRPr="00E06B3B" w:rsidRDefault="00E06B3B" w:rsidP="00E06B3B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E06B3B">
        <w:rPr>
          <w:rFonts w:ascii="Book Antiqua" w:hAnsi="Book Antiqua"/>
          <w:b/>
          <w:bCs/>
          <w:noProof/>
          <w:color w:val="1F497D" w:themeColor="text2"/>
          <w:sz w:val="22"/>
          <w:szCs w:val="22"/>
        </w:rPr>
        <w:drawing>
          <wp:inline distT="0" distB="0" distL="0" distR="0">
            <wp:extent cx="5131724" cy="1956261"/>
            <wp:effectExtent l="0" t="0" r="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1355" w:rsidRDefault="003F1355" w:rsidP="00847CFF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</w:p>
    <w:p w:rsidR="00847CFF" w:rsidRPr="002F73CF" w:rsidRDefault="00847CFF" w:rsidP="00847CFF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  <w:r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lastRenderedPageBreak/>
        <w:t>Les statuts d</w:t>
      </w:r>
      <w:r w:rsidR="00851502"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u </w:t>
      </w:r>
      <w:r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salariat et de l’emploi indépendant prédominent </w:t>
      </w:r>
    </w:p>
    <w:p w:rsidR="00851502" w:rsidRDefault="00FB0023" w:rsidP="00851502">
      <w:pPr>
        <w:spacing w:before="240" w:line="312" w:lineRule="auto"/>
        <w:jc w:val="both"/>
        <w:rPr>
          <w:rFonts w:ascii="Book Antiqua" w:hAnsi="Book Antiqua"/>
        </w:rPr>
      </w:pPr>
      <w:r w:rsidRPr="00356704">
        <w:rPr>
          <w:rFonts w:ascii="Book Antiqua" w:eastAsia="Book Antiqua" w:hAnsi="Book Antiqua" w:cs="Book Antiqua"/>
        </w:rPr>
        <w:t>Près de la moitié (5</w:t>
      </w:r>
      <w:r w:rsidR="00356704" w:rsidRPr="00356704">
        <w:rPr>
          <w:rFonts w:ascii="Book Antiqua" w:eastAsia="Book Antiqua" w:hAnsi="Book Antiqua" w:cs="Book Antiqua"/>
        </w:rPr>
        <w:t>1</w:t>
      </w:r>
      <w:r w:rsidRPr="00356704">
        <w:rPr>
          <w:rFonts w:ascii="Book Antiqua" w:eastAsia="Book Antiqua" w:hAnsi="Book Antiqua" w:cs="Book Antiqua"/>
        </w:rPr>
        <w:t>,</w:t>
      </w:r>
      <w:r w:rsidR="00356704" w:rsidRPr="00356704">
        <w:rPr>
          <w:rFonts w:ascii="Book Antiqua" w:eastAsia="Book Antiqua" w:hAnsi="Book Antiqua" w:cs="Book Antiqua"/>
        </w:rPr>
        <w:t>8</w:t>
      </w:r>
      <w:r w:rsidRPr="00356704">
        <w:rPr>
          <w:rFonts w:ascii="Book Antiqua" w:eastAsia="Book Antiqua" w:hAnsi="Book Antiqua" w:cs="Book Antiqua"/>
        </w:rPr>
        <w:t>%) des actifs occupés sont des salariés (contre 50,</w:t>
      </w:r>
      <w:r w:rsidR="00356704" w:rsidRPr="00356704">
        <w:rPr>
          <w:rFonts w:ascii="Book Antiqua" w:eastAsia="Book Antiqua" w:hAnsi="Book Antiqua" w:cs="Book Antiqua"/>
        </w:rPr>
        <w:t>7</w:t>
      </w:r>
      <w:r w:rsidRPr="00356704">
        <w:rPr>
          <w:rFonts w:ascii="Book Antiqua" w:eastAsia="Book Antiqua" w:hAnsi="Book Antiqua" w:cs="Book Antiqua"/>
        </w:rPr>
        <w:t xml:space="preserve">% une année auparavant), </w:t>
      </w:r>
      <w:r w:rsidR="00356704" w:rsidRPr="00356704">
        <w:rPr>
          <w:rFonts w:ascii="Book Antiqua" w:eastAsia="Book Antiqua" w:hAnsi="Book Antiqua" w:cs="Book Antiqua"/>
        </w:rPr>
        <w:t>29</w:t>
      </w:r>
      <w:r w:rsidRPr="00356704">
        <w:rPr>
          <w:rFonts w:ascii="Book Antiqua" w:eastAsia="Book Antiqua" w:hAnsi="Book Antiqua" w:cs="Book Antiqua"/>
        </w:rPr>
        <w:t>,</w:t>
      </w:r>
      <w:r w:rsidR="00356704" w:rsidRPr="00356704">
        <w:rPr>
          <w:rFonts w:ascii="Book Antiqua" w:eastAsia="Book Antiqua" w:hAnsi="Book Antiqua" w:cs="Book Antiqua"/>
        </w:rPr>
        <w:t>6</w:t>
      </w:r>
      <w:r w:rsidRPr="00356704">
        <w:rPr>
          <w:rFonts w:ascii="Book Antiqua" w:eastAsia="Book Antiqua" w:hAnsi="Book Antiqua" w:cs="Book Antiqua"/>
        </w:rPr>
        <w:t>% des indépendants (contre 30,</w:t>
      </w:r>
      <w:r w:rsidR="00356704" w:rsidRPr="00356704">
        <w:rPr>
          <w:rFonts w:ascii="Book Antiqua" w:eastAsia="Book Antiqua" w:hAnsi="Book Antiqua" w:cs="Book Antiqua"/>
        </w:rPr>
        <w:t>9</w:t>
      </w:r>
      <w:r w:rsidRPr="00356704">
        <w:rPr>
          <w:rFonts w:ascii="Book Antiqua" w:eastAsia="Book Antiqua" w:hAnsi="Book Antiqua" w:cs="Book Antiqua"/>
        </w:rPr>
        <w:t>%), 13,7% des aides familiales (</w:t>
      </w:r>
      <w:r w:rsidR="003A7BB9">
        <w:rPr>
          <w:rFonts w:ascii="Book Antiqua" w:eastAsia="Book Antiqua" w:hAnsi="Book Antiqua" w:cs="Book Antiqua"/>
        </w:rPr>
        <w:t xml:space="preserve">contre </w:t>
      </w:r>
      <w:r w:rsidRPr="00356704">
        <w:rPr>
          <w:rFonts w:ascii="Book Antiqua" w:eastAsia="Book Antiqua" w:hAnsi="Book Antiqua" w:cs="Book Antiqua"/>
        </w:rPr>
        <w:t>1</w:t>
      </w:r>
      <w:r w:rsidR="00356704" w:rsidRPr="00356704">
        <w:rPr>
          <w:rFonts w:ascii="Book Antiqua" w:eastAsia="Book Antiqua" w:hAnsi="Book Antiqua" w:cs="Book Antiqua"/>
        </w:rPr>
        <w:t>3</w:t>
      </w:r>
      <w:r w:rsidRPr="00356704">
        <w:rPr>
          <w:rFonts w:ascii="Book Antiqua" w:eastAsia="Book Antiqua" w:hAnsi="Book Antiqua" w:cs="Book Antiqua"/>
        </w:rPr>
        <w:t>,7%) et 2</w:t>
      </w:r>
      <w:r w:rsidR="00356704" w:rsidRPr="00356704">
        <w:rPr>
          <w:rFonts w:ascii="Book Antiqua" w:eastAsia="Book Antiqua" w:hAnsi="Book Antiqua" w:cs="Book Antiqua"/>
        </w:rPr>
        <w:t>,2</w:t>
      </w:r>
      <w:r w:rsidRPr="00356704">
        <w:rPr>
          <w:rFonts w:ascii="Book Antiqua" w:eastAsia="Book Antiqua" w:hAnsi="Book Antiqua" w:cs="Book Antiqua"/>
        </w:rPr>
        <w:t>% des employeurs (contre 2,</w:t>
      </w:r>
      <w:r w:rsidR="00356704" w:rsidRPr="00356704">
        <w:rPr>
          <w:rFonts w:ascii="Book Antiqua" w:eastAsia="Book Antiqua" w:hAnsi="Book Antiqua" w:cs="Book Antiqua"/>
        </w:rPr>
        <w:t>0</w:t>
      </w:r>
      <w:r w:rsidRPr="00356704">
        <w:rPr>
          <w:rFonts w:ascii="Book Antiqua" w:eastAsia="Book Antiqua" w:hAnsi="Book Antiqua" w:cs="Book Antiqua"/>
        </w:rPr>
        <w:t>%).</w:t>
      </w:r>
    </w:p>
    <w:p w:rsidR="00851502" w:rsidRPr="00356704" w:rsidRDefault="00851502" w:rsidP="00851502">
      <w:pPr>
        <w:spacing w:before="240" w:line="312" w:lineRule="auto"/>
        <w:jc w:val="both"/>
        <w:rPr>
          <w:rFonts w:ascii="Book Antiqua" w:hAnsi="Book Antiqua"/>
        </w:rPr>
      </w:pPr>
      <w:r w:rsidRPr="00356704">
        <w:rPr>
          <w:rFonts w:ascii="Book Antiqua" w:hAnsi="Book Antiqua"/>
        </w:rPr>
        <w:t>Les professions les plus exercées sont le</w:t>
      </w:r>
      <w:r w:rsidR="00435DF9">
        <w:rPr>
          <w:rFonts w:ascii="Book Antiqua" w:hAnsi="Book Antiqua"/>
        </w:rPr>
        <w:t>s professions des</w:t>
      </w:r>
      <w:r w:rsidRPr="00356704">
        <w:rPr>
          <w:rFonts w:ascii="Book Antiqua" w:hAnsi="Book Antiqua"/>
        </w:rPr>
        <w:t xml:space="preserve"> </w:t>
      </w:r>
      <w:r w:rsidRPr="00356704">
        <w:rPr>
          <w:rFonts w:ascii="Book Antiqua" w:hAnsi="Book Antiqua"/>
        </w:rPr>
        <w:sym w:font="Symbol" w:char="F0B2"/>
      </w:r>
      <w:r w:rsidRPr="00356704">
        <w:rPr>
          <w:rFonts w:ascii="Book Antiqua" w:hAnsi="Book Antiqua"/>
        </w:rPr>
        <w:t>artisans et ouvriers qualifiés des métiers artisanaux</w:t>
      </w:r>
      <w:r w:rsidRPr="00356704">
        <w:rPr>
          <w:rFonts w:ascii="Book Antiqua" w:hAnsi="Book Antiqua"/>
        </w:rPr>
        <w:sym w:font="Symbol" w:char="F0B2"/>
      </w:r>
      <w:r w:rsidRPr="00356704">
        <w:rPr>
          <w:rFonts w:ascii="Book Antiqua" w:hAnsi="Book Antiqua"/>
        </w:rPr>
        <w:t xml:space="preserve"> avec 19,1%, </w:t>
      </w:r>
      <w:r w:rsidR="00435DF9">
        <w:rPr>
          <w:rFonts w:ascii="Book Antiqua" w:hAnsi="Book Antiqua"/>
        </w:rPr>
        <w:t>d</w:t>
      </w:r>
      <w:r w:rsidRPr="00356704">
        <w:rPr>
          <w:rFonts w:ascii="Book Antiqua" w:hAnsi="Book Antiqua"/>
        </w:rPr>
        <w:t xml:space="preserve">es "ouvriers et manœuvres de l’agriculture et de la pêche" (19,0%) et </w:t>
      </w:r>
      <w:r w:rsidR="00435DF9">
        <w:rPr>
          <w:rFonts w:ascii="Book Antiqua" w:hAnsi="Book Antiqua"/>
        </w:rPr>
        <w:t>d</w:t>
      </w:r>
      <w:r w:rsidRPr="00356704">
        <w:rPr>
          <w:rFonts w:ascii="Book Antiqua" w:hAnsi="Book Antiqua"/>
        </w:rPr>
        <w:t>es "manœuvres non agricoles, manutentionnaires et travailleurs des petits métiers" (16,6%).</w:t>
      </w:r>
    </w:p>
    <w:p w:rsidR="00BF3555" w:rsidRPr="002F73CF" w:rsidRDefault="007350B4" w:rsidP="00BF3555">
      <w:pPr>
        <w:spacing w:before="240" w:line="312" w:lineRule="auto"/>
        <w:jc w:val="both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Meilleur n</w:t>
      </w:r>
      <w:r w:rsidR="00B5551C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iveau</w:t>
      </w:r>
      <w:r w:rsidR="00E912E3" w:rsidRPr="002F73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 d’éducation des </w:t>
      </w:r>
      <w:r w:rsidR="003F1355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travailleurs</w:t>
      </w: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 dans les services et l’industrie</w:t>
      </w:r>
      <w:r w:rsidR="003A7BB9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, en comparaison avec les autres secteurs.</w:t>
      </w:r>
    </w:p>
    <w:p w:rsidR="00CD319F" w:rsidRDefault="00BF3555" w:rsidP="0009045C">
      <w:pPr>
        <w:shd w:val="clear" w:color="auto" w:fill="FFFFFF"/>
        <w:spacing w:before="240" w:line="336" w:lineRule="auto"/>
        <w:jc w:val="both"/>
        <w:rPr>
          <w:rFonts w:ascii="Book Antiqua" w:hAnsi="Book Antiqua"/>
        </w:rPr>
      </w:pPr>
      <w:r w:rsidRPr="005B20B1">
        <w:rPr>
          <w:rFonts w:ascii="Book Antiqua" w:hAnsi="Book Antiqua"/>
        </w:rPr>
        <w:t>En 2021, un peu plus de la moitié (5</w:t>
      </w:r>
      <w:r w:rsidR="00AC3449" w:rsidRPr="005B20B1">
        <w:rPr>
          <w:rFonts w:ascii="Book Antiqua" w:hAnsi="Book Antiqua"/>
        </w:rPr>
        <w:t>2</w:t>
      </w:r>
      <w:r w:rsidRPr="005B20B1">
        <w:rPr>
          <w:rFonts w:ascii="Book Antiqua" w:hAnsi="Book Antiqua"/>
        </w:rPr>
        <w:t>,</w:t>
      </w:r>
      <w:r w:rsidR="005B20B1">
        <w:rPr>
          <w:rFonts w:ascii="Book Antiqua" w:hAnsi="Book Antiqua"/>
        </w:rPr>
        <w:t>9</w:t>
      </w:r>
      <w:r w:rsidRPr="005B20B1">
        <w:rPr>
          <w:rFonts w:ascii="Book Antiqua" w:hAnsi="Book Antiqua"/>
        </w:rPr>
        <w:t>%</w:t>
      </w:r>
      <w:r w:rsidR="00AC3449" w:rsidRPr="005B20B1">
        <w:rPr>
          <w:rFonts w:ascii="Book Antiqua" w:hAnsi="Book Antiqua"/>
        </w:rPr>
        <w:t xml:space="preserve"> contre 54,3% en 2020</w:t>
      </w:r>
      <w:r w:rsidRPr="005B20B1">
        <w:rPr>
          <w:rFonts w:ascii="Book Antiqua" w:hAnsi="Book Antiqua"/>
        </w:rPr>
        <w:t xml:space="preserve">) des actifs occupés n’ont aucun </w:t>
      </w:r>
      <w:r w:rsidR="00AC3449" w:rsidRPr="005B20B1">
        <w:rPr>
          <w:rFonts w:ascii="Book Antiqua" w:hAnsi="Book Antiqua"/>
        </w:rPr>
        <w:t>diplôme,</w:t>
      </w:r>
      <w:r w:rsidRPr="005B20B1">
        <w:rPr>
          <w:rFonts w:ascii="Book Antiqua" w:hAnsi="Book Antiqua"/>
        </w:rPr>
        <w:t xml:space="preserve"> 3</w:t>
      </w:r>
      <w:r w:rsidR="005B20B1">
        <w:rPr>
          <w:rFonts w:ascii="Book Antiqua" w:hAnsi="Book Antiqua"/>
        </w:rPr>
        <w:t>1</w:t>
      </w:r>
      <w:r w:rsidRPr="005B20B1">
        <w:rPr>
          <w:rFonts w:ascii="Book Antiqua" w:hAnsi="Book Antiqua"/>
        </w:rPr>
        <w:t>,</w:t>
      </w:r>
      <w:r w:rsidR="005B20B1">
        <w:rPr>
          <w:rFonts w:ascii="Book Antiqua" w:hAnsi="Book Antiqua"/>
        </w:rPr>
        <w:t>2</w:t>
      </w:r>
      <w:r w:rsidRPr="005B20B1">
        <w:rPr>
          <w:rFonts w:ascii="Book Antiqua" w:hAnsi="Book Antiqua"/>
        </w:rPr>
        <w:t>% ont un diplôme de niveau moyen</w:t>
      </w:r>
      <w:r w:rsidR="001B5165">
        <w:rPr>
          <w:rStyle w:val="Appelnotedebasdep"/>
          <w:rFonts w:ascii="Book Antiqua" w:hAnsi="Book Antiqua"/>
        </w:rPr>
        <w:footnoteReference w:id="3"/>
      </w:r>
      <w:r w:rsidRPr="005B20B1">
        <w:rPr>
          <w:rFonts w:ascii="Book Antiqua" w:hAnsi="Book Antiqua"/>
        </w:rPr>
        <w:t xml:space="preserve"> et 15,</w:t>
      </w:r>
      <w:r w:rsidR="005B20B1">
        <w:rPr>
          <w:rFonts w:ascii="Book Antiqua" w:hAnsi="Book Antiqua"/>
        </w:rPr>
        <w:t>9</w:t>
      </w:r>
      <w:r w:rsidRPr="005B20B1">
        <w:rPr>
          <w:rFonts w:ascii="Book Antiqua" w:hAnsi="Book Antiqua"/>
        </w:rPr>
        <w:t>% un diplôme de niveau supérieur</w:t>
      </w:r>
      <w:r w:rsidR="001B5165">
        <w:rPr>
          <w:rStyle w:val="Appelnotedebasdep"/>
          <w:rFonts w:ascii="Book Antiqua" w:hAnsi="Book Antiqua"/>
        </w:rPr>
        <w:footnoteReference w:id="4"/>
      </w:r>
      <w:r w:rsidRPr="005B20B1">
        <w:rPr>
          <w:rFonts w:ascii="Book Antiqua" w:hAnsi="Book Antiqua"/>
        </w:rPr>
        <w:t>.</w:t>
      </w:r>
      <w:r w:rsidR="00577121" w:rsidRPr="005B20B1">
        <w:rPr>
          <w:rFonts w:ascii="Book Antiqua" w:hAnsi="Book Antiqua"/>
        </w:rPr>
        <w:t xml:space="preserve"> </w:t>
      </w:r>
    </w:p>
    <w:p w:rsidR="00BF3555" w:rsidRDefault="00577121" w:rsidP="0009045C">
      <w:pPr>
        <w:shd w:val="clear" w:color="auto" w:fill="FFFFFF"/>
        <w:spacing w:before="240" w:line="336" w:lineRule="auto"/>
        <w:jc w:val="both"/>
        <w:rPr>
          <w:rFonts w:ascii="Book Antiqua" w:hAnsi="Book Antiqua"/>
        </w:rPr>
      </w:pPr>
      <w:r w:rsidRPr="005B20B1">
        <w:rPr>
          <w:rFonts w:ascii="Book Antiqua" w:hAnsi="Book Antiqua"/>
        </w:rPr>
        <w:t xml:space="preserve">Selon le secteur d’activité, la part des </w:t>
      </w:r>
      <w:r w:rsidR="003C7967" w:rsidRPr="005B20B1">
        <w:rPr>
          <w:rFonts w:ascii="Book Antiqua" w:hAnsi="Book Antiqua"/>
        </w:rPr>
        <w:t>actifs occupés</w:t>
      </w:r>
      <w:r w:rsidRPr="005B20B1">
        <w:rPr>
          <w:rFonts w:ascii="Book Antiqua" w:hAnsi="Book Antiqua"/>
        </w:rPr>
        <w:t xml:space="preserve"> </w:t>
      </w:r>
      <w:r w:rsidR="00CD319F">
        <w:rPr>
          <w:rFonts w:ascii="Book Antiqua" w:hAnsi="Book Antiqua"/>
        </w:rPr>
        <w:t>ayant un diplôme supérieur est de 27,8</w:t>
      </w:r>
      <w:r w:rsidRPr="00AC3449">
        <w:rPr>
          <w:rFonts w:ascii="Book Antiqua" w:hAnsi="Book Antiqua"/>
        </w:rPr>
        <w:t>%</w:t>
      </w:r>
      <w:r w:rsidR="007350B4">
        <w:rPr>
          <w:rFonts w:ascii="Book Antiqua" w:hAnsi="Book Antiqua"/>
        </w:rPr>
        <w:t xml:space="preserve"> </w:t>
      </w:r>
      <w:r w:rsidRPr="005B20B1">
        <w:rPr>
          <w:rFonts w:ascii="Book Antiqua" w:hAnsi="Book Antiqua"/>
        </w:rPr>
        <w:t>dans les services</w:t>
      </w:r>
      <w:r w:rsidR="00CD319F">
        <w:rPr>
          <w:rFonts w:ascii="Book Antiqua" w:hAnsi="Book Antiqua"/>
        </w:rPr>
        <w:t>,</w:t>
      </w:r>
      <w:r w:rsidRPr="005B20B1">
        <w:rPr>
          <w:rFonts w:ascii="Book Antiqua" w:hAnsi="Book Antiqua"/>
        </w:rPr>
        <w:t xml:space="preserve"> </w:t>
      </w:r>
      <w:r w:rsidR="00CD319F">
        <w:rPr>
          <w:rFonts w:ascii="Book Antiqua" w:hAnsi="Book Antiqua"/>
        </w:rPr>
        <w:t>16,8</w:t>
      </w:r>
      <w:r w:rsidRPr="00AC3449">
        <w:rPr>
          <w:rFonts w:ascii="Book Antiqua" w:hAnsi="Book Antiqua"/>
        </w:rPr>
        <w:t xml:space="preserve">% </w:t>
      </w:r>
      <w:r w:rsidRPr="005B20B1">
        <w:rPr>
          <w:rFonts w:ascii="Book Antiqua" w:hAnsi="Book Antiqua"/>
        </w:rPr>
        <w:t xml:space="preserve">dans l'industrie et </w:t>
      </w:r>
      <w:r w:rsidR="00CD319F">
        <w:rPr>
          <w:rFonts w:ascii="Book Antiqua" w:hAnsi="Book Antiqua"/>
        </w:rPr>
        <w:t>de</w:t>
      </w:r>
      <w:r w:rsidRPr="005B20B1">
        <w:rPr>
          <w:rFonts w:ascii="Book Antiqua" w:hAnsi="Book Antiqua"/>
        </w:rPr>
        <w:t xml:space="preserve"> </w:t>
      </w:r>
      <w:r w:rsidR="00CD319F">
        <w:rPr>
          <w:rFonts w:ascii="Book Antiqua" w:hAnsi="Book Antiqua"/>
        </w:rPr>
        <w:t>6,6</w:t>
      </w:r>
      <w:r w:rsidRPr="00AC3449">
        <w:rPr>
          <w:rFonts w:ascii="Book Antiqua" w:hAnsi="Book Antiqua"/>
        </w:rPr>
        <w:t xml:space="preserve">% </w:t>
      </w:r>
      <w:r w:rsidRPr="005B20B1">
        <w:rPr>
          <w:rFonts w:ascii="Book Antiqua" w:hAnsi="Book Antiqua"/>
        </w:rPr>
        <w:t xml:space="preserve">dans les BTP. </w:t>
      </w:r>
    </w:p>
    <w:p w:rsidR="001A1A8B" w:rsidRPr="005B20B1" w:rsidRDefault="001A1A8B" w:rsidP="005B20B1">
      <w:pPr>
        <w:shd w:val="clear" w:color="auto" w:fill="FFFFFF"/>
        <w:spacing w:line="336" w:lineRule="auto"/>
        <w:jc w:val="both"/>
        <w:rPr>
          <w:rFonts w:ascii="Book Antiqua" w:hAnsi="Book Antiqua"/>
        </w:rPr>
      </w:pPr>
    </w:p>
    <w:p w:rsidR="00BF3555" w:rsidRDefault="00BF3555" w:rsidP="00BF3555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5B20B1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CC55F3" w:rsidRPr="005B20B1">
        <w:rPr>
          <w:rFonts w:ascii="Book Antiqua" w:hAnsi="Book Antiqua"/>
          <w:b/>
          <w:bCs/>
          <w:color w:val="1F497D" w:themeColor="text2"/>
          <w:sz w:val="22"/>
          <w:szCs w:val="22"/>
        </w:rPr>
        <w:t>2</w:t>
      </w:r>
      <w:r w:rsidRPr="005B20B1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 : Structure de la population active occupée selon le diplôme </w:t>
      </w:r>
      <w:r w:rsidR="003F1355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et le secteur </w:t>
      </w:r>
      <w:r w:rsidRPr="005B20B1">
        <w:rPr>
          <w:rFonts w:ascii="Book Antiqua" w:hAnsi="Book Antiqua"/>
          <w:b/>
          <w:bCs/>
          <w:color w:val="1F497D" w:themeColor="text2"/>
          <w:sz w:val="22"/>
          <w:szCs w:val="22"/>
        </w:rPr>
        <w:t>en 202</w:t>
      </w:r>
      <w:r w:rsidR="006F39F5">
        <w:rPr>
          <w:rFonts w:ascii="Book Antiqua" w:hAnsi="Book Antiqua"/>
          <w:b/>
          <w:bCs/>
          <w:color w:val="1F497D" w:themeColor="text2"/>
          <w:sz w:val="22"/>
          <w:szCs w:val="22"/>
        </w:rPr>
        <w:t>1</w:t>
      </w:r>
      <w:r w:rsidRPr="005B20B1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(%)</w:t>
      </w:r>
    </w:p>
    <w:p w:rsidR="00B9202B" w:rsidRDefault="00B9202B" w:rsidP="00B9202B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B9202B">
        <w:rPr>
          <w:noProof/>
          <w:shd w:val="clear" w:color="auto" w:fill="365F91" w:themeFill="accent1" w:themeFillShade="BF"/>
        </w:rPr>
        <w:drawing>
          <wp:inline distT="0" distB="0" distL="0" distR="0">
            <wp:extent cx="5267325" cy="1905000"/>
            <wp:effectExtent l="0" t="0" r="0" b="0"/>
            <wp:docPr id="3" name="Graphique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17144E6-1BAA-4430-8F32-2CC456AC62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7BB9" w:rsidRDefault="003A7BB9" w:rsidP="00CD319F">
      <w:pPr>
        <w:spacing w:after="200" w:line="276" w:lineRule="auto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</w:p>
    <w:p w:rsidR="00BF3555" w:rsidRPr="009B05F3" w:rsidRDefault="00973E0C" w:rsidP="00973E0C">
      <w:pPr>
        <w:spacing w:after="200" w:line="276" w:lineRule="auto"/>
        <w:rPr>
          <w:rFonts w:ascii="Book Antiqua" w:hAnsi="Book Antiqua"/>
          <w:b/>
          <w:bCs/>
          <w:i/>
          <w:iCs/>
          <w:color w:val="0070C0"/>
          <w:sz w:val="26"/>
          <w:szCs w:val="26"/>
        </w:rPr>
      </w:pP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lastRenderedPageBreak/>
        <w:t>Faible p</w:t>
      </w:r>
      <w:r w:rsidR="003A7BB9" w:rsidRPr="00686FA5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rotection des </w:t>
      </w: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travailleurs, avec </w:t>
      </w:r>
      <w:r w:rsidR="00D67C50" w:rsidRPr="00F22FCF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de</w:t>
      </w:r>
      <w:r w:rsidR="00D67C50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 </w:t>
      </w:r>
      <w:r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>disparité selon les secteurs</w:t>
      </w:r>
      <w:r w:rsidRPr="00686FA5">
        <w:rPr>
          <w:rFonts w:ascii="Book Antiqua" w:hAnsi="Book Antiqua"/>
          <w:b/>
          <w:bCs/>
          <w:i/>
          <w:iCs/>
          <w:color w:val="0070C0"/>
          <w:sz w:val="26"/>
          <w:szCs w:val="26"/>
        </w:rPr>
        <w:t xml:space="preserve"> </w:t>
      </w:r>
    </w:p>
    <w:p w:rsidR="00BF3555" w:rsidRDefault="00BF3555" w:rsidP="001D36F1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 w:rsidRPr="00BF3555">
        <w:rPr>
          <w:rFonts w:ascii="Book Antiqua" w:eastAsia="Book Antiqua" w:hAnsi="Book Antiqua" w:cs="Book Antiqua"/>
        </w:rPr>
        <w:t>En 2021, le quart des actifs occupés (25%) bénéficient d’une couverture médicale liée à l’emploi</w:t>
      </w:r>
      <w:r w:rsidR="001D36F1">
        <w:rPr>
          <w:rFonts w:ascii="Book Antiqua" w:eastAsia="Book Antiqua" w:hAnsi="Book Antiqua" w:cs="Book Antiqua"/>
        </w:rPr>
        <w:t xml:space="preserve">, </w:t>
      </w:r>
      <w:r w:rsidRPr="00BF3555">
        <w:rPr>
          <w:rFonts w:ascii="Book Antiqua" w:eastAsia="Book Antiqua" w:hAnsi="Book Antiqua" w:cs="Book Antiqua"/>
        </w:rPr>
        <w:t>37,4% dans les villes et 7,9% à la campagne</w:t>
      </w:r>
      <w:r w:rsidR="001D36F1">
        <w:rPr>
          <w:rFonts w:ascii="Book Antiqua" w:eastAsia="Book Antiqua" w:hAnsi="Book Antiqua" w:cs="Book Antiqua"/>
        </w:rPr>
        <w:t xml:space="preserve">. </w:t>
      </w:r>
    </w:p>
    <w:p w:rsidR="001D36F1" w:rsidRDefault="001D36F1" w:rsidP="001D36F1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 w:rsidRPr="00BF3555">
        <w:rPr>
          <w:rFonts w:ascii="Book Antiqua" w:eastAsia="Book Antiqua" w:hAnsi="Book Antiqua" w:cs="Book Antiqua"/>
        </w:rPr>
        <w:t>Les actifs occupés exerçant dans l’</w:t>
      </w:r>
      <w:r>
        <w:rPr>
          <w:rFonts w:ascii="Book Antiqua" w:eastAsia="Book Antiqua" w:hAnsi="Book Antiqua" w:cs="Book Antiqua"/>
        </w:rPr>
        <w:t>i</w:t>
      </w:r>
      <w:r w:rsidRPr="00BF3555">
        <w:rPr>
          <w:rFonts w:ascii="Book Antiqua" w:eastAsia="Book Antiqua" w:hAnsi="Book Antiqua" w:cs="Book Antiqua"/>
        </w:rPr>
        <w:t>ndustrie enregistrent le taux de couverture médicale le plus élevé avec 45,4%, suivis de ceux relevant du secteur des services (36,9%), des BTP (11,7%) et de l’agriculture, forêt et pêche (4,6%).</w:t>
      </w:r>
    </w:p>
    <w:p w:rsidR="00BF3555" w:rsidRPr="00877DC5" w:rsidRDefault="00417855" w:rsidP="00417855">
      <w:pPr>
        <w:spacing w:after="200" w:line="276" w:lineRule="auto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417855">
        <w:rPr>
          <w:rFonts w:ascii="Book Antiqua" w:hAnsi="Book Antiqua"/>
          <w:b/>
          <w:bCs/>
          <w:color w:val="1F497D" w:themeColor="text2"/>
          <w:sz w:val="22"/>
          <w:szCs w:val="22"/>
        </w:rPr>
        <w:t>G</w:t>
      </w:r>
      <w:r w:rsidR="00BF3555" w:rsidRPr="00877DC5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raphique </w:t>
      </w:r>
      <w:r w:rsidR="00CC55F3" w:rsidRPr="00877DC5">
        <w:rPr>
          <w:rFonts w:ascii="Book Antiqua" w:hAnsi="Book Antiqua"/>
          <w:b/>
          <w:bCs/>
          <w:color w:val="1F497D" w:themeColor="text2"/>
          <w:sz w:val="22"/>
          <w:szCs w:val="22"/>
        </w:rPr>
        <w:t>3</w:t>
      </w:r>
      <w:r w:rsidR="00BF3555" w:rsidRPr="00877DC5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 : Taux de couverture des actifs occupés de 15 ans et plus par une assurance maladie liée à leur emploi, selon le milieu de </w:t>
      </w:r>
      <w:r w:rsidR="00FE0C0E" w:rsidRPr="00877DC5">
        <w:rPr>
          <w:rFonts w:ascii="Book Antiqua" w:hAnsi="Book Antiqua"/>
          <w:b/>
          <w:bCs/>
          <w:color w:val="1F497D" w:themeColor="text2"/>
          <w:sz w:val="22"/>
          <w:szCs w:val="22"/>
        </w:rPr>
        <w:t>résidence</w:t>
      </w:r>
      <w:r w:rsidR="00651E2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(%)</w:t>
      </w:r>
    </w:p>
    <w:p w:rsidR="00D45D4E" w:rsidRDefault="00D45D4E" w:rsidP="00D45D4E">
      <w:pPr>
        <w:widowControl w:val="0"/>
        <w:shd w:val="clear" w:color="auto" w:fill="FFFFFF"/>
        <w:spacing w:before="120" w:after="120" w:line="312" w:lineRule="auto"/>
        <w:jc w:val="center"/>
        <w:rPr>
          <w:rFonts w:ascii="Book Antiqua" w:eastAsia="Book Antiqua" w:hAnsi="Book Antiqua" w:cs="Book Antiqua"/>
        </w:rPr>
      </w:pPr>
      <w:r>
        <w:rPr>
          <w:noProof/>
        </w:rPr>
        <w:drawing>
          <wp:inline distT="0" distB="0" distL="0" distR="0">
            <wp:extent cx="4572000" cy="1552575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B1204A6-B62A-4CE5-B792-42EE8332C9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5280" w:rsidRDefault="00F157BD" w:rsidP="00982CE4">
      <w:pPr>
        <w:widowControl w:val="0"/>
        <w:shd w:val="clear" w:color="auto" w:fill="FFFFFF"/>
        <w:spacing w:before="120" w:after="120" w:line="312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>Graphique</w:t>
      </w:r>
      <w:r w:rsidR="00543AC6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4</w:t>
      </w:r>
      <w:r w:rsidRP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 : </w:t>
      </w:r>
      <w:r w:rsidR="00867CD0" w:rsidRPr="00877DC5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Taux de couverture des actifs occupés de 15 ans et plus par une assurance maladie liée à leur emploi, </w:t>
      </w:r>
      <w:r w:rsid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et </w:t>
      </w:r>
      <w:r w:rsidR="00543AC6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part des salariés ayant un contrat de </w:t>
      </w:r>
      <w:r w:rsid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travail </w:t>
      </w:r>
      <w:r w:rsidRP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>selon le secteur d’activité en 2021</w:t>
      </w:r>
      <w:r w:rsid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(%).</w:t>
      </w:r>
      <w:r w:rsidR="00435DF9" w:rsidRPr="00435DF9">
        <w:rPr>
          <w:noProof/>
          <w:shd w:val="clear" w:color="auto" w:fill="8DB3E2" w:themeFill="text2" w:themeFillTint="66"/>
        </w:rPr>
        <w:drawing>
          <wp:inline distT="0" distB="0" distL="0" distR="0">
            <wp:extent cx="5760720" cy="2385060"/>
            <wp:effectExtent l="0" t="0" r="0" b="0"/>
            <wp:docPr id="9" name="Graphique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F561003-CBF8-45C8-8E2B-97093741AD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3E0C" w:rsidRDefault="00973E0C" w:rsidP="00973E0C">
      <w:pPr>
        <w:widowControl w:val="0"/>
        <w:shd w:val="clear" w:color="auto" w:fill="FFFFFF"/>
        <w:spacing w:before="120" w:after="120" w:line="312" w:lineRule="auto"/>
        <w:jc w:val="both"/>
        <w:rPr>
          <w:rFonts w:ascii="Book Antiqua" w:eastAsia="Book Antiqua" w:hAnsi="Book Antiqua" w:cs="Book Antiqua"/>
        </w:rPr>
      </w:pPr>
      <w:r w:rsidRPr="00BF3555">
        <w:rPr>
          <w:rFonts w:ascii="Book Antiqua" w:eastAsia="Book Antiqua" w:hAnsi="Book Antiqua" w:cs="Book Antiqua"/>
        </w:rPr>
        <w:t>La part des actifs occupés affiliés à un régime de couverture médicale s’améliore nettement au fur et à mesure que le niveau de diplôme s’élève. Elle passe de 10,5% parmi les personnes n'ayant aucun diplôme à 72,9% parmi celles ayant un diplôme supérieur.</w:t>
      </w:r>
    </w:p>
    <w:p w:rsidR="00BF3555" w:rsidRPr="005D5027" w:rsidRDefault="00BF3555" w:rsidP="00973E0C">
      <w:pPr>
        <w:widowControl w:val="0"/>
        <w:shd w:val="clear" w:color="auto" w:fill="FFFFFF"/>
        <w:spacing w:before="120" w:after="120" w:line="312" w:lineRule="auto"/>
        <w:jc w:val="both"/>
        <w:rPr>
          <w:rFonts w:ascii="Book Antiqua" w:eastAsia="Book Antiqua" w:hAnsi="Book Antiqua" w:cs="Book Antiqua"/>
          <w:color w:val="FF0000"/>
        </w:rPr>
      </w:pPr>
      <w:r w:rsidRPr="00BF3555">
        <w:rPr>
          <w:rFonts w:ascii="Book Antiqua" w:eastAsia="Book Antiqua" w:hAnsi="Book Antiqua" w:cs="Book Antiqua"/>
        </w:rPr>
        <w:t xml:space="preserve">Un peu moins de la moitié (45,4%) des salariés bénéficient d’une </w:t>
      </w:r>
      <w:r w:rsidRPr="008B48C1">
        <w:rPr>
          <w:rFonts w:ascii="Book Antiqua" w:eastAsia="Book Antiqua" w:hAnsi="Book Antiqua" w:cs="Book Antiqua"/>
        </w:rPr>
        <w:t xml:space="preserve">couverture médicale assurée par l’employeur, 53,3% en milieu urbain et 23,4% en milieu rural, </w:t>
      </w:r>
      <w:r w:rsidR="00E05F44" w:rsidRPr="008B48C1">
        <w:rPr>
          <w:rFonts w:ascii="Book Antiqua" w:eastAsia="Book Antiqua" w:hAnsi="Book Antiqua" w:cs="Book Antiqua"/>
        </w:rPr>
        <w:t>58,8</w:t>
      </w:r>
      <w:r w:rsidR="003A5C49">
        <w:rPr>
          <w:rFonts w:ascii="Book Antiqua" w:eastAsia="Book Antiqua" w:hAnsi="Book Antiqua" w:cstheme="minorBidi"/>
          <w:lang w:bidi="tzm-Arab-MA"/>
        </w:rPr>
        <w:t>%</w:t>
      </w:r>
      <w:r w:rsidRPr="008B48C1">
        <w:rPr>
          <w:rFonts w:ascii="Book Antiqua" w:eastAsia="Book Antiqua" w:hAnsi="Book Antiqua" w:cs="Book Antiqua"/>
        </w:rPr>
        <w:t xml:space="preserve"> parmi les femmes et 4</w:t>
      </w:r>
      <w:r w:rsidR="00E05F44" w:rsidRPr="008B48C1">
        <w:rPr>
          <w:rFonts w:ascii="Book Antiqua" w:eastAsia="Book Antiqua" w:hAnsi="Book Antiqua" w:cs="Book Antiqua"/>
        </w:rPr>
        <w:t>2</w:t>
      </w:r>
      <w:r w:rsidRPr="008B48C1">
        <w:rPr>
          <w:rFonts w:ascii="Book Antiqua" w:eastAsia="Book Antiqua" w:hAnsi="Book Antiqua" w:cs="Book Antiqua"/>
        </w:rPr>
        <w:t xml:space="preserve">% parmi les </w:t>
      </w:r>
      <w:r w:rsidR="001C3AC7" w:rsidRPr="008B48C1">
        <w:rPr>
          <w:rFonts w:ascii="Book Antiqua" w:eastAsia="Book Antiqua" w:hAnsi="Book Antiqua" w:cs="Book Antiqua"/>
        </w:rPr>
        <w:t>hommes.</w:t>
      </w:r>
      <w:r w:rsidR="001C3AC7" w:rsidRPr="00417855">
        <w:rPr>
          <w:rFonts w:ascii="Book Antiqua" w:eastAsia="Book Antiqua" w:hAnsi="Book Antiqua" w:cs="Book Antiqua"/>
        </w:rPr>
        <w:t xml:space="preserve"> Pour</w:t>
      </w:r>
      <w:r w:rsidR="005F0A77" w:rsidRPr="00417855">
        <w:rPr>
          <w:rFonts w:ascii="Book Antiqua" w:eastAsia="Book Antiqua" w:hAnsi="Book Antiqua" w:cs="Book Antiqua"/>
        </w:rPr>
        <w:t xml:space="preserve"> les auto-employés</w:t>
      </w:r>
      <w:r w:rsidR="00417855">
        <w:rPr>
          <w:rFonts w:ascii="Book Antiqua" w:eastAsia="Book Antiqua" w:hAnsi="Book Antiqua" w:cs="Book Antiqua"/>
        </w:rPr>
        <w:t>,</w:t>
      </w:r>
      <w:r w:rsidR="005F0A77" w:rsidRPr="00417855">
        <w:rPr>
          <w:rFonts w:ascii="Book Antiqua" w:eastAsia="Book Antiqua" w:hAnsi="Book Antiqua" w:cs="Book Antiqua"/>
        </w:rPr>
        <w:t xml:space="preserve"> cette part </w:t>
      </w:r>
      <w:r w:rsidR="00867CD0">
        <w:rPr>
          <w:rFonts w:ascii="Book Antiqua" w:eastAsia="Book Antiqua" w:hAnsi="Book Antiqua" w:cs="Book Antiqua"/>
        </w:rPr>
        <w:t>est de</w:t>
      </w:r>
      <w:r w:rsidR="005F0A77">
        <w:rPr>
          <w:rFonts w:ascii="Book Antiqua" w:eastAsia="Book Antiqua" w:hAnsi="Book Antiqua" w:cs="Book Antiqua"/>
        </w:rPr>
        <w:t xml:space="preserve"> </w:t>
      </w:r>
      <w:r w:rsidR="005F0A77">
        <w:rPr>
          <w:rFonts w:ascii="Book Antiqua" w:eastAsia="Book Antiqua" w:hAnsi="Book Antiqua" w:cs="Book Antiqua"/>
        </w:rPr>
        <w:lastRenderedPageBreak/>
        <w:t>4,2%.</w:t>
      </w:r>
    </w:p>
    <w:p w:rsidR="00417855" w:rsidRDefault="00BF3555" w:rsidP="00BF3555">
      <w:pPr>
        <w:spacing w:before="240" w:line="312" w:lineRule="auto"/>
        <w:jc w:val="both"/>
        <w:rPr>
          <w:rFonts w:ascii="Book Antiqua" w:hAnsi="Book Antiqua"/>
          <w:highlight w:val="yellow"/>
        </w:rPr>
      </w:pPr>
      <w:r w:rsidRPr="00BF3555">
        <w:rPr>
          <w:rFonts w:ascii="Book Antiqua" w:eastAsia="Book Antiqua" w:hAnsi="Book Antiqua" w:cs="Book Antiqua"/>
        </w:rPr>
        <w:t>Près d’un actif occupé sur 4 (24,4%) est affilié à un système de retraite, 37,1% en milieu urbain et 6,8% en milieu rural. Le taux de couverture par un système de retraite est légèrement plus élevé parmi les femmes que les hommes, respectivement 28,7%et 23,1%.</w:t>
      </w:r>
    </w:p>
    <w:p w:rsidR="00D67C50" w:rsidRDefault="00BF3555" w:rsidP="00BF3555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 w:rsidRPr="00BF3555">
        <w:rPr>
          <w:rFonts w:ascii="Book Antiqua" w:eastAsia="Book Antiqua" w:hAnsi="Book Antiqua" w:cs="Book Antiqua"/>
        </w:rPr>
        <w:t>Par ailleurs, plus de la moitié des salariés (4</w:t>
      </w:r>
      <w:r w:rsidR="008A2484">
        <w:rPr>
          <w:rFonts w:ascii="Book Antiqua" w:eastAsia="Book Antiqua" w:hAnsi="Book Antiqua" w:cs="Book Antiqua"/>
        </w:rPr>
        <w:t>5</w:t>
      </w:r>
      <w:r w:rsidRPr="00BF3555">
        <w:rPr>
          <w:rFonts w:ascii="Book Antiqua" w:eastAsia="Book Antiqua" w:hAnsi="Book Antiqua" w:cs="Book Antiqua"/>
        </w:rPr>
        <w:t>,</w:t>
      </w:r>
      <w:r w:rsidR="008A2484">
        <w:rPr>
          <w:rFonts w:ascii="Book Antiqua" w:eastAsia="Book Antiqua" w:hAnsi="Book Antiqua" w:cs="Book Antiqua"/>
        </w:rPr>
        <w:t>4</w:t>
      </w:r>
      <w:r w:rsidRPr="00BF3555">
        <w:rPr>
          <w:rFonts w:ascii="Book Antiqua" w:eastAsia="Book Antiqua" w:hAnsi="Book Antiqua" w:cs="Book Antiqua"/>
        </w:rPr>
        <w:t xml:space="preserve">%) disposent </w:t>
      </w:r>
      <w:r w:rsidR="008A2484">
        <w:rPr>
          <w:rFonts w:ascii="Book Antiqua" w:eastAsia="Book Antiqua" w:hAnsi="Book Antiqua" w:cs="Book Antiqua"/>
        </w:rPr>
        <w:t>d’un</w:t>
      </w:r>
      <w:r w:rsidRPr="00BF3555">
        <w:rPr>
          <w:rFonts w:ascii="Book Antiqua" w:eastAsia="Book Antiqua" w:hAnsi="Book Antiqua" w:cs="Book Antiqua"/>
        </w:rPr>
        <w:t xml:space="preserve"> contrat formalisant leur relation avec l'employeu</w:t>
      </w:r>
      <w:r w:rsidR="008A2484">
        <w:rPr>
          <w:rFonts w:ascii="Book Antiqua" w:eastAsia="Book Antiqua" w:hAnsi="Book Antiqua" w:cs="Book Antiqua"/>
        </w:rPr>
        <w:t>r</w:t>
      </w:r>
      <w:r w:rsidR="001C3AC7" w:rsidRPr="00BF3555">
        <w:rPr>
          <w:rFonts w:ascii="Book Antiqua" w:eastAsia="Book Antiqua" w:hAnsi="Book Antiqua" w:cs="Book Antiqua"/>
        </w:rPr>
        <w:t xml:space="preserve">. </w:t>
      </w:r>
      <w:r w:rsidR="008A2484">
        <w:rPr>
          <w:rFonts w:ascii="Book Antiqua" w:eastAsia="Book Antiqua" w:hAnsi="Book Antiqua" w:cs="Book Antiqua"/>
        </w:rPr>
        <w:t xml:space="preserve">Cette </w:t>
      </w:r>
      <w:r w:rsidRPr="00BF3555">
        <w:rPr>
          <w:rFonts w:ascii="Book Antiqua" w:eastAsia="Book Antiqua" w:hAnsi="Book Antiqua" w:cs="Book Antiqua"/>
        </w:rPr>
        <w:t>part s’élève à</w:t>
      </w:r>
      <w:r w:rsidR="003A7BB9">
        <w:rPr>
          <w:rFonts w:ascii="Book Antiqua" w:eastAsia="Book Antiqua" w:hAnsi="Book Antiqua" w:cs="Book Antiqua"/>
        </w:rPr>
        <w:t xml:space="preserve"> </w:t>
      </w:r>
      <w:r w:rsidR="008A2484">
        <w:rPr>
          <w:rFonts w:ascii="Book Antiqua" w:eastAsia="Book Antiqua" w:hAnsi="Book Antiqua" w:cs="Book Antiqua"/>
        </w:rPr>
        <w:t>59,1</w:t>
      </w:r>
      <w:r w:rsidRPr="00BF3555">
        <w:rPr>
          <w:rFonts w:ascii="Book Antiqua" w:eastAsia="Book Antiqua" w:hAnsi="Book Antiqua" w:cs="Book Antiqua"/>
        </w:rPr>
        <w:t xml:space="preserve">% parmi les femmes contre </w:t>
      </w:r>
      <w:r w:rsidR="008A2484">
        <w:rPr>
          <w:rFonts w:ascii="Book Antiqua" w:eastAsia="Book Antiqua" w:hAnsi="Book Antiqua" w:cs="Book Antiqua"/>
        </w:rPr>
        <w:t>41,9</w:t>
      </w:r>
      <w:r w:rsidRPr="00BF3555">
        <w:rPr>
          <w:rFonts w:ascii="Book Antiqua" w:eastAsia="Book Antiqua" w:hAnsi="Book Antiqua" w:cs="Book Antiqua"/>
        </w:rPr>
        <w:t>% parmi les hommes.</w:t>
      </w:r>
      <w:r w:rsidR="009D18F9">
        <w:rPr>
          <w:rFonts w:ascii="Book Antiqua" w:eastAsia="Book Antiqua" w:hAnsi="Book Antiqua" w:cs="Book Antiqua"/>
        </w:rPr>
        <w:t xml:space="preserve"> </w:t>
      </w:r>
    </w:p>
    <w:p w:rsidR="00BF3555" w:rsidRDefault="009D18F9" w:rsidP="00BF3555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Les travailleurs dans l’agriculture et le</w:t>
      </w:r>
      <w:r w:rsidR="00D67C50"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</w:rPr>
        <w:t xml:space="preserve"> BTP enregistrent les taux les plus faible</w:t>
      </w:r>
      <w:r w:rsidR="00362F03"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</w:rPr>
        <w:t xml:space="preserve"> de contractualisation, 16,9% et 17,8%, respectiv</w:t>
      </w:r>
      <w:r w:rsidR="00483475"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</w:rPr>
        <w:t>ment. Alors que</w:t>
      </w:r>
      <w:r w:rsidR="00362F03"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</w:rPr>
        <w:t xml:space="preserve"> </w:t>
      </w:r>
      <w:r w:rsidR="00483475">
        <w:rPr>
          <w:rFonts w:ascii="Book Antiqua" w:eastAsia="Book Antiqua" w:hAnsi="Book Antiqua" w:cs="Book Antiqua"/>
        </w:rPr>
        <w:t>les travailleurs dans l’</w:t>
      </w:r>
      <w:r w:rsidR="00D67C50">
        <w:rPr>
          <w:rFonts w:ascii="Book Antiqua" w:eastAsia="Book Antiqua" w:hAnsi="Book Antiqua" w:cs="Book Antiqua"/>
        </w:rPr>
        <w:t>i</w:t>
      </w:r>
      <w:r w:rsidR="00483475">
        <w:rPr>
          <w:rFonts w:ascii="Book Antiqua" w:eastAsia="Book Antiqua" w:hAnsi="Book Antiqua" w:cs="Book Antiqua"/>
        </w:rPr>
        <w:t xml:space="preserve">ndustrie et les services sont contractualisés </w:t>
      </w:r>
      <w:r w:rsidR="00362F03">
        <w:rPr>
          <w:rFonts w:ascii="Book Antiqua" w:eastAsia="Book Antiqua" w:hAnsi="Book Antiqua" w:cs="Book Antiqua"/>
        </w:rPr>
        <w:t xml:space="preserve">à hauteur de </w:t>
      </w:r>
      <w:r w:rsidR="00483475">
        <w:rPr>
          <w:rFonts w:ascii="Book Antiqua" w:eastAsia="Book Antiqua" w:hAnsi="Book Antiqua" w:cs="Book Antiqua"/>
        </w:rPr>
        <w:t>59,1% et 56,6%, respectivement.</w:t>
      </w:r>
    </w:p>
    <w:p w:rsidR="00AF39AB" w:rsidRDefault="00AF39AB" w:rsidP="009E1A5D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543AC6">
        <w:rPr>
          <w:rFonts w:ascii="Book Antiqua" w:hAnsi="Book Antiqua"/>
          <w:b/>
          <w:bCs/>
          <w:color w:val="1F497D" w:themeColor="text2"/>
          <w:sz w:val="22"/>
          <w:szCs w:val="22"/>
        </w:rPr>
        <w:t>5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> : Répartition</w:t>
      </w:r>
      <w:r w:rsidRPr="0087357A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des actifs occupés salariés de 15 ans et plus 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>selon le diplôme et le</w:t>
      </w:r>
      <w:r w:rsidRPr="0087357A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type de contrat de travail 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>2021</w:t>
      </w:r>
      <w:r w:rsidR="00982CE4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(%)</w:t>
      </w:r>
      <w:r w:rsidR="009E1A5D">
        <w:rPr>
          <w:noProof/>
        </w:rPr>
        <w:drawing>
          <wp:inline distT="0" distB="0" distL="0" distR="0">
            <wp:extent cx="4695825" cy="2828925"/>
            <wp:effectExtent l="0" t="0" r="0" b="0"/>
            <wp:docPr id="5" name="Graphique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99CF693-A049-46D2-ADF5-DC305DBE78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6727" w:rsidRDefault="00D26727" w:rsidP="00D2672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E03FBB">
        <w:rPr>
          <w:rFonts w:ascii="Book Antiqua" w:hAnsi="Book Antiqua"/>
        </w:rPr>
        <w:t>Près d’un actif occupé sur 10 (10,5%) exerce un emploi de type occasionnel ou saisonnier, 13,9% en milieu rural et 8% en milieu urbain.  Ces parts étaient respectivement de 9,5%, 12,3% et 7,5% en 2020.</w:t>
      </w:r>
    </w:p>
    <w:p w:rsidR="00BF3555" w:rsidRDefault="00BF3555" w:rsidP="00BF355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E03FBB">
        <w:rPr>
          <w:rFonts w:ascii="Book Antiqua" w:hAnsi="Book Antiqua"/>
        </w:rPr>
        <w:t>Plus de</w:t>
      </w:r>
      <w:r w:rsidR="001D36F1">
        <w:rPr>
          <w:rFonts w:ascii="Book Antiqua" w:hAnsi="Book Antiqua"/>
        </w:rPr>
        <w:t xml:space="preserve"> </w:t>
      </w:r>
      <w:r w:rsidRPr="00E03FBB">
        <w:rPr>
          <w:rFonts w:ascii="Book Antiqua" w:hAnsi="Book Antiqua"/>
        </w:rPr>
        <w:t xml:space="preserve">14% des actifs occupés exercent un emploi non rémunéré, les ruraux, avec 30,1%, plus que les citadins (2,7%) et les </w:t>
      </w:r>
      <w:r w:rsidR="001C3AC7" w:rsidRPr="00E03FBB">
        <w:rPr>
          <w:rFonts w:ascii="Book Antiqua" w:hAnsi="Book Antiqua"/>
        </w:rPr>
        <w:t>femmes, avec</w:t>
      </w:r>
      <w:r w:rsidRPr="00E03FBB">
        <w:rPr>
          <w:rFonts w:ascii="Book Antiqua" w:hAnsi="Book Antiqua"/>
        </w:rPr>
        <w:t xml:space="preserve"> 36</w:t>
      </w:r>
      <w:r w:rsidR="00CA01A7" w:rsidRPr="00E03FBB">
        <w:rPr>
          <w:rFonts w:ascii="Book Antiqua" w:hAnsi="Book Antiqua"/>
        </w:rPr>
        <w:t>%, plus</w:t>
      </w:r>
      <w:r w:rsidRPr="00E03FBB">
        <w:rPr>
          <w:rFonts w:ascii="Book Antiqua" w:hAnsi="Book Antiqua"/>
        </w:rPr>
        <w:t xml:space="preserve"> que les hommes (8%). Les personnes n’ayant aucun diplôme sont également plus touchées par l’emploi non rémunéré avec 18,7% contre 12,6% pour celles ayant un diplôme moyen et 2,8 pour celles ayant un diplôme supérieur. </w:t>
      </w:r>
    </w:p>
    <w:p w:rsidR="00BE5A56" w:rsidRPr="007350B4" w:rsidRDefault="00BE5A56" w:rsidP="00BE5A56">
      <w:pPr>
        <w:rPr>
          <w:rFonts w:ascii="Book Antiqua" w:hAnsi="Book Antiqua"/>
          <w:b/>
          <w:bCs/>
          <w:i/>
          <w:iCs/>
          <w:color w:val="0070C0"/>
          <w:sz w:val="28"/>
          <w:szCs w:val="28"/>
        </w:rPr>
      </w:pPr>
      <w:r w:rsidRPr="007350B4">
        <w:rPr>
          <w:rFonts w:ascii="Book Antiqua" w:hAnsi="Book Antiqua"/>
          <w:b/>
          <w:bCs/>
          <w:i/>
          <w:iCs/>
          <w:color w:val="0070C0"/>
          <w:sz w:val="28"/>
          <w:szCs w:val="28"/>
        </w:rPr>
        <w:lastRenderedPageBreak/>
        <w:t>Baisse du sous-emploi</w:t>
      </w:r>
    </w:p>
    <w:p w:rsidR="00BE5A56" w:rsidRPr="00175048" w:rsidRDefault="001A1A8B" w:rsidP="00950570">
      <w:pPr>
        <w:spacing w:before="240" w:line="312" w:lineRule="auto"/>
        <w:jc w:val="both"/>
      </w:pPr>
      <w:r>
        <w:t>Il est à rappeler que le</w:t>
      </w:r>
      <w:r w:rsidR="00BE5A56" w:rsidRPr="001B39B8">
        <w:t xml:space="preserve"> volume des actifs occupés en situation de sous-emploi </w:t>
      </w:r>
      <w:r w:rsidR="00B82654">
        <w:t xml:space="preserve">a atteint </w:t>
      </w:r>
      <w:r w:rsidR="00BE5A56" w:rsidRPr="001B39B8">
        <w:t xml:space="preserve">1.003.000 </w:t>
      </w:r>
      <w:r w:rsidR="00B82654" w:rsidRPr="001B39B8">
        <w:t>personnes</w:t>
      </w:r>
      <w:r w:rsidR="00B82654">
        <w:t>,</w:t>
      </w:r>
      <w:r w:rsidR="00B82654" w:rsidRPr="00175048">
        <w:t xml:space="preserve"> 550.000</w:t>
      </w:r>
      <w:r w:rsidR="00BE5A56" w:rsidRPr="00175048">
        <w:t xml:space="preserve"> personnes dans les villes et 453.000 à la </w:t>
      </w:r>
      <w:r w:rsidR="001C3AC7" w:rsidRPr="00175048">
        <w:t>campagne</w:t>
      </w:r>
      <w:r w:rsidR="001C3AC7">
        <w:t>.</w:t>
      </w:r>
      <w:r w:rsidR="001C3AC7" w:rsidRPr="00175048">
        <w:t xml:space="preserve"> Le</w:t>
      </w:r>
      <w:r w:rsidR="00BE5A56" w:rsidRPr="00175048">
        <w:t xml:space="preserve"> taux de sous-emploi </w:t>
      </w:r>
      <w:r w:rsidR="001C3AC7" w:rsidRPr="00175048">
        <w:t>est passé</w:t>
      </w:r>
      <w:r w:rsidR="00BE5A56" w:rsidRPr="00175048">
        <w:t xml:space="preserve"> de 10,7% à 9,3% au niveau national, de 10,1% à 8,8% en milieu urbain et de 11,6% à 10,0% en milieu rural.</w:t>
      </w:r>
    </w:p>
    <w:p w:rsidR="00BE5A56" w:rsidRDefault="00BE5A56" w:rsidP="00BE5A56">
      <w:pPr>
        <w:spacing w:before="240" w:line="312" w:lineRule="auto"/>
        <w:jc w:val="both"/>
      </w:pPr>
      <w:r w:rsidRPr="00175048">
        <w:t>Les catégories ayant connu les baisses les plus importantes du taux de sous-emploi sont les personnes âgées de 25 à 34 ans et celles de 35 à 44 ans (-1,5 point), celles n'ayant aucun diplôme (-1,6 point), les hommes (-1,4 point) et les ruraux (-1,6 point).</w:t>
      </w:r>
    </w:p>
    <w:p w:rsidR="00CA01A7" w:rsidRDefault="00CA01A7" w:rsidP="0086491B">
      <w:pPr>
        <w:rPr>
          <w:b/>
          <w:bCs/>
          <w:color w:val="002060"/>
          <w:sz w:val="22"/>
          <w:szCs w:val="22"/>
        </w:rPr>
      </w:pPr>
    </w:p>
    <w:p w:rsidR="00BE5A56" w:rsidRPr="00175048" w:rsidRDefault="00E27401" w:rsidP="0086491B">
      <w:pPr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Graphique</w:t>
      </w:r>
      <w:r w:rsidR="00CA01A7">
        <w:rPr>
          <w:b/>
          <w:bCs/>
          <w:color w:val="002060"/>
          <w:sz w:val="22"/>
          <w:szCs w:val="22"/>
        </w:rPr>
        <w:t xml:space="preserve"> </w:t>
      </w:r>
      <w:r w:rsidR="00543AC6">
        <w:rPr>
          <w:b/>
          <w:bCs/>
          <w:color w:val="002060"/>
          <w:sz w:val="22"/>
          <w:szCs w:val="22"/>
        </w:rPr>
        <w:t>6</w:t>
      </w:r>
      <w:r w:rsidR="00CA01A7">
        <w:rPr>
          <w:b/>
          <w:bCs/>
          <w:color w:val="002060"/>
          <w:sz w:val="22"/>
          <w:szCs w:val="22"/>
        </w:rPr>
        <w:t xml:space="preserve"> </w:t>
      </w:r>
      <w:r w:rsidR="00BE5A56" w:rsidRPr="00175048">
        <w:rPr>
          <w:b/>
          <w:bCs/>
          <w:color w:val="002060"/>
          <w:sz w:val="22"/>
          <w:szCs w:val="22"/>
        </w:rPr>
        <w:t>: Évolution du taux de sous-emploi parmi certaines catégories de la population active occupée entre 2020 et 2021 (%)</w:t>
      </w:r>
    </w:p>
    <w:p w:rsidR="00BE5A56" w:rsidRPr="00175048" w:rsidRDefault="00BE5A56" w:rsidP="00BE5A56">
      <w:pPr>
        <w:autoSpaceDE w:val="0"/>
        <w:autoSpaceDN w:val="0"/>
        <w:adjustRightInd w:val="0"/>
        <w:jc w:val="center"/>
      </w:pPr>
      <w:r w:rsidRPr="00175048">
        <w:rPr>
          <w:noProof/>
        </w:rPr>
        <w:drawing>
          <wp:inline distT="0" distB="0" distL="0" distR="0">
            <wp:extent cx="4724400" cy="2105025"/>
            <wp:effectExtent l="0" t="0" r="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5A56" w:rsidRPr="00821F29" w:rsidRDefault="00BE5A56" w:rsidP="00BE5A56">
      <w:pPr>
        <w:pStyle w:val="Sous-titre"/>
        <w:jc w:val="both"/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</w:pPr>
      <w:r w:rsidRPr="00821F2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 xml:space="preserve">Selon la profession, le taux de sous-emploi des </w:t>
      </w:r>
      <w:r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c</w:t>
      </w:r>
      <w:r w:rsidRPr="00821F2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 xml:space="preserve">ommerçants et intermédiaires commerciaux a connu la baisse la plus importante de 9,8% en 2020 à 6,6% en 2021 (-3,2 points), suivi des </w:t>
      </w:r>
      <w:r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a</w:t>
      </w:r>
      <w:r w:rsidRPr="00821F2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rtisans et ouvriers qualifiés des métiers artisanaux (-2,6</w:t>
      </w:r>
      <w:r w:rsidR="003A7BB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 xml:space="preserve"> </w:t>
      </w:r>
      <w:r w:rsidRPr="00821F2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points) et des conducteurs d'installations et de machines et ouvriers de l'assemblage (-1,8</w:t>
      </w:r>
      <w:r w:rsidR="007D2AB6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 xml:space="preserve"> </w:t>
      </w:r>
      <w:r w:rsidRPr="00821F29">
        <w:rPr>
          <w:rFonts w:asciiTheme="majorBidi" w:eastAsiaTheme="minorHAnsi" w:hAnsiTheme="majorBidi"/>
          <w:i w:val="0"/>
          <w:iCs w:val="0"/>
          <w:color w:val="auto"/>
          <w:spacing w:val="0"/>
          <w:lang w:eastAsia="en-US"/>
        </w:rPr>
        <w:t>point).</w:t>
      </w:r>
    </w:p>
    <w:p w:rsidR="00BE5A56" w:rsidRDefault="00BE5A56" w:rsidP="0086491B">
      <w:pPr>
        <w:spacing w:line="312" w:lineRule="auto"/>
        <w:jc w:val="both"/>
      </w:pPr>
      <w:r w:rsidRPr="00175048">
        <w:t>Les secteurs ayant connu une forte baisse du sous-emploi sont l’industrie</w:t>
      </w:r>
      <w:r w:rsidR="003A7BB9">
        <w:t xml:space="preserve"> </w:t>
      </w:r>
      <w:r w:rsidRPr="00175048">
        <w:t>avec -2,2 point</w:t>
      </w:r>
      <w:r w:rsidR="003A7BB9">
        <w:t xml:space="preserve">s </w:t>
      </w:r>
      <w:r w:rsidRPr="00175048">
        <w:t>(de 8,7% à 6,5%), les BTP avec -1,8 point (de 19,6% à 17,8%), et les services avec -1,3 point (de 9,4% à 8,0%).</w:t>
      </w:r>
    </w:p>
    <w:p w:rsidR="001A1A8B" w:rsidRDefault="001A1A8B" w:rsidP="0086491B">
      <w:pPr>
        <w:spacing w:line="312" w:lineRule="auto"/>
        <w:jc w:val="both"/>
      </w:pPr>
    </w:p>
    <w:p w:rsidR="00BE5A56" w:rsidRDefault="001A1A8B" w:rsidP="00BE5A56">
      <w:pPr>
        <w:jc w:val="center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Graphique</w:t>
      </w:r>
      <w:r w:rsidR="007350B4">
        <w:rPr>
          <w:b/>
          <w:bCs/>
          <w:color w:val="002060"/>
          <w:sz w:val="22"/>
          <w:szCs w:val="22"/>
        </w:rPr>
        <w:t xml:space="preserve"> </w:t>
      </w:r>
      <w:r w:rsidR="00543AC6">
        <w:rPr>
          <w:b/>
          <w:bCs/>
          <w:color w:val="002060"/>
          <w:sz w:val="22"/>
          <w:szCs w:val="22"/>
        </w:rPr>
        <w:t>7</w:t>
      </w:r>
      <w:r w:rsidR="007350B4">
        <w:rPr>
          <w:b/>
          <w:bCs/>
          <w:color w:val="002060"/>
          <w:sz w:val="22"/>
          <w:szCs w:val="22"/>
        </w:rPr>
        <w:t xml:space="preserve"> </w:t>
      </w:r>
      <w:r w:rsidR="00BE5A56" w:rsidRPr="00175048">
        <w:rPr>
          <w:b/>
          <w:bCs/>
          <w:color w:val="002060"/>
          <w:sz w:val="22"/>
          <w:szCs w:val="22"/>
        </w:rPr>
        <w:t>: Évolution du taux de sous-emploi selon les secteurs d’activité économique entre 2020 et 2021 (%)</w:t>
      </w:r>
    </w:p>
    <w:p w:rsidR="007D2AB6" w:rsidRDefault="007D2AB6" w:rsidP="00BE5A56">
      <w:pPr>
        <w:jc w:val="center"/>
        <w:rPr>
          <w:b/>
          <w:bCs/>
          <w:color w:val="002060"/>
          <w:sz w:val="22"/>
          <w:szCs w:val="22"/>
        </w:rPr>
      </w:pPr>
    </w:p>
    <w:p w:rsidR="007D2AB6" w:rsidRPr="00175048" w:rsidRDefault="007D2AB6" w:rsidP="00BE5A56">
      <w:pPr>
        <w:jc w:val="center"/>
        <w:rPr>
          <w:b/>
          <w:bCs/>
          <w:color w:val="002060"/>
          <w:sz w:val="22"/>
          <w:szCs w:val="22"/>
        </w:rPr>
      </w:pPr>
      <w:r>
        <w:rPr>
          <w:noProof/>
        </w:rPr>
        <w:drawing>
          <wp:inline distT="0" distB="0" distL="0" distR="0">
            <wp:extent cx="4572000" cy="1828800"/>
            <wp:effectExtent l="0" t="0" r="0" b="0"/>
            <wp:docPr id="11" name="Graphique 1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A8CEB1E-BA84-4809-8F95-45ECD0746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5A56" w:rsidRPr="00175048" w:rsidRDefault="00BE5A56" w:rsidP="008666DD">
      <w:pPr>
        <w:spacing w:line="312" w:lineRule="auto"/>
        <w:jc w:val="both"/>
      </w:pPr>
      <w:r>
        <w:lastRenderedPageBreak/>
        <w:t>Selon le type de sous-emploi, l</w:t>
      </w:r>
      <w:r w:rsidRPr="00175048">
        <w:t>a part du sous-emploi lié à la durée de travail</w:t>
      </w:r>
      <w:r w:rsidRPr="00025905">
        <w:rPr>
          <w:vertAlign w:val="superscript"/>
        </w:rPr>
        <w:footnoteReference w:id="5"/>
      </w:r>
      <w:r w:rsidRPr="00175048">
        <w:t xml:space="preserve">a connu, entre 2020 et 2021, une baisse de 12 points passant de 58% à 46%. A l’inverse, le sous-emploi lié à l’insuffisance du revenu ou à l’inadéquation entre la formation et l’emploi exercé </w:t>
      </w:r>
      <w:r>
        <w:t>a augmenté</w:t>
      </w:r>
      <w:r w:rsidRPr="00175048">
        <w:t xml:space="preserve"> au cours de la même période, de 42%à 54%.</w:t>
      </w:r>
    </w:p>
    <w:p w:rsidR="00BE5A56" w:rsidRPr="00175048" w:rsidRDefault="00BE5A56" w:rsidP="008666DD">
      <w:pPr>
        <w:autoSpaceDE w:val="0"/>
        <w:autoSpaceDN w:val="0"/>
        <w:adjustRightInd w:val="0"/>
        <w:spacing w:before="120" w:after="120" w:line="312" w:lineRule="auto"/>
        <w:jc w:val="both"/>
      </w:pPr>
      <w:r w:rsidRPr="00175048">
        <w:t>Dans ce contexte, la population active occupée en situation de sous-emploi lié à la durée de travail, a atteint, en 2021, 459.</w:t>
      </w:r>
      <w:r>
        <w:t>000</w:t>
      </w:r>
      <w:r w:rsidRPr="00175048">
        <w:t xml:space="preserve"> personnes au niveau national contre 655.000 une année auparavant. Le taux correspondant a connu des baisses importantes, de 6,2% à 4,3% au niveau national, de 6,7% à 4,9% à la campagne et de 5,9% à 3,8% dans les villes.</w:t>
      </w:r>
    </w:p>
    <w:p w:rsidR="00851502" w:rsidRDefault="00BE5A56" w:rsidP="008666DD">
      <w:pPr>
        <w:spacing w:line="312" w:lineRule="auto"/>
        <w:jc w:val="both"/>
        <w:rPr>
          <w:rFonts w:ascii="Book Antiqua" w:eastAsia="Book Antiqua" w:hAnsi="Book Antiqua" w:cs="Book Antiqua"/>
          <w:b/>
          <w:bCs/>
          <w:color w:val="548DD4" w:themeColor="text2" w:themeTint="99"/>
          <w:sz w:val="26"/>
          <w:szCs w:val="26"/>
        </w:rPr>
      </w:pPr>
      <w:r>
        <w:t>Enfin, la</w:t>
      </w:r>
      <w:r w:rsidRPr="00175048">
        <w:t xml:space="preserve"> population active occupée en situation de sous-emploi lié à l’insuffisance du revenu ou à l’inadéquation entre la formation et l’emploi exercé est passée, au niveau national, de 472.000 personnes en 2020 à 543.000 en 2021. Le taux correspondant s’</w:t>
      </w:r>
      <w:r>
        <w:t xml:space="preserve">ainsi passé de </w:t>
      </w:r>
      <w:r w:rsidRPr="00175048">
        <w:t>4,5%</w:t>
      </w:r>
      <w:r w:rsidR="008A66ED">
        <w:t xml:space="preserve"> </w:t>
      </w:r>
      <w:r w:rsidRPr="00175048">
        <w:t>à 5,0%, de 4,2% à 5% en milieu urbain et de 4,9%</w:t>
      </w:r>
      <w:r w:rsidR="003A7BB9">
        <w:t xml:space="preserve"> </w:t>
      </w:r>
      <w:r w:rsidRPr="00175048">
        <w:t>à 5,1%</w:t>
      </w:r>
      <w:r w:rsidR="008A66ED">
        <w:t xml:space="preserve"> </w:t>
      </w:r>
      <w:r w:rsidRPr="00175048">
        <w:t>en milieu rural</w:t>
      </w:r>
      <w:r>
        <w:t>.</w:t>
      </w:r>
    </w:p>
    <w:sectPr w:rsidR="00851502" w:rsidSect="00DE77D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28" w:rsidRDefault="00446828" w:rsidP="00DE77D2">
      <w:r>
        <w:separator/>
      </w:r>
    </w:p>
  </w:endnote>
  <w:endnote w:type="continuationSeparator" w:id="0">
    <w:p w:rsidR="00446828" w:rsidRDefault="00446828" w:rsidP="00DE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5010164"/>
      <w:docPartObj>
        <w:docPartGallery w:val="Page Numbers (Bottom of Page)"/>
        <w:docPartUnique/>
      </w:docPartObj>
    </w:sdtPr>
    <w:sdtContent>
      <w:p w:rsidR="008666DD" w:rsidRDefault="00D240D9">
        <w:pPr>
          <w:pStyle w:val="Pieddepage"/>
          <w:jc w:val="center"/>
        </w:pPr>
        <w:r>
          <w:fldChar w:fldCharType="begin"/>
        </w:r>
        <w:r w:rsidR="008666DD">
          <w:instrText>PAGE   \* MERGEFORMAT</w:instrText>
        </w:r>
        <w:r>
          <w:fldChar w:fldCharType="separate"/>
        </w:r>
        <w:r w:rsidR="00D8149F">
          <w:rPr>
            <w:noProof/>
          </w:rPr>
          <w:t>2</w:t>
        </w:r>
        <w:r>
          <w:fldChar w:fldCharType="end"/>
        </w:r>
      </w:p>
    </w:sdtContent>
  </w:sdt>
  <w:p w:rsidR="008666DD" w:rsidRDefault="008666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28" w:rsidRDefault="00446828" w:rsidP="00DE77D2">
      <w:r>
        <w:separator/>
      </w:r>
    </w:p>
  </w:footnote>
  <w:footnote w:type="continuationSeparator" w:id="0">
    <w:p w:rsidR="00446828" w:rsidRDefault="00446828" w:rsidP="00DE77D2">
      <w:r>
        <w:continuationSeparator/>
      </w:r>
    </w:p>
  </w:footnote>
  <w:footnote w:id="1">
    <w:p w:rsidR="001B5165" w:rsidRPr="0009045C" w:rsidRDefault="001B5165" w:rsidP="001B5165">
      <w:pPr>
        <w:pStyle w:val="Notedebasdepage"/>
        <w:jc w:val="left"/>
        <w:rPr>
          <w:rFonts w:ascii="Book Antiqua" w:eastAsia="Book Antiqua" w:hAnsi="Book Antiqua" w:cs="Book Antiqua"/>
          <w:sz w:val="16"/>
          <w:szCs w:val="16"/>
        </w:rPr>
      </w:pPr>
      <w:r>
        <w:rPr>
          <w:rStyle w:val="Appelnotedebasdep"/>
        </w:rPr>
        <w:footnoteRef/>
      </w:r>
      <w:r w:rsidRPr="0009045C">
        <w:rPr>
          <w:rFonts w:ascii="Book Antiqua" w:eastAsia="Book Antiqua" w:hAnsi="Book Antiqua" w:cs="Book Antiqua"/>
          <w:sz w:val="16"/>
          <w:szCs w:val="16"/>
        </w:rPr>
        <w:t>Selon l’auto-détermination des répondants.</w:t>
      </w:r>
    </w:p>
  </w:footnote>
  <w:footnote w:id="2">
    <w:p w:rsidR="00E72A8D" w:rsidRPr="0009045C" w:rsidRDefault="00E72A8D" w:rsidP="00E72A8D">
      <w:pPr>
        <w:pStyle w:val="Notedebasdepage"/>
        <w:jc w:val="left"/>
        <w:rPr>
          <w:rFonts w:ascii="Book Antiqua" w:eastAsia="Book Antiqua" w:hAnsi="Book Antiqua" w:cs="Book Antiqua"/>
          <w:sz w:val="16"/>
          <w:szCs w:val="16"/>
        </w:rPr>
      </w:pPr>
      <w:r w:rsidRPr="0009045C">
        <w:rPr>
          <w:rFonts w:ascii="Book Antiqua" w:eastAsia="Book Antiqua" w:hAnsi="Book Antiqua" w:cs="Book Antiqua"/>
          <w:sz w:val="16"/>
          <w:szCs w:val="16"/>
          <w:vertAlign w:val="superscript"/>
        </w:rPr>
        <w:footnoteRef/>
      </w:r>
      <w:r w:rsidRPr="0009045C">
        <w:rPr>
          <w:rFonts w:ascii="Book Antiqua" w:eastAsia="Book Antiqua" w:hAnsi="Book Antiqua" w:cs="Book Antiqua"/>
          <w:sz w:val="16"/>
          <w:szCs w:val="16"/>
        </w:rPr>
        <w:t>La différence par rapport au volume total de l'emploi, soit 0,1% des actifs occupés, concerne les activités non désignées</w:t>
      </w:r>
    </w:p>
  </w:footnote>
  <w:footnote w:id="3">
    <w:p w:rsidR="001B5165" w:rsidRPr="0009045C" w:rsidRDefault="001B5165" w:rsidP="001B5165">
      <w:pPr>
        <w:pStyle w:val="Corpsdetexte"/>
        <w:bidi w:val="0"/>
        <w:rPr>
          <w:sz w:val="16"/>
          <w:szCs w:val="16"/>
        </w:rPr>
      </w:pPr>
      <w:r w:rsidRPr="0009045C">
        <w:rPr>
          <w:rStyle w:val="Appelnotedebasdep"/>
          <w:sz w:val="16"/>
          <w:szCs w:val="16"/>
        </w:rPr>
        <w:footnoteRef/>
      </w:r>
      <w:r w:rsidRPr="0009045C">
        <w:rPr>
          <w:rFonts w:ascii="Book Antiqua" w:hAnsi="Book Antiqua"/>
          <w:sz w:val="16"/>
          <w:szCs w:val="16"/>
        </w:rPr>
        <w:t>Les diplômes de n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iveau moyen regroupent les certificats de l'enseignement primaire, du secondaire collégial et les diplômes de qualification ou de spécialisation professionnelle.</w:t>
      </w:r>
    </w:p>
  </w:footnote>
  <w:footnote w:id="4">
    <w:p w:rsidR="001B5165" w:rsidRDefault="001B5165" w:rsidP="001B5165">
      <w:pPr>
        <w:pStyle w:val="Corpsdetexte"/>
        <w:bidi w:val="0"/>
        <w:rPr>
          <w:rFonts w:ascii="Book Antiqua" w:hAnsi="Book Antiqua"/>
          <w:sz w:val="16"/>
          <w:szCs w:val="16"/>
        </w:rPr>
      </w:pPr>
      <w:r w:rsidRPr="0009045C">
        <w:rPr>
          <w:rStyle w:val="Appelnotedebasdep"/>
          <w:sz w:val="16"/>
          <w:szCs w:val="16"/>
        </w:rPr>
        <w:footnoteRef/>
      </w:r>
      <w:r w:rsidRPr="0009045C">
        <w:rPr>
          <w:rFonts w:ascii="Book Antiqua" w:hAnsi="Book Antiqua"/>
          <w:sz w:val="16"/>
          <w:szCs w:val="16"/>
        </w:rPr>
        <w:t>Les diplômes de n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iveau</w:t>
      </w:r>
      <w:r w:rsidRPr="0009045C">
        <w:rPr>
          <w:rFonts w:ascii="Book Antiqua" w:hAnsi="Book Antiqua"/>
          <w:sz w:val="16"/>
          <w:szCs w:val="16"/>
        </w:rPr>
        <w:t xml:space="preserve"> supérieur </w:t>
      </w:r>
      <w:r w:rsidRPr="0009045C">
        <w:rPr>
          <w:rFonts w:ascii="Book Antiqua" w:hAnsi="Book Antiqua"/>
          <w:spacing w:val="-2"/>
          <w:sz w:val="16"/>
          <w:szCs w:val="16"/>
          <w:lang w:eastAsia="en-US"/>
        </w:rPr>
        <w:t>regroupent le b</w:t>
      </w:r>
      <w:r w:rsidRPr="0009045C">
        <w:rPr>
          <w:rFonts w:ascii="Book Antiqua" w:hAnsi="Book Antiqua"/>
          <w:sz w:val="16"/>
          <w:szCs w:val="16"/>
        </w:rPr>
        <w:t>accalauréat, les diplômes de techniciens ou de techniciens spécialisés et les diplômes d'enseignement supérieur (facultés, grandes écoles et instituts</w:t>
      </w:r>
      <w:r w:rsidRPr="00893A42">
        <w:rPr>
          <w:rFonts w:ascii="Book Antiqua" w:hAnsi="Book Antiqua"/>
          <w:sz w:val="16"/>
          <w:szCs w:val="16"/>
        </w:rPr>
        <w:t>).</w:t>
      </w:r>
    </w:p>
    <w:p w:rsidR="001B5165" w:rsidRDefault="001B5165">
      <w:pPr>
        <w:pStyle w:val="Notedebasdepage"/>
      </w:pPr>
    </w:p>
  </w:footnote>
  <w:footnote w:id="5">
    <w:p w:rsidR="00BE5A56" w:rsidRPr="00267468" w:rsidRDefault="00BE5A56" w:rsidP="00BE5A56">
      <w:pPr>
        <w:spacing w:before="240" w:after="240"/>
        <w:jc w:val="both"/>
        <w:rPr>
          <w:rFonts w:ascii="Book Antiqua" w:eastAsia="Book Antiqua" w:hAnsi="Book Antiqua" w:cs="Book Antiqua"/>
          <w:sz w:val="14"/>
          <w:szCs w:val="14"/>
        </w:rPr>
      </w:pPr>
      <w:r>
        <w:rPr>
          <w:rStyle w:val="Appelnotedebasdep"/>
        </w:rPr>
        <w:footnoteRef/>
      </w:r>
      <w:r w:rsidRPr="00267468">
        <w:rPr>
          <w:rFonts w:ascii="Book Antiqua" w:eastAsia="Book Antiqua" w:hAnsi="Book Antiqua" w:cs="Book Antiqua"/>
          <w:sz w:val="14"/>
          <w:szCs w:val="14"/>
        </w:rPr>
        <w:t>Conformément aux recommandations du BIT, le sous-emploi est constitué, selon l’approche de l’Enquête nationale sur l’emploi, de deux composantes, la première liée au nombre d’heures travaillées et la deuxième à l’insuffisance du revenu ou à l’inadéquation entre la formation et l’emploi exercé.</w:t>
      </w:r>
    </w:p>
    <w:p w:rsidR="00BE5A56" w:rsidRDefault="00BE5A56" w:rsidP="00BE5A56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D2" w:rsidRDefault="00DE77D2" w:rsidP="00DE77D2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D2" w:rsidRDefault="00DE77D2" w:rsidP="00DE77D2">
    <w:pPr>
      <w:pStyle w:val="En-tte"/>
      <w:jc w:val="center"/>
    </w:pPr>
    <w:r w:rsidRPr="00DE77D2">
      <w:rPr>
        <w:noProof/>
      </w:rPr>
      <w:drawing>
        <wp:inline distT="0" distB="0" distL="0" distR="0">
          <wp:extent cx="1358900" cy="1053546"/>
          <wp:effectExtent l="19050" t="0" r="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753" cy="105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39D6"/>
    <w:multiLevelType w:val="hybridMultilevel"/>
    <w:tmpl w:val="AF9C731A"/>
    <w:lvl w:ilvl="0" w:tplc="3DB6E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7"/>
        <w:szCs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F56D4"/>
    <w:multiLevelType w:val="hybridMultilevel"/>
    <w:tmpl w:val="50D80528"/>
    <w:lvl w:ilvl="0" w:tplc="4AB8D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691"/>
    <w:rsid w:val="000217A9"/>
    <w:rsid w:val="0002488E"/>
    <w:rsid w:val="00071387"/>
    <w:rsid w:val="00074ED2"/>
    <w:rsid w:val="00082DD1"/>
    <w:rsid w:val="00085280"/>
    <w:rsid w:val="0009045C"/>
    <w:rsid w:val="000C1791"/>
    <w:rsid w:val="000E1A09"/>
    <w:rsid w:val="00113F9A"/>
    <w:rsid w:val="0013712D"/>
    <w:rsid w:val="00155EED"/>
    <w:rsid w:val="001A1A8B"/>
    <w:rsid w:val="001B5165"/>
    <w:rsid w:val="001C3AC7"/>
    <w:rsid w:val="001D36F1"/>
    <w:rsid w:val="0021129D"/>
    <w:rsid w:val="0022401E"/>
    <w:rsid w:val="00251F40"/>
    <w:rsid w:val="00275D8E"/>
    <w:rsid w:val="00281D36"/>
    <w:rsid w:val="002C37C0"/>
    <w:rsid w:val="002D4027"/>
    <w:rsid w:val="002F4DAF"/>
    <w:rsid w:val="002F73CF"/>
    <w:rsid w:val="00311704"/>
    <w:rsid w:val="0031218E"/>
    <w:rsid w:val="00317FC7"/>
    <w:rsid w:val="00356704"/>
    <w:rsid w:val="00362F03"/>
    <w:rsid w:val="0039161C"/>
    <w:rsid w:val="003A5C3A"/>
    <w:rsid w:val="003A5C49"/>
    <w:rsid w:val="003A7BB9"/>
    <w:rsid w:val="003C6F86"/>
    <w:rsid w:val="003C7967"/>
    <w:rsid w:val="003F1355"/>
    <w:rsid w:val="00417855"/>
    <w:rsid w:val="004305EF"/>
    <w:rsid w:val="004332CA"/>
    <w:rsid w:val="00435DF9"/>
    <w:rsid w:val="00436D51"/>
    <w:rsid w:val="00441647"/>
    <w:rsid w:val="00443DC4"/>
    <w:rsid w:val="00446828"/>
    <w:rsid w:val="00461896"/>
    <w:rsid w:val="00483475"/>
    <w:rsid w:val="00492A4F"/>
    <w:rsid w:val="004A10B8"/>
    <w:rsid w:val="004C0691"/>
    <w:rsid w:val="004D3997"/>
    <w:rsid w:val="005103C7"/>
    <w:rsid w:val="005306A4"/>
    <w:rsid w:val="00543AC6"/>
    <w:rsid w:val="00577121"/>
    <w:rsid w:val="0058118C"/>
    <w:rsid w:val="00583FEA"/>
    <w:rsid w:val="005A290F"/>
    <w:rsid w:val="005B20B1"/>
    <w:rsid w:val="005B2262"/>
    <w:rsid w:val="005C2D3B"/>
    <w:rsid w:val="005C79B5"/>
    <w:rsid w:val="005D5027"/>
    <w:rsid w:val="005F0A77"/>
    <w:rsid w:val="005F3471"/>
    <w:rsid w:val="00600B2A"/>
    <w:rsid w:val="00613065"/>
    <w:rsid w:val="00635C1B"/>
    <w:rsid w:val="00651E2C"/>
    <w:rsid w:val="00661D28"/>
    <w:rsid w:val="00686FA5"/>
    <w:rsid w:val="00690561"/>
    <w:rsid w:val="0069072D"/>
    <w:rsid w:val="006B7A86"/>
    <w:rsid w:val="006D6275"/>
    <w:rsid w:val="006F39F5"/>
    <w:rsid w:val="007128D0"/>
    <w:rsid w:val="007151B0"/>
    <w:rsid w:val="007350B4"/>
    <w:rsid w:val="00765BC0"/>
    <w:rsid w:val="00781D3B"/>
    <w:rsid w:val="007A17C2"/>
    <w:rsid w:val="007A7C01"/>
    <w:rsid w:val="007B3884"/>
    <w:rsid w:val="007B6046"/>
    <w:rsid w:val="007C4CC0"/>
    <w:rsid w:val="007D2AB6"/>
    <w:rsid w:val="007F1707"/>
    <w:rsid w:val="00826743"/>
    <w:rsid w:val="00847CFF"/>
    <w:rsid w:val="00851502"/>
    <w:rsid w:val="008627FF"/>
    <w:rsid w:val="0086491B"/>
    <w:rsid w:val="008666DD"/>
    <w:rsid w:val="00867CD0"/>
    <w:rsid w:val="00877526"/>
    <w:rsid w:val="00877DC5"/>
    <w:rsid w:val="00882A9A"/>
    <w:rsid w:val="008A2484"/>
    <w:rsid w:val="008A66ED"/>
    <w:rsid w:val="008B48C1"/>
    <w:rsid w:val="008D235E"/>
    <w:rsid w:val="008E46C3"/>
    <w:rsid w:val="00907088"/>
    <w:rsid w:val="00950570"/>
    <w:rsid w:val="00952CF3"/>
    <w:rsid w:val="00955A67"/>
    <w:rsid w:val="00973E0C"/>
    <w:rsid w:val="00982CE4"/>
    <w:rsid w:val="009A6769"/>
    <w:rsid w:val="009B05F3"/>
    <w:rsid w:val="009D18F9"/>
    <w:rsid w:val="009D479F"/>
    <w:rsid w:val="009E1A5D"/>
    <w:rsid w:val="00A07C79"/>
    <w:rsid w:val="00A17CCC"/>
    <w:rsid w:val="00A956F3"/>
    <w:rsid w:val="00AA4761"/>
    <w:rsid w:val="00AC3449"/>
    <w:rsid w:val="00AC757D"/>
    <w:rsid w:val="00AF019E"/>
    <w:rsid w:val="00AF39AB"/>
    <w:rsid w:val="00B04AA2"/>
    <w:rsid w:val="00B1523B"/>
    <w:rsid w:val="00B20362"/>
    <w:rsid w:val="00B4389C"/>
    <w:rsid w:val="00B5551C"/>
    <w:rsid w:val="00B80139"/>
    <w:rsid w:val="00B82654"/>
    <w:rsid w:val="00B9202B"/>
    <w:rsid w:val="00BD7327"/>
    <w:rsid w:val="00BE5A56"/>
    <w:rsid w:val="00BE5CF3"/>
    <w:rsid w:val="00BF3555"/>
    <w:rsid w:val="00C24945"/>
    <w:rsid w:val="00C278D2"/>
    <w:rsid w:val="00C47768"/>
    <w:rsid w:val="00C55790"/>
    <w:rsid w:val="00C6094A"/>
    <w:rsid w:val="00CA01A7"/>
    <w:rsid w:val="00CB76D2"/>
    <w:rsid w:val="00CC24BC"/>
    <w:rsid w:val="00CC29BB"/>
    <w:rsid w:val="00CC55F3"/>
    <w:rsid w:val="00CD319F"/>
    <w:rsid w:val="00CE2A80"/>
    <w:rsid w:val="00D240D9"/>
    <w:rsid w:val="00D26727"/>
    <w:rsid w:val="00D33C52"/>
    <w:rsid w:val="00D45D4E"/>
    <w:rsid w:val="00D67C50"/>
    <w:rsid w:val="00D8149F"/>
    <w:rsid w:val="00D870A0"/>
    <w:rsid w:val="00D91B4F"/>
    <w:rsid w:val="00DB348C"/>
    <w:rsid w:val="00DE3373"/>
    <w:rsid w:val="00DE77D2"/>
    <w:rsid w:val="00DF3C9D"/>
    <w:rsid w:val="00DF7DBD"/>
    <w:rsid w:val="00E03FBB"/>
    <w:rsid w:val="00E05F44"/>
    <w:rsid w:val="00E06B3B"/>
    <w:rsid w:val="00E07532"/>
    <w:rsid w:val="00E27401"/>
    <w:rsid w:val="00E31DCD"/>
    <w:rsid w:val="00E34200"/>
    <w:rsid w:val="00E72A8D"/>
    <w:rsid w:val="00E912E3"/>
    <w:rsid w:val="00EB5550"/>
    <w:rsid w:val="00ED75BB"/>
    <w:rsid w:val="00EF0931"/>
    <w:rsid w:val="00F11F03"/>
    <w:rsid w:val="00F157BD"/>
    <w:rsid w:val="00F22FCF"/>
    <w:rsid w:val="00F27C1C"/>
    <w:rsid w:val="00F71094"/>
    <w:rsid w:val="00F91D5F"/>
    <w:rsid w:val="00FB0023"/>
    <w:rsid w:val="00FC0488"/>
    <w:rsid w:val="00FE0C0E"/>
    <w:rsid w:val="00FE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069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C06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D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DC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E77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77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77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77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72A8D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2A8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E72A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17F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7F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7FC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7F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7FC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5A5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E5A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77121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77121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7712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esktop\ghraphes%20et%20chiffr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hraphes%20et%20chiffr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PAO%202021\2021%20-%20Note%20sur%20l'emploi%20-%20Tabulation%20%234%20-Ali0902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lasseur3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ownloads\2021%20-%20Note%20sur%20les%20chiffres%20cl&#233;s%20-%20Tabulation%20%231%20-%20DE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PAO%202021\2021%20-%20Note%20sur%20l'emploi%20-%20Tabulation%20%234%20-Ali0902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0.30632326803305487"/>
          <c:y val="6.2499855327981108E-2"/>
          <c:w val="0.38735326915304497"/>
          <c:h val="0.7672099904709366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FAE-4FA5-9CBB-3AD5E18FFD4B}"/>
              </c:ext>
            </c:extLst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AE-4FA5-9CBB-3AD5E18FFD4B}"/>
              </c:ext>
            </c:extLst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FAE-4FA5-9CBB-3AD5E18FFD4B}"/>
              </c:ext>
            </c:extLst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AE-4FA5-9CBB-3AD5E18FFD4B}"/>
              </c:ext>
            </c:extLst>
          </c:dPt>
          <c:dLbls>
            <c:dLbl>
              <c:idx val="0"/>
              <c:layout>
                <c:manualLayout>
                  <c:x val="0.16055863146976773"/>
                  <c:y val="-7.635673419313535E-2"/>
                </c:manualLayout>
              </c:layout>
              <c:tx>
                <c:rich>
                  <a:bodyPr/>
                  <a:lstStyle/>
                  <a:p>
                    <a:fld id="{ACFB0F4E-661D-4A7C-9A70-A8DD6D940E07}" type="CATEGORYNAME">
                      <a:rPr lang="en-US"/>
                      <a:pPr/>
                      <a:t>[NOM DE CATÉGORIE]</a:t>
                    </a:fld>
                    <a:r>
                      <a:rPr lang="en-US" baseline="0"/>
                      <a:t>
31,2%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FAE-4FA5-9CBB-3AD5E18FFD4B}"/>
                </c:ext>
              </c:extLst>
            </c:dLbl>
            <c:dLbl>
              <c:idx val="1"/>
              <c:layout>
                <c:manualLayout>
                  <c:x val="0.1627608237282028"/>
                  <c:y val="9.540058717550065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Industrie  11,7%</a:t>
                    </a:r>
                    <a:endParaRPr lang="en-US"/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FAE-4FA5-9CBB-3AD5E18FFD4B}"/>
                </c:ext>
              </c:extLst>
            </c:dLbl>
            <c:dLbl>
              <c:idx val="2"/>
              <c:layout>
                <c:manualLayout>
                  <c:x val="3.5582759947214396E-2"/>
                  <c:y val="0.17332980976593979"/>
                </c:manualLayout>
              </c:layout>
              <c:tx>
                <c:rich>
                  <a:bodyPr/>
                  <a:lstStyle/>
                  <a:p>
                    <a:fld id="{6B58A072-1280-4848-A522-F9ACDB4CBE47}" type="CATEGORYNAME">
                      <a:rPr lang="en-US"/>
                      <a:pPr/>
                      <a:t>[NOM DE CATÉGORIE]</a:t>
                    </a:fld>
                    <a:r>
                      <a:rPr lang="en-US" baseline="0"/>
                      <a:t>
11,2%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FAE-4FA5-9CBB-3AD5E18FFD4B}"/>
                </c:ext>
              </c:extLst>
            </c:dLbl>
            <c:dLbl>
              <c:idx val="3"/>
              <c:layout>
                <c:manualLayout>
                  <c:x val="-0.13060250585559918"/>
                  <c:y val="-2.5606947343243095E-2"/>
                </c:manualLayout>
              </c:layout>
              <c:tx>
                <c:rich>
                  <a:bodyPr/>
                  <a:lstStyle/>
                  <a:p>
                    <a:fld id="{A49E1C5B-512B-4473-A784-8C768FAEAB98}" type="CATEGORYNAME">
                      <a:rPr lang="en-US"/>
                      <a:pPr/>
                      <a:t>[NOM DE CATÉGORIE]</a:t>
                    </a:fld>
                    <a:r>
                      <a:rPr lang="en-US" baseline="0"/>
                      <a:t>
45,8%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FAE-4FA5-9CBB-3AD5E18FFD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Feuil2!$F$27:$F$30</c:f>
              <c:strCache>
                <c:ptCount val="4"/>
                <c:pt idx="0">
                  <c:v>Agriculture, forêt et 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Feuil2!$G$27:$G$30</c:f>
              <c:numCache>
                <c:formatCode>0.0</c:formatCode>
                <c:ptCount val="4"/>
                <c:pt idx="0">
                  <c:v>31.224655424139751</c:v>
                </c:pt>
                <c:pt idx="1">
                  <c:v>11.701552458549276</c:v>
                </c:pt>
                <c:pt idx="2">
                  <c:v>11.23453835739995</c:v>
                </c:pt>
                <c:pt idx="3">
                  <c:v>45.810057553274142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FAE-4FA5-9CBB-3AD5E18FFD4B}"/>
            </c:ext>
          </c:extLst>
        </c:ser>
        <c:dLbls>
          <c:showPercent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zero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Feuil1!$C$14</c:f>
              <c:strCache>
                <c:ptCount val="1"/>
                <c:pt idx="0">
                  <c:v>Diplôme supérieur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Feuil1!$B$15:$B$19</c:f>
              <c:strCache>
                <c:ptCount val="5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Feuil1!$C$15:$C$19</c:f>
              <c:numCache>
                <c:formatCode>0.0</c:formatCode>
                <c:ptCount val="5"/>
                <c:pt idx="0">
                  <c:v>1.3620710854578859</c:v>
                </c:pt>
                <c:pt idx="1">
                  <c:v>16.785330838108912</c:v>
                </c:pt>
                <c:pt idx="2">
                  <c:v>6.5558118801497205</c:v>
                </c:pt>
                <c:pt idx="3">
                  <c:v>27.81488097717013</c:v>
                </c:pt>
                <c:pt idx="4">
                  <c:v>15.887634257228783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85-4BB0-85FF-910841CE45FB}"/>
            </c:ext>
          </c:extLst>
        </c:ser>
        <c:ser>
          <c:idx val="1"/>
          <c:order val="1"/>
          <c:tx>
            <c:strRef>
              <c:f>Feuil1!$D$14</c:f>
              <c:strCache>
                <c:ptCount val="1"/>
                <c:pt idx="0">
                  <c:v>Diplôme moyen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Feuil1!$B$15:$B$19</c:f>
              <c:strCache>
                <c:ptCount val="5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Feuil1!$D$15:$D$19</c:f>
              <c:numCache>
                <c:formatCode>0.0</c:formatCode>
                <c:ptCount val="5"/>
                <c:pt idx="0">
                  <c:v>19.139089513075401</c:v>
                </c:pt>
                <c:pt idx="1">
                  <c:v>40.506796408108684</c:v>
                </c:pt>
                <c:pt idx="2">
                  <c:v>35.890362537030732</c:v>
                </c:pt>
                <c:pt idx="3">
                  <c:v>35.873977271648783</c:v>
                </c:pt>
                <c:pt idx="4">
                  <c:v>31.187952762188988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85-4BB0-85FF-910841CE45FB}"/>
            </c:ext>
          </c:extLst>
        </c:ser>
        <c:ser>
          <c:idx val="2"/>
          <c:order val="2"/>
          <c:tx>
            <c:strRef>
              <c:f>Feuil1!$E$14</c:f>
              <c:strCache>
                <c:ptCount val="1"/>
                <c:pt idx="0">
                  <c:v>Aucun diplôme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Feuil1!$B$15:$B$19</c:f>
              <c:strCache>
                <c:ptCount val="5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  <c:pt idx="4">
                  <c:v>Ensemble</c:v>
                </c:pt>
              </c:strCache>
            </c:strRef>
          </c:cat>
          <c:val>
            <c:numRef>
              <c:f>Feuil1!$E$15:$E$19</c:f>
              <c:numCache>
                <c:formatCode>0.0</c:formatCode>
                <c:ptCount val="5"/>
                <c:pt idx="0">
                  <c:v>79.471363321763292</c:v>
                </c:pt>
                <c:pt idx="1">
                  <c:v>42.611405547568594</c:v>
                </c:pt>
                <c:pt idx="2">
                  <c:v>57.510624622986654</c:v>
                </c:pt>
                <c:pt idx="3">
                  <c:v>36.204874842008607</c:v>
                </c:pt>
                <c:pt idx="4">
                  <c:v>52.850107845621494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C85-4BB0-85FF-910841CE45FB}"/>
            </c:ext>
          </c:extLst>
        </c:ser>
        <c:gapWidth val="219"/>
        <c:overlap val="-27"/>
        <c:axId val="98172928"/>
        <c:axId val="98174464"/>
      </c:barChart>
      <c:catAx>
        <c:axId val="981729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8174464"/>
        <c:crosses val="autoZero"/>
        <c:auto val="1"/>
        <c:lblAlgn val="ctr"/>
        <c:lblOffset val="100"/>
      </c:catAx>
      <c:valAx>
        <c:axId val="9817446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817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Feuil4!$A$5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Feuil4!$B$4:$D$4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Feuil4!$B$5:$D$5</c:f>
              <c:numCache>
                <c:formatCode>0.0</c:formatCode>
                <c:ptCount val="3"/>
                <c:pt idx="0">
                  <c:v>36.556600591228325</c:v>
                </c:pt>
                <c:pt idx="1">
                  <c:v>8.1566595336700747</c:v>
                </c:pt>
                <c:pt idx="2">
                  <c:v>24.687032852794729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61-4E03-BC30-4733A8C1D129}"/>
            </c:ext>
          </c:extLst>
        </c:ser>
        <c:ser>
          <c:idx val="1"/>
          <c:order val="1"/>
          <c:tx>
            <c:strRef>
              <c:f>Feuil4!$A$6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Feuil4!$B$4:$D$4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Feuil4!$B$6:$D$6</c:f>
              <c:numCache>
                <c:formatCode>0.0</c:formatCode>
                <c:ptCount val="3"/>
                <c:pt idx="0">
                  <c:v>37.443326316632934</c:v>
                </c:pt>
                <c:pt idx="1">
                  <c:v>7.852429532571267</c:v>
                </c:pt>
                <c:pt idx="2">
                  <c:v>24.976185145582797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61-4E03-BC30-4733A8C1D129}"/>
            </c:ext>
          </c:extLst>
        </c:ser>
        <c:gapWidth val="219"/>
        <c:overlap val="-27"/>
        <c:axId val="98200576"/>
        <c:axId val="98231040"/>
      </c:barChart>
      <c:catAx>
        <c:axId val="98200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8231040"/>
        <c:crosses val="autoZero"/>
        <c:auto val="1"/>
        <c:lblAlgn val="ctr"/>
        <c:lblOffset val="100"/>
      </c:catAx>
      <c:valAx>
        <c:axId val="98231040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820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Feuil1!$D$4</c:f>
              <c:strCache>
                <c:ptCount val="1"/>
                <c:pt idx="0">
                  <c:v>Couverture des travailleurs par une assurance maladie liée à leur emploi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Feuil1!$C$5:$C$8</c:f>
              <c:strCache>
                <c:ptCount val="4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Feuil1!$D$5:$D$8</c:f>
              <c:numCache>
                <c:formatCode>0.0</c:formatCode>
                <c:ptCount val="4"/>
                <c:pt idx="0">
                  <c:v>4.5865442824775577</c:v>
                </c:pt>
                <c:pt idx="1">
                  <c:v>45.402581076279802</c:v>
                </c:pt>
                <c:pt idx="2">
                  <c:v>11.667853340905069</c:v>
                </c:pt>
                <c:pt idx="3">
                  <c:v>36.924464211581856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BC-43FC-B045-6D9AB4689670}"/>
            </c:ext>
          </c:extLst>
        </c:ser>
        <c:ser>
          <c:idx val="1"/>
          <c:order val="1"/>
          <c:tx>
            <c:strRef>
              <c:f>Feuil1!$E$4</c:f>
              <c:strCache>
                <c:ptCount val="1"/>
                <c:pt idx="0">
                  <c:v>La part des salariés disposant d'un contrat de travail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Feuil1!$C$5:$C$8</c:f>
              <c:strCache>
                <c:ptCount val="4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Feuil1!$E$5:$E$8</c:f>
              <c:numCache>
                <c:formatCode>0.0</c:formatCode>
                <c:ptCount val="4"/>
                <c:pt idx="0">
                  <c:v>16.923969573096027</c:v>
                </c:pt>
                <c:pt idx="1">
                  <c:v>59.075522437434472</c:v>
                </c:pt>
                <c:pt idx="2">
                  <c:v>17.777213509926028</c:v>
                </c:pt>
                <c:pt idx="3">
                  <c:v>56.569106577890274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BC-43FC-B045-6D9AB4689670}"/>
            </c:ext>
          </c:extLst>
        </c:ser>
        <c:gapWidth val="219"/>
        <c:overlap val="-27"/>
        <c:axId val="100452992"/>
        <c:axId val="100462976"/>
      </c:barChart>
      <c:catAx>
        <c:axId val="100452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0462976"/>
        <c:crosses val="autoZero"/>
        <c:auto val="1"/>
        <c:lblAlgn val="ctr"/>
        <c:lblOffset val="100"/>
      </c:catAx>
      <c:valAx>
        <c:axId val="10046297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0452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0.27278018372703444"/>
          <c:y val="7.1268768171655297E-2"/>
          <c:w val="0.6827753718285221"/>
          <c:h val="0.7985404349708819"/>
        </c:manualLayout>
      </c:layout>
      <c:barChart>
        <c:barDir val="bar"/>
        <c:grouping val="percentStacked"/>
        <c:ser>
          <c:idx val="0"/>
          <c:order val="0"/>
          <c:tx>
            <c:strRef>
              <c:f>Feuil1!$B$6</c:f>
              <c:strCache>
                <c:ptCount val="1"/>
                <c:pt idx="0">
                  <c:v>CDI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Ensemble</c:v>
                </c:pt>
              </c:strCache>
            </c:strRef>
          </c:cat>
          <c:val>
            <c:numRef>
              <c:f>Feuil1!$C$6:$F$6</c:f>
              <c:numCache>
                <c:formatCode>0.0</c:formatCode>
                <c:ptCount val="4"/>
                <c:pt idx="0">
                  <c:v>57.964912593689</c:v>
                </c:pt>
                <c:pt idx="1">
                  <c:v>22.217308162002851</c:v>
                </c:pt>
                <c:pt idx="2">
                  <c:v>10.32458014992582</c:v>
                </c:pt>
                <c:pt idx="3">
                  <c:v>26.233163993154431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11-407D-9682-AD116439B581}"/>
            </c:ext>
          </c:extLst>
        </c:ser>
        <c:ser>
          <c:idx val="1"/>
          <c:order val="1"/>
          <c:tx>
            <c:strRef>
              <c:f>Feuil1!$B$7</c:f>
              <c:strCache>
                <c:ptCount val="1"/>
                <c:pt idx="0">
                  <c:v>CDD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Ensemble</c:v>
                </c:pt>
              </c:strCache>
            </c:strRef>
          </c:cat>
          <c:val>
            <c:numRef>
              <c:f>Feuil1!$C$7:$F$7</c:f>
              <c:numCache>
                <c:formatCode>0.0</c:formatCode>
                <c:ptCount val="4"/>
                <c:pt idx="0">
                  <c:v>19.725479986764995</c:v>
                </c:pt>
                <c:pt idx="1">
                  <c:v>13.930839355160852</c:v>
                </c:pt>
                <c:pt idx="2">
                  <c:v>8.7667416757461503</c:v>
                </c:pt>
                <c:pt idx="3">
                  <c:v>13.246942362601303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11-407D-9682-AD116439B581}"/>
            </c:ext>
          </c:extLst>
        </c:ser>
        <c:ser>
          <c:idx val="2"/>
          <c:order val="2"/>
          <c:tx>
            <c:strRef>
              <c:f>Feuil1!$B$8</c:f>
              <c:strCache>
                <c:ptCount val="1"/>
                <c:pt idx="0">
                  <c:v>Contrat verbal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Ensemble</c:v>
                </c:pt>
              </c:strCache>
            </c:strRef>
          </c:cat>
          <c:val>
            <c:numRef>
              <c:f>Feuil1!$C$8:$F$8</c:f>
              <c:numCache>
                <c:formatCode>0.0</c:formatCode>
                <c:ptCount val="4"/>
                <c:pt idx="0">
                  <c:v>2.8591407399224393</c:v>
                </c:pt>
                <c:pt idx="1">
                  <c:v>6.7862932835911778</c:v>
                </c:pt>
                <c:pt idx="2">
                  <c:v>7.08169549237084</c:v>
                </c:pt>
                <c:pt idx="3">
                  <c:v>5.9308365997681509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11-407D-9682-AD116439B581}"/>
            </c:ext>
          </c:extLst>
        </c:ser>
        <c:ser>
          <c:idx val="3"/>
          <c:order val="3"/>
          <c:tx>
            <c:strRef>
              <c:f>Feuil1!$B$9</c:f>
              <c:strCache>
                <c:ptCount val="1"/>
                <c:pt idx="0">
                  <c:v>Aucun contrat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Feuil1!$C$5:$F$5</c:f>
              <c:strCache>
                <c:ptCount val="4"/>
                <c:pt idx="0">
                  <c:v>Diplôme supérieur</c:v>
                </c:pt>
                <c:pt idx="1">
                  <c:v>Diplôme moyen</c:v>
                </c:pt>
                <c:pt idx="2">
                  <c:v>Aucun diplôme</c:v>
                </c:pt>
                <c:pt idx="3">
                  <c:v>Ensemble</c:v>
                </c:pt>
              </c:strCache>
            </c:strRef>
          </c:cat>
          <c:val>
            <c:numRef>
              <c:f>Feuil1!$C$9:$F$9</c:f>
              <c:numCache>
                <c:formatCode>0.0</c:formatCode>
                <c:ptCount val="4"/>
                <c:pt idx="0">
                  <c:v>19.450466679623567</c:v>
                </c:pt>
                <c:pt idx="1">
                  <c:v>57.065559199243495</c:v>
                </c:pt>
                <c:pt idx="2">
                  <c:v>73.826982681956849</c:v>
                </c:pt>
                <c:pt idx="3">
                  <c:v>54.58905704447006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111-407D-9682-AD116439B581}"/>
            </c:ext>
          </c:extLst>
        </c:ser>
        <c:dLbls>
          <c:showVal val="1"/>
        </c:dLbls>
        <c:gapWidth val="79"/>
        <c:overlap val="100"/>
        <c:axId val="101779328"/>
        <c:axId val="101780864"/>
      </c:barChart>
      <c:catAx>
        <c:axId val="1017793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1780864"/>
        <c:crosses val="autoZero"/>
        <c:auto val="1"/>
        <c:lblAlgn val="ctr"/>
        <c:lblOffset val="100"/>
      </c:catAx>
      <c:valAx>
        <c:axId val="101780864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10177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5955271216097991"/>
          <c:y val="0.92031425364758779"/>
          <c:w val="0.57533902012248472"/>
          <c:h val="7.575810599432650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Feuil1!$T$3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Feuil1!$S$4:$S$11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Féminin</c:v>
                </c:pt>
                <c:pt idx="3">
                  <c:v>Masculin</c:v>
                </c:pt>
                <c:pt idx="4">
                  <c:v>25-34 ans</c:v>
                </c:pt>
                <c:pt idx="5">
                  <c:v>35-44 ans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Feuil1!$T$4:$T$11</c:f>
              <c:numCache>
                <c:formatCode>###0.0</c:formatCode>
                <c:ptCount val="8"/>
                <c:pt idx="0">
                  <c:v>10.1</c:v>
                </c:pt>
                <c:pt idx="1">
                  <c:v>11.6</c:v>
                </c:pt>
                <c:pt idx="2">
                  <c:v>6.4444876823636834</c:v>
                </c:pt>
                <c:pt idx="3">
                  <c:v>11.883334510937335</c:v>
                </c:pt>
                <c:pt idx="4">
                  <c:v>14.07743182675677</c:v>
                </c:pt>
                <c:pt idx="5">
                  <c:v>11.182518647210925</c:v>
                </c:pt>
                <c:pt idx="6">
                  <c:v>10.550222822570518</c:v>
                </c:pt>
                <c:pt idx="7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8E-4582-A374-9DD8F3094012}"/>
            </c:ext>
          </c:extLst>
        </c:ser>
        <c:ser>
          <c:idx val="1"/>
          <c:order val="1"/>
          <c:tx>
            <c:strRef>
              <c:f>Feuil1!$U$3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7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Feuil1!$S$4:$S$11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Féminin</c:v>
                </c:pt>
                <c:pt idx="3">
                  <c:v>Masculin</c:v>
                </c:pt>
                <c:pt idx="4">
                  <c:v>25-34 ans</c:v>
                </c:pt>
                <c:pt idx="5">
                  <c:v>35-44 ans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Feuil1!$U$4:$U$11</c:f>
              <c:numCache>
                <c:formatCode>###0.0</c:formatCode>
                <c:ptCount val="8"/>
                <c:pt idx="0">
                  <c:v>8.8000000000000007</c:v>
                </c:pt>
                <c:pt idx="1">
                  <c:v>10</c:v>
                </c:pt>
                <c:pt idx="2">
                  <c:v>5.2797620755057419</c:v>
                </c:pt>
                <c:pt idx="3">
                  <c:v>10.461155791467032</c:v>
                </c:pt>
                <c:pt idx="4">
                  <c:v>12.58087256030827</c:v>
                </c:pt>
                <c:pt idx="5">
                  <c:v>9.7193490155510922</c:v>
                </c:pt>
                <c:pt idx="6">
                  <c:v>8.9875972265695268</c:v>
                </c:pt>
                <c:pt idx="7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8E-4582-A374-9DD8F3094012}"/>
            </c:ext>
          </c:extLst>
        </c:ser>
        <c:dLbls>
          <c:showVal val="1"/>
        </c:dLbls>
        <c:axId val="101803136"/>
        <c:axId val="101804672"/>
      </c:barChart>
      <c:catAx>
        <c:axId val="101803136"/>
        <c:scaling>
          <c:orientation val="minMax"/>
        </c:scaling>
        <c:axPos val="b"/>
        <c:numFmt formatCode="General" sourceLinked="0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fr-FR"/>
          </a:p>
        </c:txPr>
        <c:crossAx val="101804672"/>
        <c:crosses val="autoZero"/>
        <c:auto val="1"/>
        <c:lblAlgn val="ctr"/>
        <c:lblOffset val="100"/>
      </c:catAx>
      <c:valAx>
        <c:axId val="101804672"/>
        <c:scaling>
          <c:orientation val="minMax"/>
        </c:scaling>
        <c:delete val="1"/>
        <c:axPos val="l"/>
        <c:numFmt formatCode="###0.0" sourceLinked="1"/>
        <c:tickLblPos val="none"/>
        <c:crossAx val="1018031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Feuil1!$C$38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Feuil1!$B$39:$B$42</c:f>
              <c:strCache>
                <c:ptCount val="4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Feuil1!$C$39:$C$42</c:f>
              <c:numCache>
                <c:formatCode>0.0</c:formatCode>
                <c:ptCount val="4"/>
                <c:pt idx="0">
                  <c:v>10.4</c:v>
                </c:pt>
                <c:pt idx="1">
                  <c:v>8.7000000000000011</c:v>
                </c:pt>
                <c:pt idx="2">
                  <c:v>19.600000000000001</c:v>
                </c:pt>
                <c:pt idx="3">
                  <c:v>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F5-4AAA-A5FC-63FEBD7155CE}"/>
            </c:ext>
          </c:extLst>
        </c:ser>
        <c:ser>
          <c:idx val="1"/>
          <c:order val="1"/>
          <c:tx>
            <c:strRef>
              <c:f>Feuil1!$D$38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Feuil1!$B$39:$B$42</c:f>
              <c:strCache>
                <c:ptCount val="4"/>
                <c:pt idx="0">
                  <c:v>Agriculture, forêt et pêche</c:v>
                </c:pt>
                <c:pt idx="1">
                  <c:v>Industrie 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Feuil1!$D$39:$D$42</c:f>
              <c:numCache>
                <c:formatCode>0.0</c:formatCode>
                <c:ptCount val="4"/>
                <c:pt idx="0">
                  <c:v>9.2000000000000011</c:v>
                </c:pt>
                <c:pt idx="1">
                  <c:v>6.5</c:v>
                </c:pt>
                <c:pt idx="2">
                  <c:v>17.8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F5-4AAA-A5FC-63FEBD7155CE}"/>
            </c:ext>
          </c:extLst>
        </c:ser>
        <c:gapWidth val="219"/>
        <c:overlap val="-27"/>
        <c:axId val="101864192"/>
        <c:axId val="101865728"/>
      </c:barChart>
      <c:catAx>
        <c:axId val="101864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1865728"/>
        <c:crosses val="autoZero"/>
        <c:auto val="1"/>
        <c:lblAlgn val="ctr"/>
        <c:lblOffset val="100"/>
      </c:catAx>
      <c:valAx>
        <c:axId val="10186572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186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60E1-7FAB-4724-9716-7B3885FA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HCP</cp:lastModifiedBy>
  <cp:revision>5</cp:revision>
  <cp:lastPrinted>2022-02-28T10:46:00Z</cp:lastPrinted>
  <dcterms:created xsi:type="dcterms:W3CDTF">2022-02-28T13:06:00Z</dcterms:created>
  <dcterms:modified xsi:type="dcterms:W3CDTF">2022-02-28T20:57:00Z</dcterms:modified>
</cp:coreProperties>
</file>