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F61F16" w:rsidRDefault="00F61F16" w:rsidP="002959F6">
      <w:pPr>
        <w:rPr>
          <w:rFonts w:ascii="Arial" w:hAnsi="Arial" w:cs="Arial"/>
          <w:lang w:bidi="ar-MA"/>
        </w:rPr>
      </w:pPr>
    </w:p>
    <w:p w:rsidR="00F61F16" w:rsidRDefault="00F61F16" w:rsidP="002959F6">
      <w:pPr>
        <w:rPr>
          <w:rFonts w:ascii="Arial" w:hAnsi="Arial" w:cs="Arial"/>
          <w:lang w:bidi="ar-MA"/>
        </w:rPr>
      </w:pPr>
    </w:p>
    <w:p w:rsidR="00F61F16" w:rsidRDefault="00F61F16" w:rsidP="002959F6">
      <w:pPr>
        <w:rPr>
          <w:rFonts w:ascii="Arial" w:hAnsi="Arial" w:cs="Arial"/>
          <w:lang w:bidi="ar-MA"/>
        </w:rPr>
      </w:pPr>
    </w:p>
    <w:p w:rsidR="00F61F16" w:rsidRDefault="00F61F16" w:rsidP="002959F6">
      <w:pPr>
        <w:rPr>
          <w:rFonts w:ascii="Arial" w:hAnsi="Arial" w:cs="Arial"/>
          <w:lang w:bidi="ar-MA"/>
        </w:rPr>
      </w:pPr>
    </w:p>
    <w:p w:rsidR="00F41B85" w:rsidRPr="00F41B85" w:rsidRDefault="00F41B85" w:rsidP="00AD486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Communiqué du</w:t>
      </w:r>
      <w:r w:rsidR="002C7865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1664EC"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</w:t>
      </w:r>
      <w:r w:rsidR="0037581D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-</w:t>
      </w:r>
      <w:r w:rsidR="001664EC"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Commissariat</w:t>
      </w:r>
      <w:r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au Plan </w:t>
      </w:r>
    </w:p>
    <w:p w:rsidR="00F41B85" w:rsidRPr="00F41B85" w:rsidRDefault="00F41B85" w:rsidP="00AD486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F41B85" w:rsidRPr="00F41B85" w:rsidRDefault="00F41B85" w:rsidP="005B518E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Mise en place des nouveaux indices d</w:t>
      </w:r>
      <w:r w:rsidR="005B518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5B518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c</w:t>
      </w:r>
      <w:r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ommerce extérieur </w:t>
      </w:r>
    </w:p>
    <w:p w:rsidR="00F41B85" w:rsidRPr="00F41B85" w:rsidRDefault="00F41B85" w:rsidP="00AD486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F41B85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(Base 100 : 2019)</w:t>
      </w:r>
    </w:p>
    <w:p w:rsidR="001C4279" w:rsidRDefault="001C4279" w:rsidP="00754A9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5200F5" w:rsidRDefault="005200F5" w:rsidP="00754A9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5200F5" w:rsidRDefault="005200F5" w:rsidP="00754A9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F41B85" w:rsidRPr="00F41B85" w:rsidRDefault="00F41B85" w:rsidP="001664EC">
      <w:pPr>
        <w:tabs>
          <w:tab w:val="left" w:pos="-720"/>
          <w:tab w:val="left" w:pos="720"/>
          <w:tab w:val="left" w:pos="9000"/>
        </w:tabs>
        <w:spacing w:line="48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F41B85">
        <w:rPr>
          <w:rFonts w:ascii="Arial" w:hAnsi="Arial" w:cs="Arial"/>
          <w:lang w:bidi="ar-MA"/>
        </w:rPr>
        <w:t xml:space="preserve">Le </w:t>
      </w:r>
      <w:r w:rsidR="00AC198B" w:rsidRPr="00F41B85">
        <w:rPr>
          <w:rFonts w:ascii="Arial" w:hAnsi="Arial" w:cs="Arial"/>
          <w:lang w:bidi="ar-MA"/>
        </w:rPr>
        <w:t>Haut</w:t>
      </w:r>
      <w:r w:rsidR="0037581D">
        <w:rPr>
          <w:rFonts w:ascii="Arial" w:hAnsi="Arial" w:cs="Arial"/>
          <w:lang w:bidi="ar-MA"/>
        </w:rPr>
        <w:t>-</w:t>
      </w:r>
      <w:r w:rsidR="00AC198B" w:rsidRPr="00F41B85">
        <w:rPr>
          <w:rFonts w:ascii="Arial" w:hAnsi="Arial" w:cs="Arial"/>
          <w:lang w:bidi="ar-MA"/>
        </w:rPr>
        <w:t>Commissariat</w:t>
      </w:r>
      <w:r w:rsidRPr="00F41B85">
        <w:rPr>
          <w:rFonts w:ascii="Arial" w:hAnsi="Arial" w:cs="Arial"/>
          <w:lang w:bidi="ar-MA"/>
        </w:rPr>
        <w:t xml:space="preserve"> au Plan informe les utilisateurs des indices statistiques qu’il a adopté</w:t>
      </w:r>
      <w:r w:rsidR="009304C5">
        <w:rPr>
          <w:rFonts w:ascii="Arial" w:hAnsi="Arial" w:cs="Arial"/>
          <w:lang w:bidi="ar-MA"/>
        </w:rPr>
        <w:t xml:space="preserve"> l’année 2019</w:t>
      </w:r>
      <w:r w:rsidR="002C7865">
        <w:rPr>
          <w:rFonts w:ascii="Arial" w:hAnsi="Arial" w:cs="Arial"/>
          <w:lang w:bidi="ar-MA"/>
        </w:rPr>
        <w:t xml:space="preserve">, au lieu de 2012, </w:t>
      </w:r>
      <w:r w:rsidR="009304C5">
        <w:rPr>
          <w:rFonts w:ascii="Arial" w:hAnsi="Arial" w:cs="Arial"/>
          <w:lang w:bidi="ar-MA"/>
        </w:rPr>
        <w:t>comme</w:t>
      </w:r>
      <w:r w:rsidR="002C7865">
        <w:rPr>
          <w:rFonts w:ascii="Arial" w:hAnsi="Arial" w:cs="Arial" w:hint="cs"/>
          <w:rtl/>
          <w:lang w:bidi="ar-MA"/>
        </w:rPr>
        <w:t xml:space="preserve"> </w:t>
      </w:r>
      <w:r w:rsidR="00AC198B">
        <w:rPr>
          <w:rFonts w:ascii="Arial" w:hAnsi="Arial" w:cs="Arial"/>
          <w:lang w:bidi="ar-MA"/>
        </w:rPr>
        <w:t xml:space="preserve">nouvelle </w:t>
      </w:r>
      <w:r w:rsidRPr="00F41B85">
        <w:rPr>
          <w:rFonts w:ascii="Arial" w:hAnsi="Arial" w:cs="Arial"/>
          <w:lang w:bidi="ar-MA"/>
        </w:rPr>
        <w:t xml:space="preserve">année </w:t>
      </w:r>
      <w:r w:rsidR="009304C5">
        <w:rPr>
          <w:rFonts w:ascii="Arial" w:hAnsi="Arial" w:cs="Arial"/>
          <w:lang w:bidi="ar-MA"/>
        </w:rPr>
        <w:t xml:space="preserve">de base </w:t>
      </w:r>
      <w:r w:rsidR="00AC198B" w:rsidRPr="00F41B85">
        <w:rPr>
          <w:rFonts w:ascii="Arial" w:hAnsi="Arial" w:cs="Arial"/>
          <w:lang w:bidi="ar-MA"/>
        </w:rPr>
        <w:t>pour</w:t>
      </w:r>
      <w:r w:rsidR="00AC198B">
        <w:rPr>
          <w:rFonts w:ascii="Arial" w:hAnsi="Arial" w:cs="Arial"/>
          <w:lang w:bidi="ar-MA"/>
        </w:rPr>
        <w:t xml:space="preserve"> l</w:t>
      </w:r>
      <w:r w:rsidR="008924B7">
        <w:rPr>
          <w:rFonts w:ascii="Arial" w:hAnsi="Arial" w:cs="Arial"/>
          <w:lang w:bidi="ar-MA"/>
        </w:rPr>
        <w:t>es indices du commerce e</w:t>
      </w:r>
      <w:r w:rsidRPr="00F41B85">
        <w:rPr>
          <w:rFonts w:ascii="Arial" w:hAnsi="Arial" w:cs="Arial"/>
          <w:lang w:bidi="ar-MA"/>
        </w:rPr>
        <w:t xml:space="preserve">xtérieur.    </w:t>
      </w:r>
    </w:p>
    <w:p w:rsidR="00F41B85" w:rsidRPr="00F41B85" w:rsidRDefault="00F41B85" w:rsidP="00F41B85">
      <w:pPr>
        <w:tabs>
          <w:tab w:val="left" w:pos="-720"/>
          <w:tab w:val="left" w:pos="720"/>
          <w:tab w:val="left" w:pos="9000"/>
        </w:tabs>
        <w:spacing w:line="480" w:lineRule="auto"/>
        <w:ind w:right="74"/>
        <w:jc w:val="lowKashida"/>
        <w:rPr>
          <w:rFonts w:ascii="Arial" w:hAnsi="Arial" w:cs="Arial"/>
          <w:lang w:bidi="ar-MA"/>
        </w:rPr>
      </w:pPr>
    </w:p>
    <w:p w:rsidR="00F41B85" w:rsidRPr="00F41B85" w:rsidRDefault="00F41B85" w:rsidP="00E76FBA">
      <w:pPr>
        <w:tabs>
          <w:tab w:val="left" w:pos="-720"/>
          <w:tab w:val="left" w:pos="720"/>
          <w:tab w:val="left" w:pos="9000"/>
        </w:tabs>
        <w:spacing w:line="48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74940">
        <w:rPr>
          <w:rFonts w:ascii="Arial" w:hAnsi="Arial" w:cs="Arial"/>
          <w:lang w:bidi="ar-MA"/>
        </w:rPr>
        <w:t>La</w:t>
      </w:r>
      <w:r w:rsidRPr="00F41B85">
        <w:rPr>
          <w:rFonts w:ascii="Arial" w:hAnsi="Arial" w:cs="Arial"/>
          <w:lang w:bidi="ar-MA"/>
        </w:rPr>
        <w:t xml:space="preserve"> nouvelle série de</w:t>
      </w:r>
      <w:r w:rsidR="003F2789">
        <w:rPr>
          <w:rFonts w:ascii="Arial" w:hAnsi="Arial" w:cs="Arial"/>
          <w:lang w:bidi="ar-MA"/>
        </w:rPr>
        <w:t>s indices du commerce extérieur</w:t>
      </w:r>
      <w:r w:rsidRPr="00F41B85">
        <w:rPr>
          <w:rFonts w:ascii="Arial" w:hAnsi="Arial" w:cs="Arial"/>
          <w:lang w:bidi="ar-MA"/>
        </w:rPr>
        <w:t xml:space="preserve"> a connu</w:t>
      </w:r>
      <w:r w:rsidR="00DC42CB">
        <w:rPr>
          <w:rFonts w:ascii="Arial" w:hAnsi="Arial" w:cs="Arial"/>
          <w:lang w:bidi="ar-MA"/>
        </w:rPr>
        <w:t xml:space="preserve"> en plus d</w:t>
      </w:r>
      <w:r w:rsidR="003F2789">
        <w:rPr>
          <w:rFonts w:ascii="Arial" w:hAnsi="Arial" w:cs="Arial"/>
          <w:lang w:bidi="ar-MA"/>
        </w:rPr>
        <w:t>u</w:t>
      </w:r>
      <w:r w:rsidR="002C7865">
        <w:rPr>
          <w:rFonts w:ascii="Arial" w:hAnsi="Arial" w:cs="Arial"/>
          <w:lang w:bidi="ar-MA"/>
        </w:rPr>
        <w:t xml:space="preserve"> </w:t>
      </w:r>
      <w:r w:rsidR="003F2789">
        <w:rPr>
          <w:rFonts w:ascii="Arial" w:hAnsi="Arial" w:cs="Arial"/>
          <w:lang w:bidi="ar-MA"/>
        </w:rPr>
        <w:t>changement</w:t>
      </w:r>
      <w:r w:rsidRPr="00F41B85">
        <w:rPr>
          <w:rFonts w:ascii="Arial" w:hAnsi="Arial" w:cs="Arial"/>
          <w:lang w:bidi="ar-MA"/>
        </w:rPr>
        <w:t xml:space="preserve"> de l’année de base, la</w:t>
      </w:r>
      <w:r w:rsidR="009304C5">
        <w:rPr>
          <w:rFonts w:ascii="Arial" w:hAnsi="Arial" w:cs="Arial"/>
          <w:lang w:bidi="ar-MA"/>
        </w:rPr>
        <w:t xml:space="preserve"> prise en compte de </w:t>
      </w:r>
      <w:r w:rsidR="003F2789">
        <w:rPr>
          <w:rFonts w:ascii="Arial" w:hAnsi="Arial" w:cs="Arial"/>
          <w:lang w:bidi="ar-MA"/>
        </w:rPr>
        <w:t>la</w:t>
      </w:r>
      <w:r w:rsidR="002C7865">
        <w:rPr>
          <w:rFonts w:ascii="Arial" w:hAnsi="Arial" w:cs="Arial"/>
          <w:lang w:bidi="ar-MA"/>
        </w:rPr>
        <w:t xml:space="preserve"> </w:t>
      </w:r>
      <w:r w:rsidRPr="00F41B85">
        <w:rPr>
          <w:rFonts w:ascii="Arial" w:hAnsi="Arial" w:cs="Arial"/>
          <w:lang w:bidi="ar-MA"/>
        </w:rPr>
        <w:t xml:space="preserve">structure </w:t>
      </w:r>
      <w:r w:rsidR="003F2789">
        <w:rPr>
          <w:rFonts w:ascii="Arial" w:hAnsi="Arial" w:cs="Arial"/>
          <w:lang w:bidi="ar-MA"/>
        </w:rPr>
        <w:t xml:space="preserve">actuelle </w:t>
      </w:r>
      <w:r w:rsidRPr="00F41B85">
        <w:rPr>
          <w:rFonts w:ascii="Arial" w:hAnsi="Arial" w:cs="Arial"/>
          <w:lang w:bidi="ar-MA"/>
        </w:rPr>
        <w:t xml:space="preserve">des </w:t>
      </w:r>
      <w:r w:rsidR="009304C5">
        <w:rPr>
          <w:rFonts w:ascii="Arial" w:hAnsi="Arial" w:cs="Arial"/>
          <w:lang w:bidi="ar-MA"/>
        </w:rPr>
        <w:t xml:space="preserve">échanges extérieurs </w:t>
      </w:r>
      <w:r w:rsidR="009304C5" w:rsidRPr="00F41B85">
        <w:rPr>
          <w:rFonts w:ascii="Arial" w:hAnsi="Arial" w:cs="Arial"/>
          <w:lang w:bidi="ar-MA"/>
        </w:rPr>
        <w:t>et</w:t>
      </w:r>
      <w:r w:rsidRPr="00F41B85">
        <w:rPr>
          <w:rFonts w:ascii="Arial" w:hAnsi="Arial" w:cs="Arial"/>
          <w:lang w:bidi="ar-MA"/>
        </w:rPr>
        <w:t xml:space="preserve"> l’amélioration de la méthode de calcul.</w:t>
      </w:r>
      <w:r w:rsidR="002C7865">
        <w:rPr>
          <w:rFonts w:ascii="Arial" w:hAnsi="Arial" w:cs="Arial"/>
          <w:lang w:bidi="ar-MA"/>
        </w:rPr>
        <w:t xml:space="preserve"> </w:t>
      </w:r>
      <w:r w:rsidR="00E76FBA">
        <w:rPr>
          <w:rFonts w:ascii="Arial" w:hAnsi="Arial" w:cs="Arial"/>
          <w:lang w:bidi="ar-MA"/>
        </w:rPr>
        <w:t>L</w:t>
      </w:r>
      <w:r w:rsidRPr="00F41B85">
        <w:rPr>
          <w:rFonts w:ascii="Arial" w:hAnsi="Arial" w:cs="Arial"/>
          <w:lang w:bidi="ar-MA"/>
        </w:rPr>
        <w:t>es</w:t>
      </w:r>
      <w:r w:rsidR="00E76FBA">
        <w:rPr>
          <w:rFonts w:ascii="Arial" w:hAnsi="Arial" w:cs="Arial"/>
          <w:lang w:bidi="ar-MA"/>
        </w:rPr>
        <w:t xml:space="preserve"> nouveaux</w:t>
      </w:r>
      <w:r w:rsidRPr="00F41B85">
        <w:rPr>
          <w:rFonts w:ascii="Arial" w:hAnsi="Arial" w:cs="Arial"/>
          <w:lang w:bidi="ar-MA"/>
        </w:rPr>
        <w:t xml:space="preserve"> indices sont calculés selon les</w:t>
      </w:r>
      <w:r w:rsidR="002C7865">
        <w:rPr>
          <w:rFonts w:ascii="Arial" w:hAnsi="Arial" w:cs="Arial"/>
          <w:lang w:bidi="ar-MA"/>
        </w:rPr>
        <w:t xml:space="preserve"> </w:t>
      </w:r>
      <w:r w:rsidR="00E76FBA">
        <w:rPr>
          <w:rFonts w:ascii="Arial" w:hAnsi="Arial" w:cs="Arial"/>
          <w:lang w:bidi="ar-MA"/>
        </w:rPr>
        <w:t xml:space="preserve">dernières </w:t>
      </w:r>
      <w:r w:rsidR="003F2789" w:rsidRPr="00F41B85">
        <w:rPr>
          <w:rFonts w:ascii="Arial" w:hAnsi="Arial" w:cs="Arial"/>
          <w:lang w:bidi="ar-MA"/>
        </w:rPr>
        <w:t>recommandations</w:t>
      </w:r>
      <w:r w:rsidR="003F2789">
        <w:rPr>
          <w:rFonts w:ascii="Arial" w:hAnsi="Arial" w:cs="Arial"/>
          <w:lang w:bidi="ar-MA"/>
        </w:rPr>
        <w:t xml:space="preserve"> et</w:t>
      </w:r>
      <w:r w:rsidR="002C7865">
        <w:rPr>
          <w:rFonts w:ascii="Arial" w:hAnsi="Arial" w:cs="Arial"/>
          <w:lang w:bidi="ar-MA"/>
        </w:rPr>
        <w:t xml:space="preserve"> </w:t>
      </w:r>
      <w:r w:rsidR="003F2789">
        <w:rPr>
          <w:rFonts w:ascii="Arial" w:hAnsi="Arial" w:cs="Arial"/>
          <w:lang w:bidi="ar-MA"/>
        </w:rPr>
        <w:t xml:space="preserve">pratique </w:t>
      </w:r>
      <w:r w:rsidR="00557AB2">
        <w:rPr>
          <w:rFonts w:ascii="Arial" w:hAnsi="Arial" w:cs="Arial"/>
          <w:lang w:bidi="ar-MA"/>
        </w:rPr>
        <w:t>internationale</w:t>
      </w:r>
      <w:r w:rsidRPr="00F41B85">
        <w:rPr>
          <w:rFonts w:ascii="Arial" w:hAnsi="Arial" w:cs="Arial"/>
          <w:lang w:bidi="ar-MA"/>
        </w:rPr>
        <w:t xml:space="preserve">. </w:t>
      </w:r>
    </w:p>
    <w:p w:rsidR="00F41B85" w:rsidRPr="00F41B85" w:rsidRDefault="00F41B85" w:rsidP="00F41B85">
      <w:pPr>
        <w:tabs>
          <w:tab w:val="left" w:pos="-720"/>
          <w:tab w:val="left" w:pos="720"/>
          <w:tab w:val="left" w:pos="9000"/>
        </w:tabs>
        <w:spacing w:line="480" w:lineRule="auto"/>
        <w:ind w:right="74"/>
        <w:jc w:val="lowKashida"/>
        <w:rPr>
          <w:rFonts w:ascii="Arial" w:hAnsi="Arial" w:cs="Arial"/>
          <w:lang w:bidi="ar-MA"/>
        </w:rPr>
      </w:pPr>
    </w:p>
    <w:p w:rsidR="001C4279" w:rsidRPr="00557AB2" w:rsidRDefault="00F41B85" w:rsidP="00B61F4B">
      <w:pPr>
        <w:tabs>
          <w:tab w:val="left" w:pos="-720"/>
          <w:tab w:val="left" w:pos="720"/>
          <w:tab w:val="left" w:pos="9000"/>
        </w:tabs>
        <w:spacing w:line="480" w:lineRule="auto"/>
        <w:ind w:right="74"/>
        <w:jc w:val="both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557AB2" w:rsidRPr="00557AB2">
        <w:rPr>
          <w:rFonts w:ascii="Arial" w:hAnsi="Arial" w:cs="Arial"/>
          <w:lang w:bidi="ar-MA"/>
        </w:rPr>
        <w:t>Enfin, il est à signaler que le</w:t>
      </w:r>
      <w:r w:rsidR="005200F5">
        <w:rPr>
          <w:rFonts w:ascii="Arial" w:hAnsi="Arial" w:cs="Arial"/>
          <w:lang w:bidi="ar-MA"/>
        </w:rPr>
        <w:t xml:space="preserve"> HCP procèdera à la publication</w:t>
      </w:r>
      <w:r w:rsidR="005200F5" w:rsidRPr="00557AB2">
        <w:rPr>
          <w:rFonts w:ascii="Arial" w:hAnsi="Arial" w:cs="Arial"/>
          <w:lang w:bidi="ar-MA"/>
        </w:rPr>
        <w:t xml:space="preserve"> de cette</w:t>
      </w:r>
      <w:r w:rsidR="005200F5">
        <w:rPr>
          <w:rFonts w:ascii="Arial" w:hAnsi="Arial" w:cs="Arial"/>
          <w:lang w:bidi="ar-MA"/>
        </w:rPr>
        <w:t xml:space="preserve"> </w:t>
      </w:r>
      <w:r w:rsidR="002C7865">
        <w:rPr>
          <w:rFonts w:ascii="Arial" w:hAnsi="Arial" w:cs="Arial"/>
          <w:lang w:bidi="ar-MA"/>
        </w:rPr>
        <w:t>nouvelle série des</w:t>
      </w:r>
      <w:r w:rsidR="005200F5">
        <w:rPr>
          <w:rFonts w:ascii="Arial" w:hAnsi="Arial" w:cs="Arial"/>
          <w:lang w:bidi="ar-MA"/>
        </w:rPr>
        <w:t xml:space="preserve"> indices </w:t>
      </w:r>
      <w:r w:rsidR="002C7865">
        <w:rPr>
          <w:rFonts w:ascii="Arial" w:hAnsi="Arial" w:cs="Arial"/>
          <w:lang w:bidi="ar-MA"/>
        </w:rPr>
        <w:t xml:space="preserve">du commerce extérieur </w:t>
      </w:r>
      <w:r w:rsidR="00557AB2" w:rsidRPr="00557AB2">
        <w:rPr>
          <w:rFonts w:ascii="Arial" w:hAnsi="Arial" w:cs="Arial"/>
          <w:lang w:bidi="ar-MA"/>
        </w:rPr>
        <w:t>sur</w:t>
      </w:r>
      <w:r w:rsidR="002C7865">
        <w:rPr>
          <w:rFonts w:ascii="Arial" w:hAnsi="Arial" w:cs="Arial"/>
          <w:lang w:bidi="ar-MA"/>
        </w:rPr>
        <w:t xml:space="preserve"> </w:t>
      </w:r>
      <w:r w:rsidR="00557AB2" w:rsidRPr="00557AB2">
        <w:rPr>
          <w:rFonts w:ascii="Arial" w:hAnsi="Arial" w:cs="Arial"/>
          <w:lang w:bidi="ar-MA"/>
        </w:rPr>
        <w:t>son site web</w:t>
      </w:r>
      <w:r w:rsidR="005200F5">
        <w:rPr>
          <w:rFonts w:ascii="Arial" w:hAnsi="Arial" w:cs="Arial"/>
          <w:lang w:bidi="ar-MA"/>
        </w:rPr>
        <w:t xml:space="preserve"> institutionnel</w:t>
      </w:r>
      <w:r w:rsidR="00557AB2">
        <w:rPr>
          <w:rFonts w:ascii="Arial" w:hAnsi="Arial" w:cs="Arial"/>
          <w:lang w:bidi="ar-MA"/>
        </w:rPr>
        <w:t>.</w:t>
      </w:r>
    </w:p>
    <w:p w:rsidR="002959F6" w:rsidRDefault="002959F6" w:rsidP="00754A9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F41B85" w:rsidRPr="00754A99" w:rsidRDefault="00F41B85" w:rsidP="00754A9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54A99" w:rsidRDefault="00754A99" w:rsidP="00F41B8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lang w:bidi="ar-MA"/>
        </w:rPr>
        <w:tab/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sectPr w:rsidR="002959F6" w:rsidRPr="004671FE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31B" w:rsidRDefault="0056631B">
      <w:r>
        <w:separator/>
      </w:r>
    </w:p>
  </w:endnote>
  <w:endnote w:type="continuationSeparator" w:id="0">
    <w:p w:rsidR="0056631B" w:rsidRDefault="0056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917A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1917A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41B8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E72CA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917A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31B" w:rsidRDefault="0056631B">
      <w:r>
        <w:separator/>
      </w:r>
    </w:p>
  </w:footnote>
  <w:footnote w:type="continuationSeparator" w:id="0">
    <w:p w:rsidR="0056631B" w:rsidRDefault="00566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66FA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64EC"/>
    <w:rsid w:val="00173DF2"/>
    <w:rsid w:val="001744A2"/>
    <w:rsid w:val="00174719"/>
    <w:rsid w:val="00176CC0"/>
    <w:rsid w:val="00177EC0"/>
    <w:rsid w:val="00181EFF"/>
    <w:rsid w:val="001917A5"/>
    <w:rsid w:val="001A1A9C"/>
    <w:rsid w:val="001A282E"/>
    <w:rsid w:val="001A7093"/>
    <w:rsid w:val="001B4AB1"/>
    <w:rsid w:val="001C3920"/>
    <w:rsid w:val="001C4279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0AC"/>
    <w:rsid w:val="002139B6"/>
    <w:rsid w:val="00220DF6"/>
    <w:rsid w:val="0022299E"/>
    <w:rsid w:val="0022597E"/>
    <w:rsid w:val="0023043F"/>
    <w:rsid w:val="002316A6"/>
    <w:rsid w:val="00241A0F"/>
    <w:rsid w:val="00242A5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C7865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34D6"/>
    <w:rsid w:val="00314191"/>
    <w:rsid w:val="00314C36"/>
    <w:rsid w:val="003151E9"/>
    <w:rsid w:val="00316A57"/>
    <w:rsid w:val="0031735D"/>
    <w:rsid w:val="003243B5"/>
    <w:rsid w:val="00326824"/>
    <w:rsid w:val="00327972"/>
    <w:rsid w:val="0033319E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581D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789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668B9"/>
    <w:rsid w:val="0047170E"/>
    <w:rsid w:val="004744FF"/>
    <w:rsid w:val="0047692D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00F5"/>
    <w:rsid w:val="0052635A"/>
    <w:rsid w:val="00537897"/>
    <w:rsid w:val="00541C46"/>
    <w:rsid w:val="00542043"/>
    <w:rsid w:val="00542E3A"/>
    <w:rsid w:val="00546F51"/>
    <w:rsid w:val="00547ECD"/>
    <w:rsid w:val="00550169"/>
    <w:rsid w:val="005549EE"/>
    <w:rsid w:val="00557AB2"/>
    <w:rsid w:val="00564AE3"/>
    <w:rsid w:val="0056631B"/>
    <w:rsid w:val="0057148E"/>
    <w:rsid w:val="00571918"/>
    <w:rsid w:val="00571A40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B518E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4E93"/>
    <w:rsid w:val="00604836"/>
    <w:rsid w:val="00610ADF"/>
    <w:rsid w:val="00611B94"/>
    <w:rsid w:val="00613BEE"/>
    <w:rsid w:val="0061442D"/>
    <w:rsid w:val="00621F5D"/>
    <w:rsid w:val="00625015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2E6F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4A99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77493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3F4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2558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24B7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4C5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46B5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E72CA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B"/>
    <w:rsid w:val="00AC198C"/>
    <w:rsid w:val="00AC3133"/>
    <w:rsid w:val="00AC3EF4"/>
    <w:rsid w:val="00AC44F5"/>
    <w:rsid w:val="00AC5B9D"/>
    <w:rsid w:val="00AD3FE4"/>
    <w:rsid w:val="00AD486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1F4B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1BED"/>
    <w:rsid w:val="00C02BDF"/>
    <w:rsid w:val="00C03E14"/>
    <w:rsid w:val="00C10731"/>
    <w:rsid w:val="00C10BDD"/>
    <w:rsid w:val="00C14DCE"/>
    <w:rsid w:val="00C22DD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36BA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4940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C42CB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76FBA"/>
    <w:rsid w:val="00E81203"/>
    <w:rsid w:val="00E81537"/>
    <w:rsid w:val="00E82E2E"/>
    <w:rsid w:val="00E84D02"/>
    <w:rsid w:val="00E85B18"/>
    <w:rsid w:val="00E86900"/>
    <w:rsid w:val="00E87FAC"/>
    <w:rsid w:val="00E900D7"/>
    <w:rsid w:val="00E947A6"/>
    <w:rsid w:val="00E96DAD"/>
    <w:rsid w:val="00E9733C"/>
    <w:rsid w:val="00EA5644"/>
    <w:rsid w:val="00EA6936"/>
    <w:rsid w:val="00EB1FC5"/>
    <w:rsid w:val="00EB537F"/>
    <w:rsid w:val="00EB5AC5"/>
    <w:rsid w:val="00EB5EAA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3710F"/>
    <w:rsid w:val="00F41B85"/>
    <w:rsid w:val="00F4704E"/>
    <w:rsid w:val="00F51740"/>
    <w:rsid w:val="00F52F2E"/>
    <w:rsid w:val="00F549CF"/>
    <w:rsid w:val="00F566E9"/>
    <w:rsid w:val="00F60675"/>
    <w:rsid w:val="00F61F16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22</cp:revision>
  <cp:lastPrinted>2022-06-30T12:19:00Z</cp:lastPrinted>
  <dcterms:created xsi:type="dcterms:W3CDTF">2022-06-23T12:22:00Z</dcterms:created>
  <dcterms:modified xsi:type="dcterms:W3CDTF">2022-07-12T00:18:00Z</dcterms:modified>
</cp:coreProperties>
</file>