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7A" w:rsidRPr="00DE0D3B" w:rsidRDefault="00941F7A" w:rsidP="00941F7A">
      <w:pPr>
        <w:jc w:val="center"/>
        <w:rPr>
          <w:b/>
          <w:bCs/>
          <w:sz w:val="28"/>
          <w:szCs w:val="28"/>
        </w:rPr>
      </w:pPr>
      <w:r w:rsidRPr="00DE0D3B">
        <w:rPr>
          <w:b/>
          <w:bCs/>
          <w:sz w:val="28"/>
          <w:szCs w:val="28"/>
        </w:rPr>
        <w:t>INDICES DU COMMERCE EXTERIEUR</w:t>
      </w:r>
    </w:p>
    <w:p w:rsidR="00941F7A" w:rsidRPr="00DE0D3B" w:rsidRDefault="00941F7A" w:rsidP="00EE7335">
      <w:pPr>
        <w:jc w:val="center"/>
        <w:rPr>
          <w:b/>
          <w:bCs/>
          <w:sz w:val="28"/>
          <w:szCs w:val="28"/>
        </w:rPr>
      </w:pPr>
      <w:r w:rsidRPr="00DE0D3B">
        <w:rPr>
          <w:b/>
          <w:bCs/>
          <w:sz w:val="28"/>
          <w:szCs w:val="28"/>
        </w:rPr>
        <w:t>(Base 100 : 201</w:t>
      </w:r>
      <w:r w:rsidR="00EE7335" w:rsidRPr="00DE0D3B">
        <w:rPr>
          <w:b/>
          <w:bCs/>
          <w:sz w:val="28"/>
          <w:szCs w:val="28"/>
        </w:rPr>
        <w:t>9</w:t>
      </w:r>
      <w:r w:rsidRPr="00DE0D3B">
        <w:rPr>
          <w:b/>
          <w:bCs/>
          <w:sz w:val="28"/>
          <w:szCs w:val="28"/>
        </w:rPr>
        <w:t>)</w:t>
      </w:r>
    </w:p>
    <w:p w:rsidR="00941F7A" w:rsidRPr="00DE0D3B" w:rsidRDefault="00941F7A" w:rsidP="00941F7A">
      <w:pPr>
        <w:jc w:val="center"/>
        <w:rPr>
          <w:sz w:val="24"/>
          <w:szCs w:val="24"/>
        </w:rPr>
      </w:pPr>
    </w:p>
    <w:p w:rsidR="00941F7A" w:rsidRPr="00A63CB0" w:rsidRDefault="00941F7A" w:rsidP="00941F7A">
      <w:pPr>
        <w:jc w:val="center"/>
        <w:rPr>
          <w:rFonts w:ascii="Calibri" w:eastAsia="Calibri" w:hAnsi="Calibri" w:cs="Arial"/>
          <w:b/>
          <w:bCs/>
          <w:sz w:val="26"/>
          <w:szCs w:val="26"/>
          <w:u w:val="single"/>
          <w:lang w:eastAsia="en-US"/>
        </w:rPr>
      </w:pPr>
    </w:p>
    <w:p w:rsidR="00941F7A" w:rsidRPr="00DE0D3B" w:rsidRDefault="00941F7A" w:rsidP="00DE0D3B">
      <w:pPr>
        <w:rPr>
          <w:b/>
          <w:bCs/>
          <w:sz w:val="24"/>
          <w:szCs w:val="24"/>
        </w:rPr>
      </w:pPr>
      <w:r w:rsidRPr="00DE0D3B">
        <w:rPr>
          <w:b/>
          <w:bCs/>
          <w:sz w:val="24"/>
          <w:szCs w:val="24"/>
        </w:rPr>
        <w:t xml:space="preserve">1. </w:t>
      </w:r>
      <w:r w:rsidRPr="00CE739A">
        <w:rPr>
          <w:b/>
          <w:bCs/>
          <w:sz w:val="24"/>
          <w:szCs w:val="24"/>
          <w:u w:val="single"/>
        </w:rPr>
        <w:t>Présentation</w:t>
      </w:r>
    </w:p>
    <w:p w:rsidR="00941F7A" w:rsidRPr="0058414B" w:rsidRDefault="00941F7A" w:rsidP="00941F7A">
      <w:pPr>
        <w:jc w:val="both"/>
        <w:rPr>
          <w:rFonts w:ascii="Arial" w:hAnsi="Arial"/>
          <w:sz w:val="24"/>
          <w:u w:val="single"/>
        </w:rPr>
      </w:pPr>
    </w:p>
    <w:p w:rsidR="00DE0D3B" w:rsidRPr="009F0BF6" w:rsidRDefault="00941F7A" w:rsidP="00DE0D3B">
      <w:pPr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</w:rPr>
        <w:t xml:space="preserve">    </w:t>
      </w:r>
      <w:r w:rsidR="00DE0D3B" w:rsidRPr="009F0BF6">
        <w:rPr>
          <w:sz w:val="24"/>
          <w:szCs w:val="24"/>
        </w:rPr>
        <w:t xml:space="preserve">Les indices du commerce extérieurs </w:t>
      </w:r>
      <w:r w:rsidR="00DE0D3B">
        <w:rPr>
          <w:sz w:val="24"/>
          <w:szCs w:val="24"/>
        </w:rPr>
        <w:t xml:space="preserve">calculés </w:t>
      </w:r>
      <w:r w:rsidR="00DE0D3B" w:rsidRPr="009F0BF6">
        <w:rPr>
          <w:sz w:val="24"/>
          <w:szCs w:val="24"/>
        </w:rPr>
        <w:t>sont les suivants :</w:t>
      </w:r>
    </w:p>
    <w:p w:rsidR="00DE0D3B" w:rsidRDefault="00DE0D3B" w:rsidP="00DE0D3B">
      <w:pPr>
        <w:numPr>
          <w:ilvl w:val="0"/>
          <w:numId w:val="5"/>
        </w:numPr>
        <w:spacing w:line="408" w:lineRule="auto"/>
        <w:jc w:val="both"/>
        <w:rPr>
          <w:sz w:val="24"/>
          <w:szCs w:val="24"/>
        </w:rPr>
      </w:pPr>
      <w:r w:rsidRPr="004D378C">
        <w:rPr>
          <w:b/>
          <w:bCs/>
          <w:i/>
          <w:iCs/>
          <w:sz w:val="24"/>
          <w:szCs w:val="24"/>
        </w:rPr>
        <w:t>Les indices des valeurs moyennes (unitaires)</w:t>
      </w:r>
      <w:r>
        <w:rPr>
          <w:sz w:val="24"/>
          <w:szCs w:val="24"/>
        </w:rPr>
        <w:t> : ils déterminent l’évolution du niveau des prix du commerce extérieur à partir des valeurs moyennes ;</w:t>
      </w:r>
    </w:p>
    <w:p w:rsidR="00DE0D3B" w:rsidRDefault="00DE0D3B" w:rsidP="00DE0D3B">
      <w:pPr>
        <w:numPr>
          <w:ilvl w:val="0"/>
          <w:numId w:val="5"/>
        </w:numPr>
        <w:spacing w:line="408" w:lineRule="auto"/>
        <w:jc w:val="both"/>
        <w:rPr>
          <w:sz w:val="24"/>
          <w:szCs w:val="24"/>
        </w:rPr>
      </w:pPr>
      <w:r w:rsidRPr="004D378C">
        <w:rPr>
          <w:b/>
          <w:bCs/>
          <w:i/>
          <w:iCs/>
          <w:sz w:val="24"/>
          <w:szCs w:val="24"/>
        </w:rPr>
        <w:t>Les indices des valeurs</w:t>
      </w:r>
      <w:r w:rsidRPr="009F0BF6">
        <w:rPr>
          <w:sz w:val="24"/>
          <w:szCs w:val="24"/>
        </w:rPr>
        <w:t> : calculés sur la base des valeurs, ils expriment la v</w:t>
      </w:r>
      <w:r>
        <w:rPr>
          <w:sz w:val="24"/>
          <w:szCs w:val="24"/>
        </w:rPr>
        <w:t>ariation des valeurs nominales ;</w:t>
      </w:r>
    </w:p>
    <w:p w:rsidR="00941F7A" w:rsidRPr="00CE739A" w:rsidRDefault="00DE0D3B" w:rsidP="00CE739A">
      <w:pPr>
        <w:numPr>
          <w:ilvl w:val="0"/>
          <w:numId w:val="5"/>
        </w:numPr>
        <w:spacing w:line="408" w:lineRule="auto"/>
        <w:jc w:val="both"/>
        <w:rPr>
          <w:sz w:val="24"/>
          <w:szCs w:val="24"/>
        </w:rPr>
      </w:pPr>
      <w:r w:rsidRPr="004D378C">
        <w:rPr>
          <w:b/>
          <w:bCs/>
          <w:i/>
          <w:iCs/>
          <w:sz w:val="24"/>
          <w:szCs w:val="24"/>
        </w:rPr>
        <w:t>Les indices de volume</w:t>
      </w:r>
      <w:r w:rsidRPr="009F0BF6">
        <w:rPr>
          <w:sz w:val="24"/>
          <w:szCs w:val="24"/>
        </w:rPr>
        <w:t> : ils indiquent l’évolution réelle du commerce extérieur, c'est-à-dire à prix constant. Ils correspondent au quotient des indices de la valeur et d</w:t>
      </w:r>
      <w:r>
        <w:rPr>
          <w:sz w:val="24"/>
          <w:szCs w:val="24"/>
        </w:rPr>
        <w:t>e l’indice de la valeur moyenne ;</w:t>
      </w:r>
      <w:r w:rsidR="00941F7A" w:rsidRPr="00DE0D3B">
        <w:rPr>
          <w:rFonts w:ascii="Arial" w:hAnsi="Arial"/>
          <w:sz w:val="24"/>
        </w:rPr>
        <w:t xml:space="preserve">   </w:t>
      </w:r>
      <w:r w:rsidR="00941F7A" w:rsidRPr="00CE739A">
        <w:rPr>
          <w:rFonts w:ascii="Arial" w:hAnsi="Arial"/>
          <w:sz w:val="24"/>
        </w:rPr>
        <w:t xml:space="preserve"> </w:t>
      </w:r>
    </w:p>
    <w:p w:rsidR="00941F7A" w:rsidRPr="002D0E5B" w:rsidRDefault="00941F7A" w:rsidP="00D73C65">
      <w:pPr>
        <w:jc w:val="both"/>
        <w:rPr>
          <w:rFonts w:ascii="Calibri" w:eastAsia="Calibri" w:hAnsi="Calibri" w:cs="Arial"/>
          <w:sz w:val="26"/>
          <w:szCs w:val="26"/>
          <w:lang w:eastAsia="en-US"/>
        </w:rPr>
      </w:pPr>
      <w:r>
        <w:rPr>
          <w:rFonts w:ascii="Arial" w:hAnsi="Arial"/>
          <w:sz w:val="24"/>
        </w:rPr>
        <w:tab/>
      </w:r>
    </w:p>
    <w:p w:rsidR="00941F7A" w:rsidRPr="00A03EE0" w:rsidRDefault="00941F7A" w:rsidP="00941F7A">
      <w:pPr>
        <w:jc w:val="both"/>
        <w:rPr>
          <w:b/>
          <w:bCs/>
          <w:sz w:val="24"/>
          <w:szCs w:val="24"/>
          <w:u w:val="single"/>
        </w:rPr>
      </w:pPr>
      <w:r>
        <w:rPr>
          <w:rFonts w:ascii="Arial" w:hAnsi="Arial"/>
          <w:b/>
          <w:sz w:val="24"/>
        </w:rPr>
        <w:t>2</w:t>
      </w:r>
      <w:r w:rsidRPr="00A63CB0">
        <w:rPr>
          <w:rFonts w:ascii="Calibri" w:eastAsia="Calibri" w:hAnsi="Calibri" w:cs="Arial"/>
          <w:sz w:val="26"/>
          <w:szCs w:val="26"/>
          <w:lang w:eastAsia="en-US"/>
        </w:rPr>
        <w:t xml:space="preserve">. </w:t>
      </w:r>
      <w:r w:rsidRPr="00A03EE0">
        <w:rPr>
          <w:b/>
          <w:bCs/>
          <w:sz w:val="24"/>
          <w:szCs w:val="24"/>
          <w:u w:val="single"/>
        </w:rPr>
        <w:t>Objectifs des indices du commerce extérieur</w:t>
      </w:r>
    </w:p>
    <w:p w:rsidR="00941F7A" w:rsidRPr="00A03EE0" w:rsidRDefault="00941F7A" w:rsidP="00941F7A">
      <w:pPr>
        <w:jc w:val="both"/>
        <w:rPr>
          <w:b/>
          <w:bCs/>
          <w:sz w:val="24"/>
          <w:szCs w:val="24"/>
          <w:u w:val="single"/>
        </w:rPr>
      </w:pPr>
    </w:p>
    <w:p w:rsidR="00941F7A" w:rsidRPr="004E5E9A" w:rsidRDefault="00941F7A" w:rsidP="00364CB7">
      <w:pPr>
        <w:jc w:val="both"/>
        <w:rPr>
          <w:sz w:val="24"/>
          <w:szCs w:val="24"/>
        </w:rPr>
      </w:pPr>
      <w:r>
        <w:rPr>
          <w:rFonts w:ascii="Arial" w:hAnsi="Arial"/>
          <w:sz w:val="24"/>
        </w:rPr>
        <w:tab/>
      </w:r>
      <w:r w:rsidR="00D079DC" w:rsidRPr="004E5E9A">
        <w:rPr>
          <w:sz w:val="24"/>
          <w:szCs w:val="24"/>
        </w:rPr>
        <w:t>Les objectifs de c</w:t>
      </w:r>
      <w:r w:rsidRPr="004E5E9A">
        <w:rPr>
          <w:sz w:val="24"/>
          <w:szCs w:val="24"/>
        </w:rPr>
        <w:t>es indices sont</w:t>
      </w:r>
      <w:r w:rsidR="00364CB7" w:rsidRPr="004E5E9A">
        <w:rPr>
          <w:sz w:val="24"/>
          <w:szCs w:val="24"/>
        </w:rPr>
        <w:t xml:space="preserve"> multiples, ils permettent, entre autres, de :</w:t>
      </w:r>
    </w:p>
    <w:p w:rsidR="00FC749E" w:rsidRPr="004E5E9A" w:rsidRDefault="00FC749E" w:rsidP="00364CB7">
      <w:pPr>
        <w:jc w:val="both"/>
        <w:rPr>
          <w:sz w:val="24"/>
          <w:szCs w:val="24"/>
        </w:rPr>
      </w:pPr>
    </w:p>
    <w:p w:rsidR="00FC749E" w:rsidRPr="004E5E9A" w:rsidRDefault="00FC749E" w:rsidP="00FC749E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4E5E9A">
        <w:rPr>
          <w:sz w:val="24"/>
          <w:szCs w:val="24"/>
        </w:rPr>
        <w:t>Mesurer les variations des prix, évalués par les valeurs unitaires, des biens et services échangés entre les résidents d’un territoire économique et le reste du monde ;</w:t>
      </w:r>
    </w:p>
    <w:p w:rsidR="00FC749E" w:rsidRPr="004E5E9A" w:rsidRDefault="00FC749E" w:rsidP="00FC749E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4E5E9A">
        <w:rPr>
          <w:sz w:val="24"/>
          <w:szCs w:val="24"/>
        </w:rPr>
        <w:t>Fournir les informations utiles pour analyser et appréhender le changement des structures des échanges extérieurs ;</w:t>
      </w:r>
    </w:p>
    <w:p w:rsidR="00FC749E" w:rsidRPr="004E5E9A" w:rsidRDefault="00FC749E" w:rsidP="004E5E9A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4E5E9A">
        <w:rPr>
          <w:sz w:val="24"/>
          <w:szCs w:val="24"/>
        </w:rPr>
        <w:t xml:space="preserve">Estimer à prix constants les importations et les exportations </w:t>
      </w:r>
      <w:r w:rsidR="004E5E9A" w:rsidRPr="004E5E9A">
        <w:rPr>
          <w:sz w:val="24"/>
          <w:szCs w:val="24"/>
        </w:rPr>
        <w:t>(par</w:t>
      </w:r>
      <w:r w:rsidRPr="004E5E9A">
        <w:rPr>
          <w:sz w:val="24"/>
          <w:szCs w:val="24"/>
        </w:rPr>
        <w:t xml:space="preserve"> branche</w:t>
      </w:r>
      <w:r w:rsidR="00BC4952">
        <w:rPr>
          <w:sz w:val="24"/>
          <w:szCs w:val="24"/>
        </w:rPr>
        <w:t>s</w:t>
      </w:r>
      <w:r w:rsidRPr="004E5E9A">
        <w:rPr>
          <w:sz w:val="24"/>
          <w:szCs w:val="24"/>
        </w:rPr>
        <w:t xml:space="preserve"> et sous branche</w:t>
      </w:r>
      <w:r w:rsidR="00BC4952">
        <w:rPr>
          <w:sz w:val="24"/>
          <w:szCs w:val="24"/>
        </w:rPr>
        <w:t>s</w:t>
      </w:r>
      <w:r w:rsidRPr="004E5E9A">
        <w:rPr>
          <w:sz w:val="24"/>
          <w:szCs w:val="24"/>
        </w:rPr>
        <w:t xml:space="preserve"> de la nomenclature marocaine d’activités (NMA) ;</w:t>
      </w:r>
      <w:r w:rsidR="00870F75" w:rsidRPr="004E5E9A">
        <w:rPr>
          <w:sz w:val="24"/>
          <w:szCs w:val="24"/>
        </w:rPr>
        <w:t xml:space="preserve"> par groupements d’</w:t>
      </w:r>
      <w:r w:rsidR="00302127" w:rsidRPr="004E5E9A">
        <w:rPr>
          <w:sz w:val="24"/>
          <w:szCs w:val="24"/>
        </w:rPr>
        <w:t>utilisation</w:t>
      </w:r>
      <w:r w:rsidR="00870F75" w:rsidRPr="004E5E9A">
        <w:rPr>
          <w:sz w:val="24"/>
          <w:szCs w:val="24"/>
        </w:rPr>
        <w:t xml:space="preserve"> et produits rema</w:t>
      </w:r>
      <w:r w:rsidR="001B7FE6">
        <w:rPr>
          <w:sz w:val="24"/>
          <w:szCs w:val="24"/>
        </w:rPr>
        <w:t>rquables de la classification SH</w:t>
      </w:r>
      <w:r w:rsidR="00870F75" w:rsidRPr="004E5E9A">
        <w:rPr>
          <w:sz w:val="24"/>
          <w:szCs w:val="24"/>
        </w:rPr>
        <w:t xml:space="preserve"> ; par </w:t>
      </w:r>
      <w:r w:rsidR="004E5E9A">
        <w:rPr>
          <w:sz w:val="24"/>
          <w:szCs w:val="24"/>
        </w:rPr>
        <w:t>groupe</w:t>
      </w:r>
      <w:r w:rsidR="00BC4952">
        <w:rPr>
          <w:sz w:val="24"/>
          <w:szCs w:val="24"/>
        </w:rPr>
        <w:t>s</w:t>
      </w:r>
      <w:r w:rsidR="004E5E9A">
        <w:rPr>
          <w:sz w:val="24"/>
          <w:szCs w:val="24"/>
        </w:rPr>
        <w:t xml:space="preserve"> et division</w:t>
      </w:r>
      <w:r w:rsidR="00BC4952">
        <w:rPr>
          <w:sz w:val="24"/>
          <w:szCs w:val="24"/>
        </w:rPr>
        <w:t>s</w:t>
      </w:r>
      <w:r w:rsidR="004E5E9A">
        <w:rPr>
          <w:sz w:val="24"/>
          <w:szCs w:val="24"/>
        </w:rPr>
        <w:t xml:space="preserve"> </w:t>
      </w:r>
      <w:r w:rsidR="00870F75" w:rsidRPr="004E5E9A">
        <w:rPr>
          <w:sz w:val="24"/>
          <w:szCs w:val="24"/>
        </w:rPr>
        <w:t>de la nomenclature CTCI et par chapitre</w:t>
      </w:r>
      <w:r w:rsidR="00BC4952">
        <w:rPr>
          <w:sz w:val="24"/>
          <w:szCs w:val="24"/>
        </w:rPr>
        <w:t>s</w:t>
      </w:r>
      <w:r w:rsidR="00870F75" w:rsidRPr="004E5E9A">
        <w:rPr>
          <w:sz w:val="24"/>
          <w:szCs w:val="24"/>
        </w:rPr>
        <w:t xml:space="preserve"> et sh4 de la nomenclature </w:t>
      </w:r>
      <w:r w:rsidR="006B1A0C">
        <w:rPr>
          <w:sz w:val="24"/>
          <w:szCs w:val="24"/>
        </w:rPr>
        <w:t>(</w:t>
      </w:r>
      <w:r w:rsidR="00870F75" w:rsidRPr="004E5E9A">
        <w:rPr>
          <w:sz w:val="24"/>
          <w:szCs w:val="24"/>
        </w:rPr>
        <w:t>OMD) ;</w:t>
      </w:r>
    </w:p>
    <w:p w:rsidR="00FC749E" w:rsidRPr="004E5E9A" w:rsidRDefault="00FC749E" w:rsidP="00FC749E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4E5E9A">
        <w:rPr>
          <w:sz w:val="24"/>
          <w:szCs w:val="24"/>
        </w:rPr>
        <w:t>Déterminer les termes des changes, il s’agit du rapport des indices de valeurs moyennes à l’exportation et à l’importation ;</w:t>
      </w:r>
    </w:p>
    <w:p w:rsidR="00FC749E" w:rsidRPr="004E5E9A" w:rsidRDefault="00FC749E" w:rsidP="00FC749E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rPr>
          <w:sz w:val="24"/>
          <w:szCs w:val="24"/>
        </w:rPr>
      </w:pPr>
      <w:r w:rsidRPr="004E5E9A">
        <w:rPr>
          <w:sz w:val="24"/>
          <w:szCs w:val="24"/>
        </w:rPr>
        <w:t>Servir comme outil important de l’analyse de la conjoncture économique ;</w:t>
      </w:r>
    </w:p>
    <w:p w:rsidR="00FC749E" w:rsidRDefault="00FC749E" w:rsidP="00FC749E">
      <w:pPr>
        <w:spacing w:line="360" w:lineRule="auto"/>
        <w:ind w:left="720"/>
        <w:rPr>
          <w:sz w:val="24"/>
          <w:szCs w:val="24"/>
        </w:rPr>
      </w:pPr>
    </w:p>
    <w:p w:rsidR="00941F7A" w:rsidRPr="004E5E9A" w:rsidRDefault="00941F7A" w:rsidP="00941F7A">
      <w:pPr>
        <w:jc w:val="both"/>
        <w:rPr>
          <w:sz w:val="24"/>
          <w:szCs w:val="24"/>
        </w:rPr>
      </w:pPr>
    </w:p>
    <w:p w:rsidR="00FC749E" w:rsidRPr="004E5E9A" w:rsidRDefault="00364CB7" w:rsidP="00364CB7">
      <w:pPr>
        <w:spacing w:line="360" w:lineRule="auto"/>
        <w:jc w:val="both"/>
        <w:rPr>
          <w:sz w:val="24"/>
          <w:szCs w:val="24"/>
        </w:rPr>
      </w:pPr>
      <w:r w:rsidRPr="004E5E9A">
        <w:rPr>
          <w:sz w:val="24"/>
          <w:szCs w:val="24"/>
        </w:rPr>
        <w:tab/>
      </w:r>
      <w:r w:rsidR="00FC749E" w:rsidRPr="004E5E9A">
        <w:rPr>
          <w:sz w:val="24"/>
          <w:szCs w:val="24"/>
        </w:rPr>
        <w:t xml:space="preserve">   </w:t>
      </w:r>
    </w:p>
    <w:p w:rsidR="004E5E9A" w:rsidRDefault="004E5E9A" w:rsidP="004E5E9A">
      <w:pPr>
        <w:spacing w:after="200" w:line="276" w:lineRule="auto"/>
        <w:jc w:val="both"/>
        <w:rPr>
          <w:b/>
          <w:bCs/>
          <w:sz w:val="24"/>
          <w:szCs w:val="24"/>
          <w:u w:val="single"/>
        </w:rPr>
      </w:pPr>
    </w:p>
    <w:p w:rsidR="004E5E9A" w:rsidRDefault="004E5E9A" w:rsidP="004E5E9A">
      <w:pPr>
        <w:spacing w:after="200" w:line="276" w:lineRule="auto"/>
        <w:jc w:val="both"/>
        <w:rPr>
          <w:b/>
          <w:bCs/>
          <w:sz w:val="24"/>
          <w:szCs w:val="24"/>
          <w:u w:val="single"/>
        </w:rPr>
      </w:pPr>
    </w:p>
    <w:p w:rsidR="00CE739A" w:rsidRPr="005A0207" w:rsidRDefault="004E5E9A" w:rsidP="004E5E9A">
      <w:pPr>
        <w:spacing w:after="200" w:line="276" w:lineRule="auto"/>
        <w:jc w:val="both"/>
        <w:rPr>
          <w:b/>
          <w:bCs/>
          <w:sz w:val="24"/>
          <w:szCs w:val="24"/>
        </w:rPr>
      </w:pPr>
      <w:r w:rsidRPr="005A0207">
        <w:rPr>
          <w:b/>
          <w:bCs/>
          <w:sz w:val="24"/>
          <w:szCs w:val="24"/>
        </w:rPr>
        <w:lastRenderedPageBreak/>
        <w:t>3</w:t>
      </w:r>
      <w:r w:rsidR="00CE739A" w:rsidRPr="005A0207">
        <w:rPr>
          <w:b/>
          <w:bCs/>
          <w:sz w:val="24"/>
          <w:szCs w:val="24"/>
        </w:rPr>
        <w:t xml:space="preserve">. </w:t>
      </w:r>
      <w:r w:rsidR="00CE739A" w:rsidRPr="005A0207">
        <w:rPr>
          <w:b/>
          <w:bCs/>
          <w:sz w:val="24"/>
          <w:szCs w:val="24"/>
          <w:u w:val="single"/>
        </w:rPr>
        <w:t>N</w:t>
      </w:r>
      <w:r w:rsidRPr="005A0207">
        <w:rPr>
          <w:b/>
          <w:bCs/>
          <w:sz w:val="24"/>
          <w:szCs w:val="24"/>
          <w:u w:val="single"/>
        </w:rPr>
        <w:t>omenclatures utilisées</w:t>
      </w:r>
      <w:r w:rsidRPr="005A0207">
        <w:rPr>
          <w:b/>
          <w:bCs/>
          <w:sz w:val="24"/>
          <w:szCs w:val="24"/>
        </w:rPr>
        <w:t> </w:t>
      </w:r>
    </w:p>
    <w:p w:rsidR="00CE739A" w:rsidRPr="00820683" w:rsidRDefault="00EF0FA7" w:rsidP="00EF0FA7">
      <w:pPr>
        <w:spacing w:line="40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E739A">
        <w:rPr>
          <w:sz w:val="24"/>
          <w:szCs w:val="24"/>
        </w:rPr>
        <w:t xml:space="preserve">répondre aux </w:t>
      </w:r>
      <w:r>
        <w:rPr>
          <w:sz w:val="24"/>
          <w:szCs w:val="24"/>
        </w:rPr>
        <w:t xml:space="preserve">besoins </w:t>
      </w:r>
      <w:r w:rsidR="00CE739A">
        <w:rPr>
          <w:sz w:val="24"/>
          <w:szCs w:val="24"/>
        </w:rPr>
        <w:t xml:space="preserve">des différents utilisateurs, les indices du commerce extérieur (base 100 :2019) sont calculés aussi bien </w:t>
      </w:r>
      <w:r w:rsidR="00CE739A" w:rsidRPr="00820683">
        <w:rPr>
          <w:sz w:val="24"/>
          <w:szCs w:val="24"/>
        </w:rPr>
        <w:t xml:space="preserve">pour les importations que pour les exportations selon </w:t>
      </w:r>
      <w:r w:rsidR="00CE739A" w:rsidRPr="00820683">
        <w:rPr>
          <w:b/>
          <w:bCs/>
          <w:sz w:val="24"/>
          <w:szCs w:val="24"/>
        </w:rPr>
        <w:t>quatre</w:t>
      </w:r>
      <w:r w:rsidR="00CE739A" w:rsidRPr="00820683">
        <w:rPr>
          <w:sz w:val="24"/>
          <w:szCs w:val="24"/>
        </w:rPr>
        <w:t xml:space="preserve"> types de classification : </w:t>
      </w:r>
    </w:p>
    <w:p w:rsidR="00CE739A" w:rsidRPr="00820683" w:rsidRDefault="00EF0FA7" w:rsidP="00EF0FA7">
      <w:pPr>
        <w:pStyle w:val="Paragraphedeliste"/>
        <w:numPr>
          <w:ilvl w:val="0"/>
          <w:numId w:val="6"/>
        </w:numPr>
        <w:spacing w:after="0" w:line="408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nomenclature des groupements d’utilisation et produits remarquables</w:t>
      </w:r>
      <w:r w:rsidRPr="00820683">
        <w:rPr>
          <w:sz w:val="24"/>
          <w:szCs w:val="24"/>
        </w:rPr>
        <w:t> ;</w:t>
      </w:r>
    </w:p>
    <w:p w:rsidR="00CE739A" w:rsidRPr="00561C3D" w:rsidRDefault="00EF0FA7" w:rsidP="00EF0FA7">
      <w:pPr>
        <w:pStyle w:val="Paragraphedeliste"/>
        <w:numPr>
          <w:ilvl w:val="0"/>
          <w:numId w:val="6"/>
        </w:numPr>
        <w:spacing w:after="0" w:line="408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nomenclature marocaine des activités NMA 2010 ;</w:t>
      </w:r>
    </w:p>
    <w:p w:rsidR="00CE739A" w:rsidRPr="00561C3D" w:rsidRDefault="00962C9B" w:rsidP="00962C9B">
      <w:pPr>
        <w:pStyle w:val="Paragraphedeliste"/>
        <w:numPr>
          <w:ilvl w:val="0"/>
          <w:numId w:val="6"/>
        </w:numPr>
        <w:spacing w:after="0" w:line="408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nomenclature</w:t>
      </w:r>
      <w:r w:rsidR="00193A4E">
        <w:rPr>
          <w:sz w:val="24"/>
          <w:szCs w:val="24"/>
        </w:rPr>
        <w:t xml:space="preserve"> de la classification type pour le commerce international (CTCI)</w:t>
      </w:r>
      <w:r>
        <w:rPr>
          <w:sz w:val="24"/>
          <w:szCs w:val="24"/>
        </w:rPr>
        <w:t> ;</w:t>
      </w:r>
    </w:p>
    <w:p w:rsidR="00941F7A" w:rsidRPr="00340D6F" w:rsidRDefault="00962C9B" w:rsidP="00962C9B">
      <w:pPr>
        <w:pStyle w:val="Paragraphedeliste"/>
        <w:numPr>
          <w:ilvl w:val="0"/>
          <w:numId w:val="6"/>
        </w:numPr>
        <w:spacing w:after="0" w:line="40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nomenclature de l’organisation mondiale de la douane </w:t>
      </w:r>
      <w:r w:rsidR="00193A4E">
        <w:rPr>
          <w:sz w:val="24"/>
          <w:szCs w:val="24"/>
        </w:rPr>
        <w:t>(OMD</w:t>
      </w:r>
      <w:r>
        <w:rPr>
          <w:sz w:val="24"/>
          <w:szCs w:val="24"/>
        </w:rPr>
        <w:t>).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941F7A" w:rsidRDefault="005A0207" w:rsidP="00941F7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</w:t>
      </w:r>
      <w:r w:rsidR="00941F7A">
        <w:rPr>
          <w:rFonts w:ascii="Arial" w:hAnsi="Arial"/>
          <w:b/>
          <w:sz w:val="24"/>
        </w:rPr>
        <w:t xml:space="preserve">. </w:t>
      </w:r>
      <w:r w:rsidR="00941F7A" w:rsidRPr="005A0207">
        <w:rPr>
          <w:b/>
          <w:bCs/>
          <w:sz w:val="24"/>
          <w:szCs w:val="24"/>
          <w:u w:val="single"/>
        </w:rPr>
        <w:t>Champ couvert et échantillon</w:t>
      </w:r>
      <w:r w:rsidR="00941F7A">
        <w:rPr>
          <w:rFonts w:ascii="Arial" w:hAnsi="Arial"/>
          <w:b/>
          <w:sz w:val="24"/>
        </w:rPr>
        <w:t xml:space="preserve"> 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340D6F" w:rsidRPr="006B1A0C" w:rsidRDefault="00941F7A" w:rsidP="006B1A0C">
      <w:pPr>
        <w:spacing w:line="360" w:lineRule="auto"/>
        <w:jc w:val="both"/>
        <w:rPr>
          <w:rFonts w:ascii="Book Antiqua" w:hAnsi="Book Antiqua" w:cs="Arial"/>
          <w:sz w:val="26"/>
          <w:szCs w:val="26"/>
          <w:lang w:eastAsia="fr-FR"/>
        </w:rPr>
      </w:pPr>
      <w:r>
        <w:rPr>
          <w:rFonts w:ascii="Arial" w:hAnsi="Arial"/>
          <w:sz w:val="24"/>
        </w:rPr>
        <w:tab/>
      </w:r>
      <w:r w:rsidRPr="005A0207">
        <w:rPr>
          <w:rFonts w:ascii="Calibri" w:eastAsia="Calibri" w:hAnsi="Calibri" w:cs="Arial"/>
          <w:sz w:val="24"/>
          <w:szCs w:val="24"/>
          <w:lang w:eastAsia="en-US"/>
        </w:rPr>
        <w:t xml:space="preserve">Le champ des indices du commerce extérieur comprend l’ensemble des marchandises échangées avec le reste du monde.  À la fin de chaque année les produits échangés sont séparés en deux groupes : groupe de produits représentatifs et groupe de produits non représentatifs.  Ainsi, l’indice de valeurs moyennes est calculé sur la base du groupe de produits représentatifs </w:t>
      </w:r>
      <w:r w:rsidR="00FA463E" w:rsidRPr="005A0207">
        <w:rPr>
          <w:rFonts w:ascii="Calibri" w:eastAsia="Calibri" w:hAnsi="Calibri" w:cs="Arial"/>
          <w:sz w:val="24"/>
          <w:szCs w:val="24"/>
          <w:lang w:eastAsia="en-US"/>
        </w:rPr>
        <w:t xml:space="preserve">qui comportent les produits les plus importants en termes de valeur et constituent </w:t>
      </w:r>
      <w:r w:rsidR="005A0207">
        <w:rPr>
          <w:rFonts w:ascii="Calibri" w:eastAsia="Calibri" w:hAnsi="Calibri" w:cs="Arial"/>
          <w:sz w:val="24"/>
          <w:szCs w:val="24"/>
          <w:lang w:eastAsia="en-US"/>
        </w:rPr>
        <w:t xml:space="preserve">à peu </w:t>
      </w:r>
      <w:r w:rsidR="00BD0C35">
        <w:rPr>
          <w:rFonts w:ascii="Calibri" w:eastAsia="Calibri" w:hAnsi="Calibri" w:cs="Arial"/>
          <w:sz w:val="24"/>
          <w:szCs w:val="24"/>
          <w:lang w:eastAsia="en-US"/>
        </w:rPr>
        <w:t xml:space="preserve">près </w:t>
      </w:r>
      <w:r w:rsidR="00BD0C35" w:rsidRPr="005A0207">
        <w:rPr>
          <w:rFonts w:ascii="Calibri" w:eastAsia="Calibri" w:hAnsi="Calibri" w:cs="Arial"/>
          <w:sz w:val="24"/>
          <w:szCs w:val="24"/>
          <w:lang w:eastAsia="en-US"/>
        </w:rPr>
        <w:t>95</w:t>
      </w:r>
      <w:r w:rsidR="00FA463E" w:rsidRPr="005A0207">
        <w:rPr>
          <w:rFonts w:ascii="Calibri" w:eastAsia="Calibri" w:hAnsi="Calibri" w:cs="Arial"/>
          <w:sz w:val="24"/>
          <w:szCs w:val="24"/>
          <w:lang w:eastAsia="en-US"/>
        </w:rPr>
        <w:t>% de la valeur globale de nos échanges extérieurs</w:t>
      </w:r>
      <w:r w:rsidR="009D00E1">
        <w:rPr>
          <w:rFonts w:ascii="Arial" w:hAnsi="Arial"/>
          <w:sz w:val="24"/>
        </w:rPr>
        <w:t xml:space="preserve">. </w:t>
      </w:r>
    </w:p>
    <w:p w:rsidR="00340D6F" w:rsidRPr="00C61A3E" w:rsidRDefault="00340D6F" w:rsidP="00941F7A">
      <w:pPr>
        <w:spacing w:line="360" w:lineRule="auto"/>
        <w:rPr>
          <w:sz w:val="24"/>
          <w:szCs w:val="24"/>
        </w:rPr>
      </w:pPr>
    </w:p>
    <w:p w:rsidR="00941F7A" w:rsidRDefault="00F87466" w:rsidP="00F87466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</w:t>
      </w:r>
      <w:r w:rsidR="00941F7A">
        <w:rPr>
          <w:rFonts w:ascii="Arial" w:hAnsi="Arial"/>
          <w:b/>
          <w:sz w:val="24"/>
        </w:rPr>
        <w:t xml:space="preserve">. </w:t>
      </w:r>
      <w:r w:rsidR="00941F7A" w:rsidRPr="00F87466">
        <w:rPr>
          <w:b/>
          <w:bCs/>
          <w:sz w:val="24"/>
          <w:szCs w:val="24"/>
          <w:u w:val="single"/>
        </w:rPr>
        <w:t>Source des données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41F7A" w:rsidRPr="00EC7DC9" w:rsidRDefault="00941F7A" w:rsidP="009D00E1">
      <w:pPr>
        <w:spacing w:line="360" w:lineRule="auto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Arial" w:hAnsi="Arial"/>
          <w:sz w:val="24"/>
        </w:rPr>
        <w:t xml:space="preserve">         </w:t>
      </w:r>
      <w:r w:rsidRPr="00EC7DC9">
        <w:rPr>
          <w:rFonts w:ascii="Calibri" w:eastAsia="Calibri" w:hAnsi="Calibri" w:cs="Arial"/>
          <w:sz w:val="24"/>
          <w:szCs w:val="24"/>
          <w:lang w:eastAsia="en-US"/>
        </w:rPr>
        <w:t xml:space="preserve">Les données sur les échanges avec l’extérieur sont recueillies auprès de l’Office des </w:t>
      </w:r>
      <w:r w:rsidR="009D00E1" w:rsidRPr="00EC7DC9">
        <w:rPr>
          <w:rFonts w:ascii="Calibri" w:eastAsia="Calibri" w:hAnsi="Calibri" w:cs="Arial"/>
          <w:sz w:val="24"/>
          <w:szCs w:val="24"/>
          <w:lang w:eastAsia="en-US"/>
        </w:rPr>
        <w:t>C</w:t>
      </w:r>
      <w:r w:rsidRPr="00EC7DC9">
        <w:rPr>
          <w:rFonts w:ascii="Calibri" w:eastAsia="Calibri" w:hAnsi="Calibri" w:cs="Arial"/>
          <w:sz w:val="24"/>
          <w:szCs w:val="24"/>
          <w:lang w:eastAsia="en-US"/>
        </w:rPr>
        <w:t>hanges et traitées avant d’effectuer le calcul des indices du commerce extérieur.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941F7A" w:rsidRPr="0058414B" w:rsidRDefault="00EC7DC9" w:rsidP="00941F7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</w:t>
      </w:r>
      <w:r w:rsidR="00941F7A">
        <w:rPr>
          <w:rFonts w:ascii="Arial" w:hAnsi="Arial"/>
          <w:b/>
          <w:sz w:val="24"/>
        </w:rPr>
        <w:t xml:space="preserve">. </w:t>
      </w:r>
      <w:r w:rsidR="00941F7A" w:rsidRPr="00EC7DC9">
        <w:rPr>
          <w:b/>
          <w:bCs/>
          <w:sz w:val="24"/>
          <w:szCs w:val="24"/>
          <w:u w:val="single"/>
        </w:rPr>
        <w:t>Calcul des indices</w:t>
      </w:r>
    </w:p>
    <w:p w:rsidR="00941F7A" w:rsidRPr="00C217E5" w:rsidRDefault="00941F7A" w:rsidP="009D00E1">
      <w:pPr>
        <w:spacing w:line="360" w:lineRule="auto"/>
        <w:jc w:val="both"/>
        <w:rPr>
          <w:sz w:val="24"/>
          <w:szCs w:val="24"/>
        </w:rPr>
      </w:pPr>
    </w:p>
    <w:p w:rsidR="00941F7A" w:rsidRPr="00BC0620" w:rsidRDefault="00941F7A" w:rsidP="00EC7DC9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  <w:r w:rsidRPr="00EC7DC9">
        <w:rPr>
          <w:rFonts w:ascii="Calibri" w:eastAsia="Calibri" w:hAnsi="Calibri" w:cs="Arial"/>
          <w:sz w:val="24"/>
          <w:szCs w:val="24"/>
          <w:lang w:eastAsia="en-US"/>
        </w:rPr>
        <w:t>Les indices du commerce extérieur sont calculés en base courante c’est-à-dire par rapport à l’année précédente</w:t>
      </w:r>
      <w:r w:rsidR="009D00E1" w:rsidRPr="00EC7DC9">
        <w:rPr>
          <w:rFonts w:ascii="Calibri" w:eastAsia="Calibri" w:hAnsi="Calibri" w:cs="Arial"/>
          <w:sz w:val="24"/>
          <w:szCs w:val="24"/>
          <w:lang w:eastAsia="en-US"/>
        </w:rPr>
        <w:t xml:space="preserve"> moyennant la </w:t>
      </w:r>
      <w:r w:rsidR="009D00E1" w:rsidRPr="00EC7DC9">
        <w:rPr>
          <w:rFonts w:ascii="Calibri" w:eastAsia="Calibri" w:hAnsi="Calibri" w:cs="Arial"/>
          <w:b/>
          <w:bCs/>
          <w:i/>
          <w:iCs/>
          <w:sz w:val="24"/>
          <w:szCs w:val="24"/>
          <w:lang w:eastAsia="en-US"/>
        </w:rPr>
        <w:t>formule de Fisher</w:t>
      </w:r>
      <w:r w:rsidRPr="00EC7DC9">
        <w:rPr>
          <w:rFonts w:ascii="Calibri" w:eastAsia="Calibri" w:hAnsi="Calibri" w:cs="Arial"/>
          <w:sz w:val="24"/>
          <w:szCs w:val="24"/>
          <w:lang w:eastAsia="en-US"/>
        </w:rPr>
        <w:t>. Par la suite, ces indices sont enchainés pour obtenir les indices par rapport à l’année de base 201</w:t>
      </w:r>
      <w:r w:rsidR="00EC7DC9">
        <w:rPr>
          <w:rFonts w:ascii="Calibri" w:eastAsia="Calibri" w:hAnsi="Calibri" w:cs="Arial"/>
          <w:sz w:val="24"/>
          <w:szCs w:val="24"/>
          <w:lang w:eastAsia="en-US"/>
        </w:rPr>
        <w:t>9</w:t>
      </w:r>
      <w:r w:rsidRPr="00BC0620">
        <w:rPr>
          <w:rFonts w:ascii="Arial" w:hAnsi="Arial"/>
          <w:sz w:val="24"/>
        </w:rPr>
        <w:t>.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941F7A" w:rsidRPr="0058414B" w:rsidRDefault="00EC7DC9" w:rsidP="00941F7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</w:t>
      </w:r>
      <w:r w:rsidR="00941F7A">
        <w:rPr>
          <w:rFonts w:ascii="Arial" w:hAnsi="Arial"/>
          <w:b/>
          <w:sz w:val="24"/>
        </w:rPr>
        <w:t xml:space="preserve">. </w:t>
      </w:r>
      <w:r w:rsidR="00941F7A" w:rsidRPr="00EC7DC9">
        <w:rPr>
          <w:b/>
          <w:bCs/>
          <w:sz w:val="24"/>
          <w:szCs w:val="24"/>
          <w:u w:val="single"/>
        </w:rPr>
        <w:t>Périodicité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445A5A" w:rsidRPr="005079B7" w:rsidRDefault="00445A5A" w:rsidP="00F922B0">
      <w:pPr>
        <w:spacing w:after="120" w:line="360" w:lineRule="auto"/>
        <w:ind w:firstLine="708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5079B7">
        <w:rPr>
          <w:rFonts w:ascii="Calibri" w:eastAsia="Calibri" w:hAnsi="Calibri" w:cs="Arial"/>
          <w:sz w:val="24"/>
          <w:szCs w:val="24"/>
          <w:lang w:eastAsia="en-US"/>
        </w:rPr>
        <w:t xml:space="preserve">Les indices du commerce extérieur sont calculés </w:t>
      </w:r>
      <w:bookmarkStart w:id="0" w:name="_GoBack"/>
      <w:bookmarkEnd w:id="0"/>
      <w:r w:rsidRPr="005079B7">
        <w:rPr>
          <w:rFonts w:ascii="Calibri" w:eastAsia="Calibri" w:hAnsi="Calibri" w:cs="Arial"/>
          <w:sz w:val="24"/>
          <w:szCs w:val="24"/>
          <w:lang w:eastAsia="en-US"/>
        </w:rPr>
        <w:t xml:space="preserve"> trimestriellement et annuellement pour les importations et les exportations des produits et ce pour </w:t>
      </w:r>
      <w:r w:rsidR="005079B7">
        <w:rPr>
          <w:rFonts w:ascii="Calibri" w:eastAsia="Calibri" w:hAnsi="Calibri" w:cs="Arial"/>
          <w:sz w:val="24"/>
          <w:szCs w:val="24"/>
          <w:lang w:eastAsia="en-US"/>
        </w:rPr>
        <w:t>les quatre classifications indiquées ci-haut.</w:t>
      </w:r>
    </w:p>
    <w:p w:rsidR="00941F7A" w:rsidRDefault="00941F7A" w:rsidP="00941F7A">
      <w:pPr>
        <w:jc w:val="both"/>
        <w:rPr>
          <w:rFonts w:ascii="Arial" w:hAnsi="Arial"/>
          <w:sz w:val="24"/>
        </w:rPr>
      </w:pPr>
    </w:p>
    <w:p w:rsidR="009460C1" w:rsidRDefault="009460C1"/>
    <w:sectPr w:rsidR="009460C1" w:rsidSect="008F14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809" w:rsidRDefault="001A6809" w:rsidP="00802046">
      <w:r>
        <w:separator/>
      </w:r>
    </w:p>
  </w:endnote>
  <w:endnote w:type="continuationSeparator" w:id="0">
    <w:p w:rsidR="001A6809" w:rsidRDefault="001A6809" w:rsidP="0080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802046">
      <w:tc>
        <w:tcPr>
          <w:tcW w:w="918" w:type="dxa"/>
        </w:tcPr>
        <w:p w:rsidR="00802046" w:rsidRDefault="003C2E46">
          <w:pPr>
            <w:pStyle w:val="Pieddepage"/>
            <w:jc w:val="right"/>
            <w:rPr>
              <w:b/>
              <w:color w:val="5B9BD5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22B0" w:rsidRPr="00F922B0">
            <w:rPr>
              <w:b/>
              <w:noProof/>
              <w:color w:val="5B9BD5" w:themeColor="accent1"/>
              <w:sz w:val="32"/>
              <w:szCs w:val="32"/>
            </w:rPr>
            <w:t>3</w:t>
          </w:r>
          <w:r>
            <w:rPr>
              <w:b/>
              <w:noProof/>
              <w:color w:val="5B9BD5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02046" w:rsidRDefault="00802046">
          <w:pPr>
            <w:pStyle w:val="Pieddepage"/>
          </w:pPr>
        </w:p>
      </w:tc>
    </w:tr>
  </w:tbl>
  <w:p w:rsidR="00802046" w:rsidRDefault="0080204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809" w:rsidRDefault="001A6809" w:rsidP="00802046">
      <w:r>
        <w:separator/>
      </w:r>
    </w:p>
  </w:footnote>
  <w:footnote w:type="continuationSeparator" w:id="0">
    <w:p w:rsidR="001A6809" w:rsidRDefault="001A6809" w:rsidP="0080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8FB"/>
    <w:multiLevelType w:val="hybridMultilevel"/>
    <w:tmpl w:val="491E8F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18AE6EB2"/>
    <w:multiLevelType w:val="hybridMultilevel"/>
    <w:tmpl w:val="F50219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01C70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123E53"/>
    <w:multiLevelType w:val="hybridMultilevel"/>
    <w:tmpl w:val="D9C86E62"/>
    <w:lvl w:ilvl="0" w:tplc="0A688BB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E2776F"/>
    <w:multiLevelType w:val="hybridMultilevel"/>
    <w:tmpl w:val="68B07DEA"/>
    <w:lvl w:ilvl="0" w:tplc="44BC311A">
      <w:start w:val="3"/>
      <w:numFmt w:val="bullet"/>
      <w:lvlText w:val="-"/>
      <w:lvlJc w:val="left"/>
      <w:pPr>
        <w:ind w:left="1911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5">
    <w:nsid w:val="5B2F57E2"/>
    <w:multiLevelType w:val="singleLevel"/>
    <w:tmpl w:val="7ECCD22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21733E1"/>
    <w:multiLevelType w:val="hybridMultilevel"/>
    <w:tmpl w:val="4D866874"/>
    <w:lvl w:ilvl="0" w:tplc="040C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7A"/>
    <w:rsid w:val="000A4D29"/>
    <w:rsid w:val="00152446"/>
    <w:rsid w:val="00182842"/>
    <w:rsid w:val="00193A4E"/>
    <w:rsid w:val="001A6809"/>
    <w:rsid w:val="001B6FA1"/>
    <w:rsid w:val="001B7FE6"/>
    <w:rsid w:val="00231B40"/>
    <w:rsid w:val="002C29D9"/>
    <w:rsid w:val="00302127"/>
    <w:rsid w:val="00340D6F"/>
    <w:rsid w:val="00364CB7"/>
    <w:rsid w:val="003C2E46"/>
    <w:rsid w:val="00445A5A"/>
    <w:rsid w:val="004A00ED"/>
    <w:rsid w:val="004E5E9A"/>
    <w:rsid w:val="005079B7"/>
    <w:rsid w:val="005A0207"/>
    <w:rsid w:val="006328FF"/>
    <w:rsid w:val="00653736"/>
    <w:rsid w:val="006B19C4"/>
    <w:rsid w:val="006B1A0C"/>
    <w:rsid w:val="00723377"/>
    <w:rsid w:val="00802046"/>
    <w:rsid w:val="00870F75"/>
    <w:rsid w:val="008C2A75"/>
    <w:rsid w:val="008F14C3"/>
    <w:rsid w:val="00941F7A"/>
    <w:rsid w:val="009460C1"/>
    <w:rsid w:val="00962C9B"/>
    <w:rsid w:val="009D00E1"/>
    <w:rsid w:val="00A03EE0"/>
    <w:rsid w:val="00B449C7"/>
    <w:rsid w:val="00BC4952"/>
    <w:rsid w:val="00BC5FB1"/>
    <w:rsid w:val="00BD0C35"/>
    <w:rsid w:val="00C217E5"/>
    <w:rsid w:val="00CE739A"/>
    <w:rsid w:val="00D079DC"/>
    <w:rsid w:val="00D73C65"/>
    <w:rsid w:val="00DE0D3B"/>
    <w:rsid w:val="00EC7DC9"/>
    <w:rsid w:val="00EE7335"/>
    <w:rsid w:val="00EF0FA7"/>
    <w:rsid w:val="00F0404C"/>
    <w:rsid w:val="00F04AD7"/>
    <w:rsid w:val="00F141C6"/>
    <w:rsid w:val="00F87466"/>
    <w:rsid w:val="00F922B0"/>
    <w:rsid w:val="00FA463E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AB1F-707F-419F-8224-3759FFAD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1F7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941F7A"/>
    <w:pPr>
      <w:spacing w:after="120" w:line="480" w:lineRule="auto"/>
    </w:pPr>
    <w:rPr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41F7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8020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02046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020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20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Amar</dc:creator>
  <cp:keywords/>
  <dc:description/>
  <cp:lastModifiedBy>Youssef Fliflou</cp:lastModifiedBy>
  <cp:revision>29</cp:revision>
  <dcterms:created xsi:type="dcterms:W3CDTF">2021-10-04T11:10:00Z</dcterms:created>
  <dcterms:modified xsi:type="dcterms:W3CDTF">2022-07-13T09:52:00Z</dcterms:modified>
</cp:coreProperties>
</file>