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4B513F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de </w:t>
      </w:r>
      <w:r w:rsidR="0053077D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juin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2022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8B3A97" w:rsidP="00871C7D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8B3A97">
        <w:rPr>
          <w:rFonts w:ascii="Arial" w:hAnsi="Arial" w:cs="Arial"/>
          <w:b/>
          <w:bCs/>
          <w:color w:val="000000" w:themeColor="text1"/>
          <w:lang w:bidi="ar-MA"/>
        </w:rPr>
        <w:t>Hausse de 0,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prix à la consommation, résultant de la hausse de 0,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1% de l’indice des produits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alimentaires et de 0,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1F1FF8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2022, une hausse de 0,</w:t>
      </w:r>
      <w:r w:rsidR="00CE7B14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% par rapport au mois précédent. Cette variation est le résultat de la hausse de 0,</w:t>
      </w:r>
      <w:r w:rsidR="00CE7B14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% de l’indice des produits alimentaires et de 0,</w:t>
      </w:r>
      <w:r w:rsidR="00CE7B14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%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53077D">
        <w:rPr>
          <w:rFonts w:ascii="Arial" w:hAnsi="Arial" w:cs="Arial"/>
          <w:lang w:bidi="ar-MA"/>
        </w:rPr>
        <w:t>mai</w:t>
      </w:r>
      <w:r w:rsidRPr="004B513F">
        <w:rPr>
          <w:rFonts w:ascii="Arial" w:hAnsi="Arial" w:cs="Arial"/>
          <w:lang w:bidi="ar-MA"/>
        </w:rPr>
        <w:t xml:space="preserve"> et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2022 concernent principalement les «</w:t>
      </w:r>
      <w:r w:rsidR="00CE7B14" w:rsidRPr="00CE7B14">
        <w:rPr>
          <w:rFonts w:ascii="Arial" w:hAnsi="Arial" w:cs="Arial"/>
          <w:lang w:bidi="ar-MA"/>
        </w:rPr>
        <w:t>Huiles et graisses</w:t>
      </w:r>
      <w:r w:rsidRPr="004B513F">
        <w:rPr>
          <w:rFonts w:ascii="Arial" w:hAnsi="Arial" w:cs="Arial"/>
          <w:lang w:bidi="ar-MA"/>
        </w:rPr>
        <w:t xml:space="preserve">» avec </w:t>
      </w:r>
      <w:r w:rsidR="00CE7B14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5F2BBD">
        <w:rPr>
          <w:rFonts w:ascii="Arial" w:hAnsi="Arial" w:cs="Arial" w:hint="cs"/>
          <w:rtl/>
          <w:lang w:bidi="ar-MA"/>
        </w:rPr>
        <w:t>7</w:t>
      </w:r>
      <w:r w:rsidR="00CE7B14">
        <w:rPr>
          <w:rFonts w:ascii="Arial" w:hAnsi="Arial" w:cs="Arial"/>
          <w:lang w:bidi="ar-MA"/>
        </w:rPr>
        <w:t>%, le</w:t>
      </w:r>
      <w:r w:rsidRPr="004B513F">
        <w:rPr>
          <w:rFonts w:ascii="Arial" w:hAnsi="Arial" w:cs="Arial"/>
          <w:lang w:bidi="ar-MA"/>
        </w:rPr>
        <w:t xml:space="preserve"> «</w:t>
      </w:r>
      <w:r w:rsidR="00CE7B14" w:rsidRPr="00CE7B14">
        <w:rPr>
          <w:rFonts w:ascii="Arial" w:hAnsi="Arial" w:cs="Arial"/>
          <w:lang w:bidi="ar-MA"/>
        </w:rPr>
        <w:t xml:space="preserve">Lait, fromage et </w:t>
      </w:r>
      <w:r w:rsidR="007E58F1" w:rsidRPr="00CE7B14">
        <w:rPr>
          <w:rFonts w:ascii="Arial" w:hAnsi="Arial" w:cs="Arial"/>
          <w:lang w:bidi="ar-MA"/>
        </w:rPr>
        <w:t>œufs</w:t>
      </w:r>
      <w:r w:rsidRPr="004B513F">
        <w:rPr>
          <w:rFonts w:ascii="Arial" w:hAnsi="Arial" w:cs="Arial"/>
          <w:lang w:bidi="ar-MA"/>
        </w:rPr>
        <w:t xml:space="preserve">» avec </w:t>
      </w:r>
      <w:r w:rsidR="00CE7B14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CE7B14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%, le</w:t>
      </w:r>
      <w:r w:rsidR="00CE7B14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2F223B" w:rsidRPr="002F223B">
        <w:rPr>
          <w:rFonts w:ascii="Arial" w:hAnsi="Arial" w:cs="Arial"/>
          <w:lang w:bidi="ar-MA"/>
        </w:rPr>
        <w:t>Eaux minérales, boissons rafraichissantes, jus de fruits et de légumes</w:t>
      </w:r>
      <w:r w:rsidRPr="004B513F">
        <w:rPr>
          <w:rFonts w:ascii="Arial" w:hAnsi="Arial" w:cs="Arial"/>
          <w:lang w:bidi="ar-MA"/>
        </w:rPr>
        <w:t xml:space="preserve">» avec </w:t>
      </w:r>
      <w:r w:rsidR="00CE7B14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2F223B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% et le «</w:t>
      </w:r>
      <w:r w:rsidR="00CE7B14" w:rsidRPr="00CE7B14">
        <w:rPr>
          <w:rFonts w:ascii="Arial" w:hAnsi="Arial" w:cs="Arial"/>
          <w:lang w:bidi="ar-MA"/>
        </w:rPr>
        <w:t>Café, thé et cacao</w:t>
      </w:r>
      <w:r w:rsidRPr="004B513F">
        <w:rPr>
          <w:rFonts w:ascii="Arial" w:hAnsi="Arial" w:cs="Arial"/>
          <w:lang w:bidi="ar-MA"/>
        </w:rPr>
        <w:t>» avec 0,</w:t>
      </w:r>
      <w:r w:rsidR="00CE7B14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%. En revanche, les prix ont </w:t>
      </w:r>
      <w:r w:rsidR="006E62F4">
        <w:rPr>
          <w:rFonts w:ascii="Arial" w:hAnsi="Arial" w:cs="Arial"/>
          <w:lang w:bidi="ar-MA"/>
        </w:rPr>
        <w:t>diminué</w:t>
      </w:r>
      <w:r w:rsidRPr="004B513F">
        <w:rPr>
          <w:rFonts w:ascii="Arial" w:hAnsi="Arial" w:cs="Arial"/>
          <w:lang w:bidi="ar-MA"/>
        </w:rPr>
        <w:t xml:space="preserve"> de </w:t>
      </w:r>
      <w:r w:rsidR="00CE7B14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CE7B14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% pour les «</w:t>
      </w:r>
      <w:r w:rsidR="00CE7B14" w:rsidRPr="00CE7B14">
        <w:rPr>
          <w:rFonts w:ascii="Arial" w:hAnsi="Arial" w:cs="Arial"/>
          <w:lang w:bidi="ar-MA"/>
        </w:rPr>
        <w:t>Légumes</w:t>
      </w:r>
      <w:r w:rsidRPr="004B513F">
        <w:rPr>
          <w:rFonts w:ascii="Arial" w:hAnsi="Arial" w:cs="Arial"/>
          <w:lang w:bidi="ar-MA"/>
        </w:rPr>
        <w:t>», de 2,</w:t>
      </w:r>
      <w:r w:rsidR="00CE7B14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% pour les «</w:t>
      </w:r>
      <w:r w:rsidR="00CE7B14" w:rsidRPr="00CE7B14">
        <w:rPr>
          <w:rFonts w:ascii="Arial" w:hAnsi="Arial" w:cs="Arial"/>
          <w:lang w:bidi="ar-MA"/>
        </w:rPr>
        <w:t>Poisson</w:t>
      </w:r>
      <w:r w:rsidR="00CE7B14">
        <w:rPr>
          <w:rFonts w:ascii="Arial" w:hAnsi="Arial" w:cs="Arial"/>
          <w:lang w:bidi="ar-MA"/>
        </w:rPr>
        <w:t>s</w:t>
      </w:r>
      <w:r w:rsidR="00CE7B14" w:rsidRPr="00CE7B14">
        <w:rPr>
          <w:rFonts w:ascii="Arial" w:hAnsi="Arial" w:cs="Arial"/>
          <w:lang w:bidi="ar-MA"/>
        </w:rPr>
        <w:t xml:space="preserve"> et fruits de mer</w:t>
      </w:r>
      <w:r w:rsidRPr="004B513F">
        <w:rPr>
          <w:rFonts w:ascii="Arial" w:hAnsi="Arial" w:cs="Arial"/>
          <w:lang w:bidi="ar-MA"/>
        </w:rPr>
        <w:t>»</w:t>
      </w:r>
      <w:r w:rsidR="009C2F78">
        <w:rPr>
          <w:rFonts w:ascii="Arial" w:hAnsi="Arial" w:cs="Arial"/>
          <w:lang w:bidi="ar-MA"/>
        </w:rPr>
        <w:t>,</w:t>
      </w:r>
      <w:r w:rsidRPr="004B513F">
        <w:rPr>
          <w:rFonts w:ascii="Arial" w:hAnsi="Arial" w:cs="Arial"/>
          <w:lang w:bidi="ar-MA"/>
        </w:rPr>
        <w:t xml:space="preserve"> </w:t>
      </w:r>
      <w:r w:rsidR="009C2F78" w:rsidRPr="004B513F">
        <w:rPr>
          <w:rFonts w:ascii="Arial" w:hAnsi="Arial" w:cs="Arial"/>
          <w:lang w:bidi="ar-MA"/>
        </w:rPr>
        <w:t>de 0,</w:t>
      </w:r>
      <w:r w:rsidR="009C2F78">
        <w:rPr>
          <w:rFonts w:ascii="Arial" w:hAnsi="Arial" w:cs="Arial"/>
          <w:lang w:bidi="ar-MA"/>
        </w:rPr>
        <w:t>2</w:t>
      </w:r>
      <w:r w:rsidR="009C2F78" w:rsidRPr="004B513F">
        <w:rPr>
          <w:rFonts w:ascii="Arial" w:hAnsi="Arial" w:cs="Arial"/>
          <w:lang w:bidi="ar-MA"/>
        </w:rPr>
        <w:t>% pour le</w:t>
      </w:r>
      <w:r w:rsidR="009C2F78">
        <w:rPr>
          <w:rFonts w:ascii="Arial" w:hAnsi="Arial" w:cs="Arial"/>
          <w:lang w:bidi="ar-MA"/>
        </w:rPr>
        <w:t>s</w:t>
      </w:r>
      <w:r w:rsidR="009C2F78" w:rsidRPr="004B513F">
        <w:rPr>
          <w:rFonts w:ascii="Arial" w:hAnsi="Arial" w:cs="Arial"/>
          <w:lang w:bidi="ar-MA"/>
        </w:rPr>
        <w:t xml:space="preserve"> «</w:t>
      </w:r>
      <w:r w:rsidR="009C2F78" w:rsidRPr="009C2F78">
        <w:rPr>
          <w:rFonts w:ascii="Arial" w:hAnsi="Arial" w:cs="Arial"/>
          <w:lang w:bidi="ar-MA"/>
        </w:rPr>
        <w:t>Fruits</w:t>
      </w:r>
      <w:r w:rsidR="009C2F78" w:rsidRPr="004B513F">
        <w:rPr>
          <w:rFonts w:ascii="Arial" w:hAnsi="Arial" w:cs="Arial"/>
          <w:lang w:bidi="ar-MA"/>
        </w:rPr>
        <w:t>»</w:t>
      </w:r>
      <w:r w:rsidR="009C2F78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et de 0,</w:t>
      </w:r>
      <w:r w:rsidR="009C2F78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% pour le</w:t>
      </w:r>
      <w:r w:rsidR="00CE7B14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CE7B14" w:rsidRPr="004B513F">
        <w:rPr>
          <w:rFonts w:ascii="Arial" w:hAnsi="Arial" w:cs="Arial"/>
          <w:lang w:bidi="ar-MA"/>
        </w:rPr>
        <w:t>Viandes</w:t>
      </w:r>
      <w:r w:rsidRPr="004B513F">
        <w:rPr>
          <w:rFonts w:ascii="Arial" w:hAnsi="Arial" w:cs="Arial"/>
          <w:lang w:bidi="ar-MA"/>
        </w:rPr>
        <w:t xml:space="preserve">». Pour les produits non alimentaires, la hausse a concerné principalement les prix des «Carburants» avec </w:t>
      </w:r>
      <w:r w:rsidR="00CE7B14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>,</w:t>
      </w:r>
      <w:r w:rsidR="00CE7B14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hausses les plus importantes de l’IPC ont été enregistrées à </w:t>
      </w:r>
      <w:r w:rsidR="00A91361" w:rsidRPr="00A91361">
        <w:rPr>
          <w:rFonts w:ascii="Arial" w:hAnsi="Arial" w:cs="Arial"/>
          <w:lang w:bidi="ar-MA"/>
        </w:rPr>
        <w:t>Meknès</w:t>
      </w:r>
      <w:r w:rsidR="00A91361">
        <w:rPr>
          <w:rFonts w:ascii="Arial" w:hAnsi="Arial" w:cs="Arial"/>
          <w:lang w:bidi="ar-MA"/>
        </w:rPr>
        <w:t xml:space="preserve"> et </w:t>
      </w:r>
      <w:r w:rsidR="00A91361" w:rsidRPr="00A91361">
        <w:rPr>
          <w:rFonts w:ascii="Arial" w:hAnsi="Arial" w:cs="Arial"/>
          <w:lang w:bidi="ar-MA"/>
        </w:rPr>
        <w:t>Beni-Mellal</w:t>
      </w:r>
      <w:r w:rsidRPr="004B513F">
        <w:rPr>
          <w:rFonts w:ascii="Arial" w:hAnsi="Arial" w:cs="Arial"/>
          <w:lang w:bidi="ar-MA"/>
        </w:rPr>
        <w:t xml:space="preserve"> avec 0,</w:t>
      </w:r>
      <w:r w:rsidR="00A91361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 xml:space="preserve">%, à </w:t>
      </w:r>
      <w:r w:rsidR="00A91361" w:rsidRPr="00A91361">
        <w:rPr>
          <w:rFonts w:ascii="Arial" w:hAnsi="Arial" w:cs="Arial"/>
          <w:lang w:bidi="ar-MA"/>
        </w:rPr>
        <w:t>Casablanca</w:t>
      </w:r>
      <w:r w:rsidR="00A91361">
        <w:rPr>
          <w:rFonts w:ascii="Arial" w:hAnsi="Arial" w:cs="Arial"/>
          <w:lang w:bidi="ar-MA"/>
        </w:rPr>
        <w:t xml:space="preserve"> et </w:t>
      </w:r>
      <w:r w:rsidR="00A91361" w:rsidRPr="00A91361">
        <w:rPr>
          <w:rFonts w:ascii="Arial" w:hAnsi="Arial" w:cs="Arial"/>
          <w:lang w:bidi="ar-MA"/>
        </w:rPr>
        <w:t>Marrakech</w:t>
      </w:r>
      <w:r w:rsidRPr="004B513F">
        <w:rPr>
          <w:rFonts w:ascii="Arial" w:hAnsi="Arial" w:cs="Arial"/>
          <w:lang w:bidi="ar-MA"/>
        </w:rPr>
        <w:t xml:space="preserve"> avec 0,</w:t>
      </w:r>
      <w:r w:rsidR="00A91361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%, à </w:t>
      </w:r>
      <w:r w:rsidR="00A91361" w:rsidRPr="00A91361">
        <w:rPr>
          <w:rFonts w:ascii="Arial" w:hAnsi="Arial" w:cs="Arial"/>
          <w:lang w:bidi="ar-MA"/>
        </w:rPr>
        <w:t>Tétouan</w:t>
      </w:r>
      <w:r w:rsidRPr="004B513F">
        <w:rPr>
          <w:rFonts w:ascii="Arial" w:hAnsi="Arial" w:cs="Arial"/>
          <w:lang w:bidi="ar-MA"/>
        </w:rPr>
        <w:t xml:space="preserve"> et </w:t>
      </w:r>
      <w:r w:rsidR="00A91361" w:rsidRPr="00A91361">
        <w:rPr>
          <w:rFonts w:ascii="Arial" w:hAnsi="Arial" w:cs="Arial"/>
          <w:lang w:bidi="ar-MA"/>
        </w:rPr>
        <w:t>Laâyoune</w:t>
      </w:r>
      <w:r w:rsidRPr="004B513F">
        <w:rPr>
          <w:rFonts w:ascii="Arial" w:hAnsi="Arial" w:cs="Arial"/>
          <w:lang w:bidi="ar-MA"/>
        </w:rPr>
        <w:t xml:space="preserve"> avec 0,</w:t>
      </w:r>
      <w:r w:rsidR="00A91361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%, à </w:t>
      </w:r>
      <w:r w:rsidR="00A91361" w:rsidRPr="00A91361">
        <w:rPr>
          <w:rFonts w:ascii="Arial" w:hAnsi="Arial" w:cs="Arial"/>
          <w:lang w:bidi="ar-MA"/>
        </w:rPr>
        <w:t>Agadir</w:t>
      </w:r>
      <w:r w:rsidR="00A91361">
        <w:rPr>
          <w:rFonts w:ascii="Arial" w:hAnsi="Arial" w:cs="Arial"/>
          <w:lang w:bidi="ar-MA"/>
        </w:rPr>
        <w:t xml:space="preserve"> et </w:t>
      </w:r>
      <w:r w:rsidR="00A91361" w:rsidRPr="00A91361">
        <w:rPr>
          <w:rFonts w:ascii="Arial" w:hAnsi="Arial" w:cs="Arial"/>
          <w:lang w:bidi="ar-MA"/>
        </w:rPr>
        <w:t>Oujda</w:t>
      </w:r>
      <w:r w:rsidRPr="004B513F">
        <w:rPr>
          <w:rFonts w:ascii="Arial" w:hAnsi="Arial" w:cs="Arial"/>
          <w:lang w:bidi="ar-MA"/>
        </w:rPr>
        <w:t xml:space="preserve"> avec 0,</w:t>
      </w:r>
      <w:r w:rsidR="00A91361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%</w:t>
      </w:r>
      <w:r w:rsidR="00A91361">
        <w:rPr>
          <w:rFonts w:ascii="Arial" w:hAnsi="Arial" w:cs="Arial"/>
          <w:lang w:bidi="ar-MA"/>
        </w:rPr>
        <w:t xml:space="preserve"> et </w:t>
      </w:r>
      <w:r w:rsidR="00A91361" w:rsidRPr="004B513F">
        <w:rPr>
          <w:rFonts w:ascii="Arial" w:hAnsi="Arial" w:cs="Arial"/>
          <w:lang w:bidi="ar-MA"/>
        </w:rPr>
        <w:t xml:space="preserve">à </w:t>
      </w:r>
      <w:r w:rsidR="00A91361" w:rsidRPr="00A91361">
        <w:rPr>
          <w:rFonts w:ascii="Arial" w:hAnsi="Arial" w:cs="Arial"/>
          <w:lang w:bidi="ar-MA"/>
        </w:rPr>
        <w:t>Kénitra</w:t>
      </w:r>
      <w:r w:rsidR="00A91361">
        <w:rPr>
          <w:rFonts w:ascii="Arial" w:hAnsi="Arial" w:cs="Arial"/>
          <w:lang w:bidi="ar-MA"/>
        </w:rPr>
        <w:t xml:space="preserve">, </w:t>
      </w:r>
      <w:r w:rsidR="00A91361" w:rsidRPr="00A91361">
        <w:rPr>
          <w:rFonts w:ascii="Arial" w:hAnsi="Arial" w:cs="Arial"/>
          <w:lang w:bidi="ar-MA"/>
        </w:rPr>
        <w:t>Rabat</w:t>
      </w:r>
      <w:r w:rsidR="00A91361">
        <w:rPr>
          <w:rFonts w:ascii="Arial" w:hAnsi="Arial" w:cs="Arial"/>
          <w:lang w:bidi="ar-MA"/>
        </w:rPr>
        <w:t xml:space="preserve">, </w:t>
      </w:r>
      <w:r w:rsidR="00A91361" w:rsidRPr="00A91361">
        <w:rPr>
          <w:rFonts w:ascii="Arial" w:hAnsi="Arial" w:cs="Arial"/>
          <w:lang w:bidi="ar-MA"/>
        </w:rPr>
        <w:t>Guelmim</w:t>
      </w:r>
      <w:r w:rsidR="00A91361">
        <w:rPr>
          <w:rFonts w:ascii="Arial" w:hAnsi="Arial" w:cs="Arial"/>
          <w:lang w:bidi="ar-MA"/>
        </w:rPr>
        <w:t xml:space="preserve"> et </w:t>
      </w:r>
      <w:r w:rsidR="00A91361" w:rsidRPr="00A91361">
        <w:rPr>
          <w:rFonts w:ascii="Arial" w:hAnsi="Arial" w:cs="Arial"/>
          <w:lang w:bidi="ar-MA"/>
        </w:rPr>
        <w:t>Settat</w:t>
      </w:r>
      <w:r w:rsidR="00A91361" w:rsidRPr="004B513F">
        <w:rPr>
          <w:rFonts w:ascii="Arial" w:hAnsi="Arial" w:cs="Arial"/>
          <w:lang w:bidi="ar-MA"/>
        </w:rPr>
        <w:t xml:space="preserve"> avec 0,</w:t>
      </w:r>
      <w:r w:rsidR="00A91361">
        <w:rPr>
          <w:rFonts w:ascii="Arial" w:hAnsi="Arial" w:cs="Arial"/>
          <w:lang w:bidi="ar-MA"/>
        </w:rPr>
        <w:t>5</w:t>
      </w:r>
      <w:r w:rsidR="00A91361" w:rsidRPr="004B513F">
        <w:rPr>
          <w:rFonts w:ascii="Arial" w:hAnsi="Arial" w:cs="Arial"/>
          <w:lang w:bidi="ar-MA"/>
        </w:rPr>
        <w:t>%</w:t>
      </w:r>
      <w:r w:rsidRPr="004B513F">
        <w:rPr>
          <w:rFonts w:ascii="Arial" w:hAnsi="Arial" w:cs="Arial"/>
          <w:lang w:bidi="ar-MA"/>
        </w:rPr>
        <w:t xml:space="preserve">. En revanche, </w:t>
      </w:r>
      <w:r w:rsidR="00A91361">
        <w:rPr>
          <w:rFonts w:ascii="Arial" w:hAnsi="Arial" w:cs="Arial"/>
          <w:lang w:bidi="ar-MA"/>
        </w:rPr>
        <w:t>une</w:t>
      </w:r>
      <w:r w:rsidRPr="004B513F">
        <w:rPr>
          <w:rFonts w:ascii="Arial" w:hAnsi="Arial" w:cs="Arial"/>
          <w:lang w:bidi="ar-MA"/>
        </w:rPr>
        <w:t xml:space="preserve"> baisse</w:t>
      </w:r>
      <w:r w:rsidR="00A91361">
        <w:rPr>
          <w:rFonts w:ascii="Arial" w:hAnsi="Arial" w:cs="Arial"/>
          <w:lang w:bidi="ar-MA"/>
        </w:rPr>
        <w:t xml:space="preserve"> a été enregistrée</w:t>
      </w:r>
      <w:r w:rsidRPr="004B513F">
        <w:rPr>
          <w:rFonts w:ascii="Arial" w:hAnsi="Arial" w:cs="Arial"/>
          <w:lang w:bidi="ar-MA"/>
        </w:rPr>
        <w:t xml:space="preserve"> à </w:t>
      </w:r>
      <w:r w:rsidR="00A91361" w:rsidRPr="00A91361">
        <w:rPr>
          <w:rFonts w:ascii="Arial" w:hAnsi="Arial" w:cs="Arial"/>
          <w:lang w:bidi="ar-MA"/>
        </w:rPr>
        <w:t>Fès</w:t>
      </w:r>
      <w:r w:rsidRPr="004B513F">
        <w:rPr>
          <w:rFonts w:ascii="Arial" w:hAnsi="Arial" w:cs="Arial"/>
          <w:lang w:bidi="ar-MA"/>
        </w:rPr>
        <w:t xml:space="preserve"> avec </w:t>
      </w:r>
      <w:r w:rsidR="00A91361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A91361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266E72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,</w:t>
      </w:r>
      <w:r w:rsidR="00266E72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au cours du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2022 conséquence de la hausse de l’indice des produits alimentaires de </w:t>
      </w:r>
      <w:r w:rsidR="001F6847">
        <w:rPr>
          <w:rFonts w:ascii="Arial" w:hAnsi="Arial" w:cs="Arial"/>
          <w:lang w:bidi="ar-MA"/>
        </w:rPr>
        <w:t>1</w:t>
      </w:r>
      <w:r w:rsidR="00266E72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266E72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266E72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266E72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>%. Pour les produits non alimentaires, les variations vont d’une hausse de 0,</w:t>
      </w:r>
      <w:r w:rsidR="00266E72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% pour la «</w:t>
      </w:r>
      <w:r w:rsidR="00266E72">
        <w:rPr>
          <w:rFonts w:ascii="Arial" w:hAnsi="Arial" w:cs="Arial"/>
          <w:lang w:bidi="ar-MA"/>
        </w:rPr>
        <w:t>Santé</w:t>
      </w:r>
      <w:r w:rsidRPr="004B513F">
        <w:rPr>
          <w:rFonts w:ascii="Arial" w:hAnsi="Arial" w:cs="Arial"/>
          <w:lang w:bidi="ar-MA"/>
        </w:rPr>
        <w:t xml:space="preserve">» à </w:t>
      </w:r>
      <w:r w:rsidR="00266E72">
        <w:rPr>
          <w:rFonts w:ascii="Arial" w:hAnsi="Arial" w:cs="Arial"/>
          <w:lang w:bidi="ar-MA"/>
        </w:rPr>
        <w:t>17</w:t>
      </w:r>
      <w:r w:rsidRPr="004B513F">
        <w:rPr>
          <w:rFonts w:ascii="Arial" w:hAnsi="Arial" w:cs="Arial"/>
          <w:lang w:bidi="ar-MA"/>
        </w:rPr>
        <w:t>,</w:t>
      </w:r>
      <w:r w:rsidR="00266E72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% pour  le «Transport».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2022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5050C3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% par rapport au mois d</w:t>
      </w:r>
      <w:r w:rsidR="00E02C7B">
        <w:rPr>
          <w:rFonts w:ascii="Arial" w:hAnsi="Arial" w:cs="Arial"/>
          <w:lang w:bidi="ar-MA"/>
        </w:rPr>
        <w:t xml:space="preserve">e </w:t>
      </w:r>
      <w:r w:rsidR="0053077D">
        <w:rPr>
          <w:rFonts w:ascii="Arial" w:hAnsi="Arial" w:cs="Arial"/>
          <w:lang w:bidi="ar-MA"/>
        </w:rPr>
        <w:t>mai</w:t>
      </w:r>
      <w:r w:rsidRPr="004B513F">
        <w:rPr>
          <w:rFonts w:ascii="Arial" w:hAnsi="Arial" w:cs="Arial"/>
          <w:lang w:bidi="ar-MA"/>
        </w:rPr>
        <w:t xml:space="preserve"> 2022 et de </w:t>
      </w:r>
      <w:r w:rsidR="005050C3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,</w:t>
      </w:r>
      <w:r w:rsidR="005050C3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de </w:t>
      </w:r>
      <w:r w:rsidR="0053077D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2021.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1F6847" w:rsidRDefault="001F6847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0367E" w:rsidRDefault="0053077D" w:rsidP="005050C3">
            <w:pPr>
              <w:jc w:val="center"/>
              <w:rPr>
                <w:b/>
                <w:bCs/>
                <w:sz w:val="22"/>
                <w:szCs w:val="22"/>
                <w:lang w:bidi="ar-MA"/>
              </w:rPr>
            </w:pPr>
            <w:r w:rsidRPr="0030367E">
              <w:rPr>
                <w:b/>
                <w:bCs/>
                <w:sz w:val="22"/>
                <w:szCs w:val="22"/>
                <w:lang w:bidi="ar-MA"/>
              </w:rPr>
              <w:t>Mai</w:t>
            </w:r>
            <w:r w:rsidR="004B513F" w:rsidRPr="0030367E">
              <w:rPr>
                <w:b/>
                <w:bCs/>
                <w:sz w:val="22"/>
                <w:szCs w:val="22"/>
                <w:lang w:bidi="ar-MA"/>
              </w:rPr>
              <w:t xml:space="preserve"> 2022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53077D" w:rsidP="005050C3">
            <w:pPr>
              <w:jc w:val="center"/>
              <w:rPr>
                <w:b/>
                <w:bCs/>
                <w:lang w:bidi="ar-MA"/>
              </w:rPr>
            </w:pPr>
            <w:r w:rsidRPr="0030367E">
              <w:rPr>
                <w:b/>
                <w:bCs/>
                <w:sz w:val="22"/>
                <w:szCs w:val="22"/>
                <w:lang w:bidi="ar-MA"/>
              </w:rPr>
              <w:t>Juin</w:t>
            </w:r>
            <w:r w:rsidR="004B513F" w:rsidRPr="0030367E">
              <w:rPr>
                <w:b/>
                <w:bCs/>
                <w:sz w:val="22"/>
                <w:szCs w:val="22"/>
                <w:lang w:bidi="ar-MA"/>
              </w:rPr>
              <w:t xml:space="preserve"> 2022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0367E">
              <w:rPr>
                <w:b/>
                <w:bCs/>
                <w:sz w:val="22"/>
                <w:szCs w:val="22"/>
                <w:lang w:bidi="ar-MA"/>
              </w:rPr>
              <w:t>Var.%</w:t>
            </w:r>
          </w:p>
        </w:tc>
      </w:tr>
      <w:tr w:rsidR="00EE66A3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EE66A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E66A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E66A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EE66A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E66A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E66A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E66A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E66A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EE66A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E66A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E66A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E66A3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E66A3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E66A3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3077D">
              <w:rPr>
                <w:b/>
                <w:bCs/>
                <w:lang w:bidi="ar-MA"/>
              </w:rPr>
              <w:t>six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EE66A3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7,8</w:t>
            </w:r>
          </w:p>
        </w:tc>
      </w:tr>
      <w:tr w:rsidR="00EE66A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</w:tr>
      <w:tr w:rsidR="00EE66A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EE66A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3,4</w:t>
            </w:r>
          </w:p>
        </w:tc>
      </w:tr>
      <w:tr w:rsidR="00EE66A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EE66A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E66A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EE66A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E66A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10,6</w:t>
            </w:r>
          </w:p>
        </w:tc>
      </w:tr>
      <w:tr w:rsidR="00EE66A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E66A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EE66A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EE66A3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E66A3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EE66A3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3077D">
              <w:rPr>
                <w:b/>
                <w:bCs/>
                <w:lang w:bidi="ar-MA"/>
              </w:rPr>
              <w:t>six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Mai</w:t>
            </w:r>
            <w:r w:rsidR="004B513F">
              <w:rPr>
                <w:b/>
                <w:bCs/>
                <w:lang w:bidi="ar-MA"/>
              </w:rPr>
              <w:t xml:space="preserve">  </w:t>
            </w:r>
          </w:p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53077D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EE66A3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</w:tr>
      <w:tr w:rsidR="00EE66A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5,1</w:t>
            </w:r>
          </w:p>
        </w:tc>
      </w:tr>
      <w:tr w:rsidR="00EE66A3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EE66A3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EE66A3" w:rsidRPr="00402008" w:rsidRDefault="00EE66A3" w:rsidP="005050C3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EE66A3" w:rsidRDefault="00EE66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814704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7F8" w:rsidRDefault="001B37F8">
      <w:r>
        <w:separator/>
      </w:r>
    </w:p>
  </w:endnote>
  <w:endnote w:type="continuationSeparator" w:id="0">
    <w:p w:rsidR="001B37F8" w:rsidRDefault="001B3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973DC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973DC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1470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14704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973DC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0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102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102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2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7F8" w:rsidRDefault="001B37F8">
      <w:r>
        <w:separator/>
      </w:r>
    </w:p>
  </w:footnote>
  <w:footnote w:type="continuationSeparator" w:id="0">
    <w:p w:rsidR="001B37F8" w:rsidRDefault="001B3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37F8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1FF8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23B"/>
    <w:rsid w:val="002F237C"/>
    <w:rsid w:val="002F3B72"/>
    <w:rsid w:val="0030367E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93828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2BBD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3AF5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F475F"/>
    <w:rsid w:val="007F478E"/>
    <w:rsid w:val="007F4A8D"/>
    <w:rsid w:val="00803256"/>
    <w:rsid w:val="00803806"/>
    <w:rsid w:val="0080593A"/>
    <w:rsid w:val="00807DC4"/>
    <w:rsid w:val="00811CEF"/>
    <w:rsid w:val="00814704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E6798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3DCD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1F37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1EE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A6AEF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14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0B2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6140"/>
    <w:rsid w:val="00ED0198"/>
    <w:rsid w:val="00EE0046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821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30</cp:revision>
  <cp:lastPrinted>2022-07-19T14:33:00Z</cp:lastPrinted>
  <dcterms:created xsi:type="dcterms:W3CDTF">2022-07-13T12:20:00Z</dcterms:created>
  <dcterms:modified xsi:type="dcterms:W3CDTF">2022-07-21T19:56:00Z</dcterms:modified>
</cp:coreProperties>
</file>