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33" w:rsidRDefault="00803633" w:rsidP="00803633">
      <w:pPr>
        <w:jc w:val="center"/>
        <w:rPr>
          <w:rtl/>
          <w:lang w:bidi="ar-MA"/>
        </w:rPr>
      </w:pPr>
    </w:p>
    <w:p w:rsidR="00803633" w:rsidRDefault="00803633" w:rsidP="00803633">
      <w:pPr>
        <w:jc w:val="center"/>
        <w:rPr>
          <w:rtl/>
          <w:lang w:bidi="tzm-Arab-MA"/>
        </w:rPr>
      </w:pPr>
    </w:p>
    <w:p w:rsidR="00F619F8" w:rsidRDefault="00F619F8" w:rsidP="00803633">
      <w:pPr>
        <w:jc w:val="center"/>
        <w:rPr>
          <w:rtl/>
          <w:lang w:bidi="tzm-Arab-MA"/>
        </w:rPr>
      </w:pPr>
    </w:p>
    <w:p w:rsidR="00803633" w:rsidRPr="00803633" w:rsidRDefault="00803633" w:rsidP="00803633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</w:pP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 xml:space="preserve">مذكرة إخبارية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  <w:t>لل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مندوبية السامية للتخطيط حول</w:t>
      </w:r>
    </w:p>
    <w:p w:rsid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</w:pP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وضعية سوق الشغل خلال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 xml:space="preserve">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 xml:space="preserve">الفصل </w:t>
      </w:r>
      <w:r w:rsidRPr="00803633">
        <w:rPr>
          <w:rFonts w:asciiTheme="majorBidi" w:hAnsiTheme="majorBidi" w:cstheme="majorBidi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الثاني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من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 xml:space="preserve"> </w:t>
      </w:r>
      <w:r w:rsidRPr="00803633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سنة 2022</w:t>
      </w:r>
    </w:p>
    <w:p w:rsidR="00043286" w:rsidRDefault="00043286" w:rsidP="0004328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tzm-Arab-MA"/>
        </w:rPr>
      </w:pPr>
    </w:p>
    <w:p w:rsid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3D5618" w:rsidRDefault="00A80667" w:rsidP="00A80667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أحدث الاقتصاد الوطني</w:t>
      </w: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،</w:t>
      </w: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3D5618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 بين الفصل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ال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ثاني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2021 ونفس الفصل من سنة 2022، </w:t>
      </w:r>
      <w:r w:rsidR="003D5618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133.000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منصب شغل،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وذلك </w:t>
      </w:r>
      <w:r w:rsidR="00043286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نتيجة</w:t>
      </w:r>
      <w:r w:rsidR="00043286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إحداث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3D5618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285.000 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منصب شغل بالوسط الحضري وفقدان </w:t>
      </w:r>
      <w:r w:rsidR="003D5618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152.000 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 بالوسط القروي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، مقابل 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إحداث </w:t>
      </w:r>
      <w:r w:rsidR="003D5618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405.000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خلال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الفصل الثاني من 2021 وفقدان </w:t>
      </w:r>
      <w:r w:rsidR="003D5618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589.000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خلال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نفس الفصل من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سنة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2020</w:t>
      </w:r>
      <w:r w:rsid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</w:p>
    <w:p w:rsidR="00FC31AF" w:rsidRDefault="00043286" w:rsidP="00A80667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ar-MA"/>
        </w:rPr>
      </w:pPr>
      <w:r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أحدث قطاع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"الخدمات"</w:t>
      </w:r>
      <w:r w:rsid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237.000</w:t>
      </w:r>
      <w:r w:rsidR="00EC383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 شغل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وقطاع "الصناعة "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76.000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منصب، وقطاع "البناء والأشغال العمومية"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30.000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منصب، في حين عرف قطاع "الفلاحة والغابة والصيد فقدان</w:t>
      </w:r>
      <w:r w:rsidR="00A8066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210.000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منصب.</w:t>
      </w:r>
    </w:p>
    <w:p w:rsidR="00FC31AF" w:rsidRDefault="00800CFB" w:rsidP="00A61E8A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ولقد عرف</w:t>
      </w: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حجم البطالة</w:t>
      </w:r>
      <w:r w:rsidR="00043286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انخفاضا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61E8A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A61E8A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C31AF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218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.000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</w:t>
      </w:r>
      <w:r w:rsidR="00FC31AF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EC383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نتيجة انخفاض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قدره 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182.000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عاطل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 و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36.000</w:t>
      </w:r>
      <w:r w:rsidR="00FC31AF"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FC31AF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القروي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بلغ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عدد العاطلين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1.387.000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شخص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.</w:t>
      </w:r>
    </w:p>
    <w:p w:rsidR="003D5618" w:rsidRPr="00800CFB" w:rsidRDefault="00800CFB" w:rsidP="00EC383C">
      <w:pPr>
        <w:bidi/>
        <w:jc w:val="both"/>
        <w:rPr>
          <w:rFonts w:asciiTheme="majorBidi" w:eastAsia="Book Antiqua" w:hAnsiTheme="majorBidi" w:cs="Times New Roman"/>
          <w:color w:val="365F91" w:themeColor="accent1" w:themeShade="BF"/>
          <w:sz w:val="28"/>
          <w:szCs w:val="28"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12,8%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11,2%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الوطني، من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18,2%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15,5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الحضري ومن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4,8%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4,2%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القروي. و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يبقى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معدل البطالة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م</w:t>
      </w:r>
      <w:r w:rsidR="00043286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رتفعا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بين الشباب المتراوحة أعمارهم مابين 15 و24 سنة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(30,2%)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و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حاملي الشهادات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(18%)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والنساء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(15,1%)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803633" w:rsidRPr="00983B3A" w:rsidRDefault="00043286" w:rsidP="00A80667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وانخفض عدد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النشيطين المشتغلين في حالة الشغل الناقص</w:t>
      </w:r>
      <w:r w:rsidR="00EC383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، خلال</w:t>
      </w:r>
      <w:r w:rsidR="00A8066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 xml:space="preserve"> نفس</w:t>
      </w:r>
      <w:r w:rsidR="00EC383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الفترة،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999.000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</w:t>
      </w:r>
      <w:r w:rsidRPr="00983B3A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939.000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 على المستوى الوطني،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551.000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500.000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بالمدن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448.000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439.000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بالقرى. وهكذا، انتقل معدل الشغل الناقص 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9,2%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8,5%</w:t>
      </w:r>
      <w:r w:rsidR="00E45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الوطني،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8,9%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7,7% </w:t>
      </w:r>
      <w:r w:rsidR="00E4538E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 ومن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9,5%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9,6% 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803633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بالوسط </w:t>
      </w:r>
      <w:r w:rsidR="00E4538E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A61E8A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القروي</w:t>
      </w:r>
      <w:r w:rsidR="00803633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="00803633" w:rsidRPr="00983B3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</w:p>
    <w:p w:rsidR="00983B3A" w:rsidRDefault="00983B3A" w:rsidP="00803633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983B3A" w:rsidRDefault="00983B3A" w:rsidP="00983B3A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983B3A" w:rsidRDefault="00983B3A" w:rsidP="00983B3A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rtl/>
          <w:lang w:bidi="tzm-Arab-MA"/>
        </w:rPr>
      </w:pPr>
    </w:p>
    <w:p w:rsidR="00043286" w:rsidRDefault="00043286" w:rsidP="00043286">
      <w:pPr>
        <w:tabs>
          <w:tab w:val="num" w:pos="720"/>
        </w:tabs>
        <w:bidi/>
        <w:spacing w:before="240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  <w:lang w:bidi="tzm-Arab-MA"/>
        </w:rPr>
      </w:pPr>
    </w:p>
    <w:p w:rsidR="00983B3A" w:rsidRPr="001C6903" w:rsidRDefault="00983B3A" w:rsidP="00983B3A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983B3A" w:rsidRPr="00C40DF5" w:rsidRDefault="00043286" w:rsidP="00983B3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  </w:t>
      </w:r>
      <w:r w:rsidR="00983B3A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انخفاض</w:t>
      </w:r>
      <w:r w:rsidR="00983B3A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النشاط </w:t>
      </w:r>
    </w:p>
    <w:p w:rsidR="00983B3A" w:rsidRPr="007D3E4E" w:rsidRDefault="00983B3A" w:rsidP="00B85D7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0,9</w:t>
      </w:r>
      <w:r w:rsidR="00A61E8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مقارنة مع نفس الفترة من سنة 202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1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ليبلغ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 </w:t>
      </w:r>
      <w:r w:rsidR="00043286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45,2%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يعزى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هذا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الانخفاض الى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زيادة السكان في سن النشاط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(15 سنة فأكثر)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1,4%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وتراجع عدد السكان النشيطين بـ</w:t>
      </w:r>
      <w:r w:rsidR="00B85D7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1%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7D3E4E" w:rsidRPr="007D3E4E" w:rsidRDefault="00983B3A" w:rsidP="00B85D7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043286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نخفاض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مهما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لقروي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-2,1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حيث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انتقل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141458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2,9%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50,8%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مقارنة بالوسط الحضري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-0,3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42,6%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42,3% 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هم هذا الانخفاض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النساء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-1,2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منتقلا من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22,5%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21,3%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85D7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أكثر من 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رجال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(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-0,7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نقطة)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70,6%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</w:t>
      </w:r>
      <w:r w:rsidR="007D3E4E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69,9%  </w:t>
      </w:r>
      <w:r w:rsidR="007D3E4E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983B3A" w:rsidRPr="00CA2562" w:rsidRDefault="00983B3A" w:rsidP="00983B3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مبيان 1: تطور معدل النشاط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خلال الفصل الثاني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منذ سنة 2017</w:t>
      </w:r>
      <w:r w:rsidR="00B85D7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983B3A" w:rsidRPr="001C6903" w:rsidRDefault="00983B3A" w:rsidP="00983B3A">
      <w:pPr>
        <w:autoSpaceDE w:val="0"/>
        <w:autoSpaceDN w:val="0"/>
        <w:bidi/>
        <w:adjustRightInd w:val="0"/>
        <w:spacing w:line="360" w:lineRule="auto"/>
        <w:jc w:val="right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5448300" cy="2047875"/>
            <wp:effectExtent l="0" t="0" r="0" b="0"/>
            <wp:docPr id="1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3B3A" w:rsidRPr="00AC2CA0" w:rsidRDefault="00B85D74" w:rsidP="001207E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استقر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معدل الشغل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على المستوى الوطني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40,2%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 هذا المعدل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بـ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0,8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 نقطة</w:t>
      </w:r>
      <w:r w:rsidR="00043286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الحضري (</w:t>
      </w:r>
      <w:r w:rsidR="001207E7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منتقلا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34,9%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إلى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35,7%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)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وانخفض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بـ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1,7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 بـالوسط القروي (من</w:t>
      </w:r>
      <w:r w:rsidR="001207E7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50,4%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إلى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48,7%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). ومن جهة أخرى، سجل هذا المعدل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ارتفاعا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في صفوف الرجال (</w:t>
      </w:r>
      <w:r w:rsidR="001207E7" w:rsidRPr="00FC20CC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MA"/>
        </w:rPr>
        <w:t>+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0,7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نقطة)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وانخفاضا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في صفوف النساء (</w:t>
      </w:r>
      <w:r w:rsidR="001207E7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0,9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).</w:t>
      </w:r>
    </w:p>
    <w:p w:rsidR="00983B3A" w:rsidRPr="001C6903" w:rsidRDefault="00983B3A" w:rsidP="00983B3A">
      <w:pPr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C6903">
        <w:rPr>
          <w:rFonts w:asciiTheme="majorBidi" w:hAnsiTheme="majorBidi" w:cstheme="majorBidi"/>
          <w:b/>
          <w:bCs/>
          <w:color w:val="000000" w:themeColor="text1"/>
          <w:rtl/>
        </w:rPr>
        <w:br w:type="page"/>
      </w:r>
    </w:p>
    <w:p w:rsidR="00983B3A" w:rsidRPr="001207E7" w:rsidRDefault="00983B3A" w:rsidP="00983B3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lastRenderedPageBreak/>
        <w:t>مبيان 2: تطور معدل الشغل</w:t>
      </w:r>
      <w:r w:rsidRPr="001207E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خلال الفصل الثاني</w:t>
      </w:r>
      <w:r w:rsidRPr="001207E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منذ سنة 2017 </w:t>
      </w:r>
      <w:r w:rsidRPr="001207E7">
        <w:rPr>
          <w:rFonts w:asciiTheme="majorBidi" w:hAnsiTheme="majorBidi" w:cstheme="majorBidi"/>
          <w:b/>
          <w:bCs/>
          <w:rtl/>
        </w:rPr>
        <w:t>(ب %)</w:t>
      </w:r>
    </w:p>
    <w:p w:rsidR="00983B3A" w:rsidRPr="001C6903" w:rsidRDefault="00983B3A" w:rsidP="00983B3A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noProof/>
          <w:lang w:eastAsia="fr-FR"/>
        </w:rPr>
        <w:drawing>
          <wp:inline distT="0" distB="0" distL="0" distR="0">
            <wp:extent cx="5760720" cy="2658745"/>
            <wp:effectExtent l="0" t="0" r="0" b="0"/>
            <wp:docPr id="11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3B3A" w:rsidRPr="00C40DF5" w:rsidRDefault="001207E7" w:rsidP="001207E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إحداث 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مناصب الشغل</w:t>
      </w:r>
      <w:r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،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</w:t>
      </w:r>
      <w:r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حصريا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مِؤدى</w:t>
      </w:r>
      <w:r w:rsidR="00F619F8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</w:t>
      </w:r>
      <w:r w:rsidR="00983B3A" w:rsidRPr="00FC20CC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عنها</w:t>
      </w:r>
    </w:p>
    <w:p w:rsidR="00983B3A" w:rsidRPr="00AC2CA0" w:rsidRDefault="00983B3A" w:rsidP="001207E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أحدث الاقتصاد الوطني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133.000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="001207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شغل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خلال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الفصل الثاني من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وهو ما يمثل ارتفاعا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1%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نتيجة </w:t>
      </w:r>
      <w:r w:rsidR="00EC383C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حداث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285.000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بالوسط الحضري (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(+5%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152.000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-3%)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983B3A" w:rsidRPr="00983B3A" w:rsidRDefault="001207E7" w:rsidP="001207E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299.000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مؤدى عنه،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إحداث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307.000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وفقدان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الشغل غير 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مؤدى عنه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166.000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شغل،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فقدان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144.000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الحضري.</w:t>
      </w:r>
    </w:p>
    <w:p w:rsidR="00983B3A" w:rsidRPr="001207E7" w:rsidRDefault="00983B3A" w:rsidP="001207E7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مبيان </w:t>
      </w:r>
      <w:r w:rsidRPr="001207E7">
        <w:rPr>
          <w:rFonts w:asciiTheme="majorBidi" w:hAnsiTheme="majorBidi" w:cstheme="majorBidi"/>
          <w:b/>
          <w:bCs/>
          <w:color w:val="000000" w:themeColor="text1"/>
        </w:rPr>
        <w:t>3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: </w:t>
      </w:r>
      <w:r w:rsidR="001207E7"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التغير الصافي لمناصب الشغل </w:t>
      </w:r>
      <w:r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خلال الفصل الثاني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 بين سنتي 2</w:t>
      </w:r>
      <w:r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1</w:t>
      </w:r>
      <w:r w:rsidRPr="001207E7">
        <w:rPr>
          <w:rFonts w:asciiTheme="majorBidi" w:hAnsiTheme="majorBidi" w:cstheme="majorBidi"/>
          <w:b/>
          <w:bCs/>
          <w:color w:val="000000" w:themeColor="text1"/>
        </w:rPr>
        <w:t>20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 و</w:t>
      </w:r>
      <w:r w:rsidRPr="001207E7">
        <w:rPr>
          <w:rFonts w:asciiTheme="majorBidi" w:hAnsiTheme="majorBidi" w:cstheme="majorBidi"/>
          <w:b/>
          <w:bCs/>
          <w:color w:val="000000" w:themeColor="text1"/>
        </w:rPr>
        <w:t>2022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 xml:space="preserve"> حسب نوع الشغل </w:t>
      </w:r>
      <w:r w:rsidR="00141458"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و</w:t>
      </w:r>
      <w:r w:rsidRPr="001207E7">
        <w:rPr>
          <w:rFonts w:asciiTheme="majorBidi" w:hAnsiTheme="majorBidi" w:cstheme="majorBidi"/>
          <w:b/>
          <w:bCs/>
          <w:color w:val="000000" w:themeColor="text1"/>
          <w:rtl/>
        </w:rPr>
        <w:t>وسط الإقامة</w:t>
      </w:r>
      <w:r w:rsidR="00141458"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="00DC44AD"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(بالآلاف)</w:t>
      </w:r>
      <w:r w:rsidR="001207E7" w:rsidRPr="001207E7"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</w:p>
    <w:p w:rsidR="005639C8" w:rsidRPr="00CA2562" w:rsidRDefault="005639C8" w:rsidP="005639C8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tzm-Arab-MA"/>
        </w:rPr>
      </w:pPr>
      <w:r w:rsidRPr="005639C8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572000" cy="2428875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4AD" w:rsidRDefault="00141458" w:rsidP="00DC44AD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95B3D7" w:themeColor="accent1" w:themeTint="99"/>
          <w:sz w:val="28"/>
          <w:szCs w:val="28"/>
          <w:lang w:eastAsia="en-US"/>
        </w:rPr>
      </w:pPr>
      <w:r w:rsidRPr="00FF556C">
        <w:rPr>
          <w:rFonts w:asciiTheme="majorBidi" w:eastAsiaTheme="minorHAnsi" w:hAnsiTheme="majorBidi" w:cstheme="majorBidi" w:hint="cs"/>
          <w:b/>
          <w:bCs/>
          <w:color w:val="95B3D7" w:themeColor="accent1" w:themeTint="99"/>
          <w:sz w:val="28"/>
          <w:szCs w:val="28"/>
          <w:rtl/>
          <w:lang w:eastAsia="en-US"/>
        </w:rPr>
        <w:lastRenderedPageBreak/>
        <w:t xml:space="preserve">قطاعي </w:t>
      </w:r>
      <w:r w:rsidRPr="00FF556C">
        <w:rPr>
          <w:rFonts w:asciiTheme="majorBidi" w:eastAsiaTheme="minorHAnsi" w:hAnsiTheme="majorBidi" w:cstheme="majorBidi"/>
          <w:b/>
          <w:bCs/>
          <w:color w:val="95B3D7" w:themeColor="accent1" w:themeTint="99"/>
          <w:sz w:val="28"/>
          <w:szCs w:val="28"/>
          <w:rtl/>
          <w:lang w:eastAsia="en-US"/>
        </w:rPr>
        <w:t>"</w:t>
      </w:r>
      <w:r w:rsidRPr="00FF556C">
        <w:rPr>
          <w:rFonts w:asciiTheme="majorBidi" w:eastAsiaTheme="minorHAnsi" w:hAnsiTheme="majorBidi" w:cstheme="majorBidi" w:hint="cs"/>
          <w:b/>
          <w:bCs/>
          <w:color w:val="95B3D7" w:themeColor="accent1" w:themeTint="99"/>
          <w:sz w:val="28"/>
          <w:szCs w:val="28"/>
          <w:rtl/>
          <w:lang w:eastAsia="en-US"/>
        </w:rPr>
        <w:t>الخدمات</w:t>
      </w:r>
      <w:r w:rsidRPr="00FF556C">
        <w:rPr>
          <w:rFonts w:asciiTheme="majorBidi" w:eastAsiaTheme="minorHAnsi" w:hAnsiTheme="majorBidi" w:cstheme="majorBidi"/>
          <w:b/>
          <w:bCs/>
          <w:color w:val="95B3D7" w:themeColor="accent1" w:themeTint="99"/>
          <w:sz w:val="28"/>
          <w:szCs w:val="28"/>
          <w:rtl/>
          <w:lang w:eastAsia="en-US"/>
        </w:rPr>
        <w:t>"</w:t>
      </w:r>
      <w:r w:rsidRPr="00FF556C">
        <w:rPr>
          <w:rFonts w:asciiTheme="majorBidi" w:eastAsiaTheme="minorHAnsi" w:hAnsiTheme="majorBidi" w:cstheme="majorBidi" w:hint="cs"/>
          <w:b/>
          <w:bCs/>
          <w:color w:val="95B3D7" w:themeColor="accent1" w:themeTint="99"/>
          <w:sz w:val="28"/>
          <w:szCs w:val="28"/>
          <w:rtl/>
          <w:lang w:eastAsia="en-US"/>
        </w:rPr>
        <w:t xml:space="preserve"> و</w:t>
      </w:r>
      <w:r w:rsidRPr="00FF556C">
        <w:rPr>
          <w:rFonts w:asciiTheme="majorBidi" w:eastAsiaTheme="minorHAnsi" w:hAnsiTheme="majorBidi" w:cstheme="majorBidi"/>
          <w:b/>
          <w:bCs/>
          <w:color w:val="95B3D7" w:themeColor="accent1" w:themeTint="99"/>
          <w:sz w:val="28"/>
          <w:szCs w:val="28"/>
          <w:rtl/>
          <w:lang w:eastAsia="en-US"/>
        </w:rPr>
        <w:t>"الفلاحة والغابات والصيد"</w:t>
      </w:r>
      <w:r w:rsidRPr="00FF556C">
        <w:rPr>
          <w:rFonts w:asciiTheme="majorBidi" w:eastAsiaTheme="minorHAnsi" w:hAnsiTheme="majorBidi" w:cstheme="majorBidi" w:hint="cs"/>
          <w:b/>
          <w:bCs/>
          <w:color w:val="95B3D7" w:themeColor="accent1" w:themeTint="99"/>
          <w:sz w:val="28"/>
          <w:szCs w:val="28"/>
          <w:rtl/>
          <w:lang w:eastAsia="en-US"/>
        </w:rPr>
        <w:t xml:space="preserve"> في مقدمة القطاعات المساهمة في توفير مناصب الشغل</w:t>
      </w:r>
    </w:p>
    <w:p w:rsidR="00141458" w:rsidRPr="004B2DF7" w:rsidRDefault="00141458" w:rsidP="00DC44AD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sz w:val="28"/>
          <w:szCs w:val="28"/>
        </w:rPr>
      </w:pP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من بين </w:t>
      </w:r>
      <w:r w:rsidR="00DC44AD">
        <w:rPr>
          <w:rFonts w:asciiTheme="majorBidi" w:hAnsiTheme="majorBidi" w:cstheme="majorBidi"/>
          <w:sz w:val="28"/>
          <w:szCs w:val="28"/>
        </w:rPr>
        <w:t>11</w:t>
      </w:r>
      <w:r w:rsidRPr="004B2DF7">
        <w:rPr>
          <w:rFonts w:asciiTheme="majorBidi" w:hAnsiTheme="majorBidi" w:cstheme="majorBidi"/>
          <w:sz w:val="28"/>
          <w:szCs w:val="28"/>
        </w:rPr>
        <w:t>.</w:t>
      </w:r>
      <w:r w:rsidR="00DC44AD">
        <w:rPr>
          <w:rFonts w:asciiTheme="majorBidi" w:hAnsiTheme="majorBidi" w:cstheme="majorBidi"/>
          <w:sz w:val="28"/>
          <w:szCs w:val="28"/>
        </w:rPr>
        <w:t>025</w:t>
      </w:r>
      <w:r w:rsidRPr="004B2DF7">
        <w:rPr>
          <w:rFonts w:asciiTheme="majorBidi" w:hAnsiTheme="majorBidi" w:cstheme="majorBidi"/>
          <w:sz w:val="28"/>
          <w:szCs w:val="28"/>
        </w:rPr>
        <w:t>.000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نشيط مشتغل خلال الفصل الثاني من سنة </w:t>
      </w:r>
      <w:r w:rsidR="00DC44AD">
        <w:rPr>
          <w:rFonts w:asciiTheme="majorBidi" w:hAnsiTheme="majorBidi" w:cstheme="majorBidi"/>
          <w:sz w:val="28"/>
          <w:szCs w:val="28"/>
        </w:rPr>
        <w:t>2022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4B2DF7">
        <w:rPr>
          <w:rFonts w:asciiTheme="majorBidi" w:hAnsiTheme="majorBidi" w:cstheme="majorBidi"/>
          <w:sz w:val="28"/>
          <w:szCs w:val="28"/>
          <w:rtl/>
        </w:rPr>
        <w:t>يشغل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الخدمات</w:t>
      </w:r>
      <w:r w:rsidR="00F619F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</w:rPr>
        <w:t>4</w:t>
      </w:r>
      <w:r w:rsidR="00DC44AD">
        <w:rPr>
          <w:rFonts w:asciiTheme="majorBidi" w:hAnsiTheme="majorBidi" w:cstheme="majorBidi"/>
          <w:sz w:val="28"/>
          <w:szCs w:val="28"/>
        </w:rPr>
        <w:t>6</w:t>
      </w:r>
      <w:r w:rsidRPr="004B2DF7">
        <w:rPr>
          <w:rFonts w:asciiTheme="majorBidi" w:hAnsiTheme="majorBidi" w:cstheme="majorBidi"/>
          <w:sz w:val="28"/>
          <w:szCs w:val="28"/>
        </w:rPr>
        <w:t>,</w:t>
      </w:r>
      <w:r w:rsidR="00DC44AD">
        <w:rPr>
          <w:rFonts w:asciiTheme="majorBidi" w:hAnsiTheme="majorBidi" w:cstheme="majorBidi"/>
          <w:sz w:val="28"/>
          <w:szCs w:val="28"/>
        </w:rPr>
        <w:t>8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،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متبوعا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قطاع "الفلاحة والغابات والصيد" بنسبة </w:t>
      </w:r>
      <w:r w:rsidRPr="004B2DF7">
        <w:rPr>
          <w:rFonts w:asciiTheme="majorBidi" w:hAnsiTheme="majorBidi" w:cstheme="majorBidi"/>
          <w:sz w:val="28"/>
          <w:szCs w:val="28"/>
        </w:rPr>
        <w:t>3</w:t>
      </w:r>
      <w:r w:rsidR="00DC44AD">
        <w:rPr>
          <w:rFonts w:asciiTheme="majorBidi" w:hAnsiTheme="majorBidi" w:cstheme="majorBidi"/>
          <w:sz w:val="28"/>
          <w:szCs w:val="28"/>
        </w:rPr>
        <w:t>0</w:t>
      </w:r>
      <w:r w:rsidRPr="004B2DF7">
        <w:rPr>
          <w:rFonts w:asciiTheme="majorBidi" w:hAnsiTheme="majorBidi" w:cstheme="majorBidi"/>
          <w:sz w:val="28"/>
          <w:szCs w:val="28"/>
        </w:rPr>
        <w:t>,</w:t>
      </w:r>
      <w:r w:rsidR="00DC44AD">
        <w:rPr>
          <w:rFonts w:asciiTheme="majorBidi" w:hAnsiTheme="majorBidi" w:cstheme="majorBidi"/>
          <w:sz w:val="28"/>
          <w:szCs w:val="28"/>
        </w:rPr>
        <w:t>8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وقطاع "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الصناعة</w:t>
      </w:r>
      <w:r w:rsidRPr="004B2DF7">
        <w:rPr>
          <w:rFonts w:asciiTheme="majorBidi" w:hAnsiTheme="majorBidi" w:cstheme="majorBidi"/>
          <w:sz w:val="28"/>
          <w:szCs w:val="28"/>
          <w:rtl/>
        </w:rPr>
        <w:t>" بنسبة</w:t>
      </w:r>
      <w:r w:rsidRPr="004B2DF7">
        <w:rPr>
          <w:rFonts w:asciiTheme="majorBidi" w:hAnsiTheme="majorBidi" w:cstheme="majorBidi"/>
          <w:sz w:val="28"/>
          <w:szCs w:val="28"/>
        </w:rPr>
        <w:t>11,</w:t>
      </w:r>
      <w:r w:rsidR="00DC44AD">
        <w:rPr>
          <w:rFonts w:asciiTheme="majorBidi" w:hAnsiTheme="majorBidi" w:cstheme="majorBidi"/>
          <w:sz w:val="28"/>
          <w:szCs w:val="28"/>
        </w:rPr>
        <w:t>7</w:t>
      </w:r>
      <w:r w:rsidRPr="004B2DF7">
        <w:rPr>
          <w:rFonts w:asciiTheme="majorBidi" w:hAnsiTheme="majorBidi" w:cstheme="majorBidi"/>
          <w:sz w:val="28"/>
          <w:szCs w:val="28"/>
        </w:rPr>
        <w:t xml:space="preserve">%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وقطاع "البناء والأشغال العمومية" بنسبة </w:t>
      </w:r>
      <w:r w:rsidRPr="004B2DF7">
        <w:rPr>
          <w:rFonts w:asciiTheme="majorBidi" w:hAnsiTheme="majorBidi" w:cstheme="majorBidi"/>
          <w:sz w:val="28"/>
          <w:szCs w:val="28"/>
        </w:rPr>
        <w:t>10,</w:t>
      </w:r>
      <w:r w:rsidR="00DC44AD">
        <w:rPr>
          <w:rFonts w:asciiTheme="majorBidi" w:hAnsiTheme="majorBidi" w:cstheme="majorBidi"/>
          <w:sz w:val="28"/>
          <w:szCs w:val="28"/>
        </w:rPr>
        <w:t>7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41458" w:rsidRPr="004B2DF7" w:rsidRDefault="00141458" w:rsidP="00D13C87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4B2DF7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4B2DF7">
        <w:rPr>
          <w:rFonts w:asciiTheme="majorBidi" w:hAnsiTheme="majorBidi" w:cstheme="majorBidi"/>
          <w:sz w:val="28"/>
          <w:szCs w:val="28"/>
          <w:rtl/>
        </w:rPr>
        <w:t>يشتغل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ما يق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رب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سبعة نشيطين مشتغلين ب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الوسط القروي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من بين كل عشرة </w:t>
      </w:r>
      <w:r w:rsidR="00DC44AD">
        <w:rPr>
          <w:rFonts w:asciiTheme="majorBidi" w:hAnsiTheme="majorBidi" w:cstheme="majorBidi"/>
          <w:sz w:val="28"/>
          <w:szCs w:val="28"/>
        </w:rPr>
        <w:t>68,1</w:t>
      </w:r>
      <w:r w:rsidRPr="004B2DF7">
        <w:rPr>
          <w:rFonts w:asciiTheme="majorBidi" w:hAnsiTheme="majorBidi" w:cstheme="majorBidi"/>
          <w:sz w:val="28"/>
          <w:szCs w:val="28"/>
        </w:rPr>
        <w:t>%)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قطاع </w:t>
      </w:r>
      <w:r w:rsidR="00D13C87" w:rsidRPr="004B2DF7">
        <w:rPr>
          <w:rFonts w:asciiTheme="majorBidi" w:hAnsiTheme="majorBidi" w:cstheme="majorBidi"/>
          <w:sz w:val="28"/>
          <w:szCs w:val="28"/>
          <w:rtl/>
        </w:rPr>
        <w:t>"</w:t>
      </w:r>
      <w:r w:rsidRPr="004B2DF7">
        <w:rPr>
          <w:rFonts w:asciiTheme="majorBidi" w:hAnsiTheme="majorBidi" w:cstheme="majorBidi"/>
          <w:sz w:val="28"/>
          <w:szCs w:val="28"/>
          <w:rtl/>
        </w:rPr>
        <w:t>الفلاحة والغاب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والصيد</w:t>
      </w:r>
      <w:r w:rsidR="00D13C87" w:rsidRPr="004B2DF7">
        <w:rPr>
          <w:rFonts w:asciiTheme="majorBidi" w:hAnsiTheme="majorBidi" w:cstheme="majorBidi"/>
          <w:sz w:val="28"/>
          <w:szCs w:val="28"/>
          <w:rtl/>
        </w:rPr>
        <w:t>"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، فيما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يشتغل </w:t>
      </w:r>
      <w:r w:rsidRPr="004B2DF7">
        <w:rPr>
          <w:rFonts w:asciiTheme="majorBidi" w:hAnsiTheme="majorBidi" w:cstheme="majorBidi"/>
          <w:sz w:val="28"/>
          <w:szCs w:val="28"/>
          <w:rtl/>
        </w:rPr>
        <w:t>قرابة ثلثي</w:t>
      </w:r>
      <w:r w:rsidR="00DC44AD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النشيطين المشتغلين بالوسط الحضري (</w:t>
      </w:r>
      <w:r w:rsidRPr="004B2DF7">
        <w:rPr>
          <w:rFonts w:asciiTheme="majorBidi" w:hAnsiTheme="majorBidi" w:cstheme="majorBidi"/>
          <w:sz w:val="28"/>
          <w:szCs w:val="28"/>
        </w:rPr>
        <w:t>66,</w:t>
      </w:r>
      <w:r w:rsidR="00DC44AD">
        <w:rPr>
          <w:rFonts w:asciiTheme="majorBidi" w:hAnsiTheme="majorBidi" w:cstheme="majorBidi"/>
          <w:sz w:val="28"/>
          <w:szCs w:val="28"/>
        </w:rPr>
        <w:t>5</w:t>
      </w:r>
      <w:r w:rsidRPr="004B2DF7">
        <w:rPr>
          <w:rFonts w:asciiTheme="majorBidi" w:hAnsiTheme="majorBidi" w:cstheme="majorBidi"/>
          <w:sz w:val="28"/>
          <w:szCs w:val="28"/>
        </w:rPr>
        <w:t>%</w:t>
      </w:r>
      <w:r w:rsidRPr="004B2DF7">
        <w:rPr>
          <w:rFonts w:asciiTheme="majorBidi" w:hAnsiTheme="majorBidi" w:cstheme="majorBidi"/>
          <w:sz w:val="28"/>
          <w:szCs w:val="28"/>
          <w:rtl/>
        </w:rPr>
        <w:t>)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قطاع </w:t>
      </w:r>
      <w:r w:rsidR="00D13C87" w:rsidRPr="004B2DF7">
        <w:rPr>
          <w:rFonts w:asciiTheme="majorBidi" w:hAnsiTheme="majorBidi" w:cstheme="majorBidi"/>
          <w:sz w:val="28"/>
          <w:szCs w:val="28"/>
          <w:rtl/>
        </w:rPr>
        <w:t>"</w:t>
      </w:r>
      <w:r w:rsidRPr="004B2DF7">
        <w:rPr>
          <w:rFonts w:asciiTheme="majorBidi" w:hAnsiTheme="majorBidi" w:cstheme="majorBidi"/>
          <w:sz w:val="28"/>
          <w:szCs w:val="28"/>
          <w:rtl/>
        </w:rPr>
        <w:t>الخدمات</w:t>
      </w:r>
      <w:r w:rsidR="00D13C87" w:rsidRPr="004B2DF7">
        <w:rPr>
          <w:rFonts w:asciiTheme="majorBidi" w:hAnsiTheme="majorBidi" w:cstheme="majorBidi"/>
          <w:sz w:val="28"/>
          <w:szCs w:val="28"/>
          <w:rtl/>
        </w:rPr>
        <w:t>"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83B3A" w:rsidRPr="00C40DF5" w:rsidRDefault="00983B3A" w:rsidP="00DC44AD">
      <w:pPr>
        <w:bidi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باستثناء </w:t>
      </w:r>
      <w:r w:rsidRPr="00DC44AD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"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الفلاحة والغابات والصيد"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، ساهمت</w:t>
      </w:r>
      <w:r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جميع القطاعات 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في </w:t>
      </w:r>
      <w:r w:rsidR="00DC44AD" w:rsidRP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إحداث</w:t>
      </w:r>
      <w:r w:rsidR="00DC44AD"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="00DC44AD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>مناصب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الشغل</w:t>
      </w:r>
    </w:p>
    <w:p w:rsidR="00983B3A" w:rsidRPr="00AC2CA0" w:rsidRDefault="00983B3A" w:rsidP="00D13C8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"الفلاحة والغابة والصيد"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210.000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نصب شغل على المستوى الوطني (فقد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226.000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 القروي وإحدا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ث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16.000 بالوسط الحضري)،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وهو مايمثل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انخفاض بـ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القطاع.</w:t>
      </w:r>
    </w:p>
    <w:p w:rsidR="00983B3A" w:rsidRPr="00AC2CA0" w:rsidRDefault="00983B3A" w:rsidP="00EC383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كما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237.000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على الصعيد الوطني (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184.000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53.000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القروي)، مسجلاً ارتفاعا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5%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حجم االشغل بهذا القطاع.</w:t>
      </w:r>
    </w:p>
    <w:p w:rsidR="00983B3A" w:rsidRPr="00AC2CA0" w:rsidRDefault="00983B3A" w:rsidP="00DC44AD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DC44A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76.000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69.000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5639C8" w:rsidRDefault="00983B3A" w:rsidP="005639C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حين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و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14.000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بالوسط القروي. </w:t>
      </w:r>
    </w:p>
    <w:p w:rsidR="008657D0" w:rsidRDefault="005639C8" w:rsidP="005639C8">
      <w:pPr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 w:bidi="tzm-Arab-MA"/>
        </w:rPr>
      </w:pPr>
      <w:r w:rsidRPr="005639C8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مبيان </w:t>
      </w:r>
      <w:r w:rsidRPr="005639C8">
        <w:rPr>
          <w:rFonts w:asciiTheme="majorBidi" w:eastAsia="Times New Roman" w:hAnsiTheme="majorBidi" w:cstheme="majorBidi"/>
          <w:b/>
          <w:bCs/>
          <w:lang w:eastAsia="fr-FR"/>
        </w:rPr>
        <w:t>4</w:t>
      </w:r>
      <w:r w:rsidRPr="005639C8">
        <w:rPr>
          <w:rFonts w:asciiTheme="majorBidi" w:eastAsia="Times New Roman" w:hAnsiTheme="majorBidi" w:cstheme="majorBidi"/>
          <w:b/>
          <w:bCs/>
          <w:rtl/>
          <w:lang w:eastAsia="fr-FR"/>
        </w:rPr>
        <w:t>: صافي التغير في الشغل</w:t>
      </w:r>
      <w:r w:rsidRPr="005639C8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خلال الفصل الثاني</w:t>
      </w:r>
      <w:r w:rsidRPr="005639C8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بين سنتي </w:t>
      </w:r>
      <w:r w:rsidRPr="005639C8">
        <w:rPr>
          <w:rFonts w:asciiTheme="majorBidi" w:eastAsia="Times New Roman" w:hAnsiTheme="majorBidi" w:cstheme="majorBidi"/>
          <w:b/>
          <w:bCs/>
          <w:lang w:eastAsia="fr-FR"/>
        </w:rPr>
        <w:t>2021</w:t>
      </w:r>
      <w:r w:rsidRPr="005639C8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</w:t>
      </w:r>
      <w:r w:rsidRPr="005639C8">
        <w:rPr>
          <w:rFonts w:asciiTheme="majorBidi" w:eastAsia="Times New Roman" w:hAnsiTheme="majorBidi" w:cstheme="majorBidi"/>
          <w:b/>
          <w:bCs/>
          <w:lang w:eastAsia="fr-FR"/>
        </w:rPr>
        <w:t>2022</w:t>
      </w:r>
      <w:r w:rsidRPr="005639C8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حسب قطاعات النشاط الاقتصادي ووسط الإقامة</w:t>
      </w:r>
      <w:r w:rsidRPr="005639C8">
        <w:rPr>
          <w:rStyle w:val="Appelnotedebasdep"/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</w:t>
      </w:r>
      <w:r w:rsidRPr="005639C8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eastAsia="fr-FR"/>
        </w:rPr>
        <w:t>(بالآلاف</w:t>
      </w:r>
      <w:r w:rsidRPr="005639C8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eastAsia="fr-FR" w:bidi="tzm-Arab-MA"/>
        </w:rPr>
        <w:t>)</w:t>
      </w:r>
    </w:p>
    <w:p w:rsidR="005639C8" w:rsidRDefault="005639C8" w:rsidP="008657D0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639C8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475180" cy="2081242"/>
            <wp:effectExtent l="0" t="0" r="0" b="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3633" w:rsidRPr="00971740" w:rsidRDefault="00803633" w:rsidP="00971740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971740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</w:p>
    <w:p w:rsidR="00803633" w:rsidRPr="00F619F8" w:rsidRDefault="00803633" w:rsidP="00DC44AD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</w:pPr>
      <w:r w:rsidRPr="00971740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انخفاض البطالة</w:t>
      </w:r>
      <w:r w:rsidR="00DC44AD" w:rsidRPr="00971740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t>،</w:t>
      </w:r>
      <w:r w:rsidR="00DC44AD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t xml:space="preserve"> أساسا ب</w:t>
      </w:r>
      <w:r w:rsidRPr="00971740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الوسط الحضري</w:t>
      </w:r>
    </w:p>
    <w:p w:rsidR="00803633" w:rsidRPr="00D76D5D" w:rsidRDefault="00803633" w:rsidP="00D13C8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انخفض حجم العاطلين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218.000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مابين الفصل الثاني من سنة 2021 ونفس الفصل من سنة 2022،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بذلك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1.605.000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1.387.000 عاطل وهو ما يمثل انخفاضا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14%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وذلك نتيجة انخفاض عدد العاطلين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D13C87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182.000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الحضري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36.000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Default="00803633" w:rsidP="00D13C8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مابين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الفصل الثاني من سنة 2021 ونفس الفصل من سنة </w:t>
      </w:r>
      <w:r w:rsidR="004B14D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2022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12,8% 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11,2%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EC38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EC383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EC383C"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وقد انتقل هذا المعدل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18,2% 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15,5%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-2,7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بالوسط الحضري و من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4,8%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4,2%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983B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-0,6 </w:t>
      </w:r>
      <w:r w:rsidRPr="00983B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بالوسط القروي. </w:t>
      </w:r>
    </w:p>
    <w:p w:rsidR="005639C8" w:rsidRPr="00D76D5D" w:rsidRDefault="005639C8" w:rsidP="00F619F8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MA"/>
        </w:rPr>
      </w:pPr>
      <w:r w:rsidRPr="005639C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مبيان5. تطور معدل البط</w:t>
      </w:r>
      <w:r w:rsidR="00F619F8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ا</w:t>
      </w:r>
      <w:r w:rsidRPr="005639C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لة خلال الفصل الثاني</w:t>
      </w:r>
      <w:r w:rsidRPr="005639C8">
        <w:rPr>
          <w:rFonts w:asciiTheme="majorBidi" w:hAnsiTheme="majorBidi" w:cstheme="majorBidi"/>
          <w:b/>
          <w:bCs/>
          <w:color w:val="000000" w:themeColor="text1"/>
          <w:lang w:bidi="ar-MA"/>
        </w:rPr>
        <w:t xml:space="preserve"> </w:t>
      </w:r>
      <w:r w:rsidRPr="005639C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حسب وسط الإقامة (ب %)</w:t>
      </w:r>
    </w:p>
    <w:p w:rsidR="005639C8" w:rsidRPr="00983B3A" w:rsidRDefault="005639C8" w:rsidP="005639C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639C8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457825" cy="2210463"/>
            <wp:effectExtent l="0" t="0" r="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3633" w:rsidRPr="00971740" w:rsidRDefault="004B14D4" w:rsidP="00D13C8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لقد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سجل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انخفاض معدل البطالة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لدى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جميع فئات السكان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انخفض بنقطتين بالنسبة للرجال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11,9%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9,9%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0,8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في صفوف النساء، منتقلا 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15,9%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15,1%</w:t>
      </w:r>
      <w:r w:rsidR="00D13C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وسجل ه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ذ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 المعدل </w:t>
      </w:r>
      <w:r w:rsidR="00D13C87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كذلك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انخفاضا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2,4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حاملي الشهادات منتقلا من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20,4%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18%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</w:t>
      </w:r>
      <w:r w:rsidR="00D13C87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1,4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بالنسبة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للأشخاص بدون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شهاد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5%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3,6%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Pr="00971740" w:rsidRDefault="00CC0834" w:rsidP="00C2272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كما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هم انخفاض معدل البطالة جميع الفئات العمرية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سجل أ</w:t>
      </w:r>
      <w:r w:rsidR="00C2272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ض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13C87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الأشخاص الذين تتراوح أعمارهم بين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-2,2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من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20,9%</w:t>
      </w:r>
      <w:r w:rsidR="00244DCD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18,7%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</w:t>
      </w:r>
      <w:r w:rsidR="00C22724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أدنى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ض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الشباب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الذين تتراوح أعمارهم بين 15 و24 سنة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0,6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-</w:t>
      </w:r>
      <w:r w:rsidR="00FF420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FF420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منتقلا من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30,8%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30,2%</w:t>
      </w:r>
      <w:r w:rsidR="00803633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C22724" w:rsidRDefault="00C22724" w:rsidP="00971740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C22724" w:rsidRDefault="00C22724" w:rsidP="00C22724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C22724" w:rsidRDefault="00C22724" w:rsidP="00C22724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</w:p>
    <w:p w:rsidR="00803633" w:rsidRPr="00D76D5D" w:rsidRDefault="00803633" w:rsidP="00C22724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MA"/>
        </w:rPr>
      </w:pPr>
      <w:r w:rsidRPr="00F619F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مبيان6. تطور معدل البطالة ما بين الفصل الثاني لسنة 2021 ونفس الفترة</w:t>
      </w:r>
      <w:r w:rsidR="00971740" w:rsidRPr="00F619F8">
        <w:rPr>
          <w:rFonts w:asciiTheme="majorBidi" w:hAnsiTheme="majorBidi" w:cstheme="majorBidi"/>
          <w:b/>
          <w:bCs/>
          <w:color w:val="000000" w:themeColor="text1"/>
          <w:lang w:bidi="ar-MA"/>
        </w:rPr>
        <w:t xml:space="preserve"> </w:t>
      </w:r>
      <w:r w:rsidRPr="00F619F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من سنة 2022 لدى بعض فئات الساكنة  (ب %)</w:t>
      </w:r>
    </w:p>
    <w:p w:rsidR="00F619F8" w:rsidRPr="00D76D5D" w:rsidRDefault="00F619F8" w:rsidP="00803633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tzm-Arab-MA"/>
        </w:rPr>
      </w:pPr>
      <w:r w:rsidRPr="00F619F8">
        <w:rPr>
          <w:rFonts w:asciiTheme="majorBidi" w:hAnsiTheme="majorBidi" w:cstheme="majorBidi"/>
          <w:b/>
          <w:bCs/>
          <w:noProof/>
          <w:color w:val="548DD4" w:themeColor="text2" w:themeTint="99"/>
          <w:sz w:val="24"/>
          <w:szCs w:val="24"/>
          <w:lang w:eastAsia="fr-FR"/>
        </w:rPr>
        <w:drawing>
          <wp:inline distT="0" distB="0" distL="0" distR="0">
            <wp:extent cx="5323716" cy="2473929"/>
            <wp:effectExtent l="0" t="0" r="0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3633" w:rsidRPr="00D76D5D" w:rsidRDefault="00803633" w:rsidP="00803633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lang w:bidi="ar-MA"/>
        </w:rPr>
      </w:pPr>
      <w:r w:rsidRPr="00D76D5D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 xml:space="preserve">انخفاض </w:t>
      </w:r>
      <w:r w:rsidRPr="00D76D5D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  <w:lang w:bidi="ar-MA"/>
        </w:rPr>
        <w:t>الشغل الناقص</w:t>
      </w:r>
    </w:p>
    <w:p w:rsidR="00803633" w:rsidRPr="00D76D5D" w:rsidRDefault="00803633" w:rsidP="00803633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</w:rPr>
      </w:pPr>
    </w:p>
    <w:p w:rsidR="00803633" w:rsidRPr="00D76D5D" w:rsidRDefault="00803633" w:rsidP="00FF420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انخفض حجم النشيطين المشتغلين في حالة الشغل الناقص على الصعيد الوطني،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خلال</w:t>
      </w:r>
      <w:r w:rsidR="00FF420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نفس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الفترة</w:t>
      </w:r>
      <w:r w:rsidR="00FF420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999.000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939.000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شخص، ومن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551.000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500.000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بالمدن ومن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448.000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439.000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بالقرى. وهكذا، انتقل معدل الشغل الناقص 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9,2%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8,5%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8,9%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7,7%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ومن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9,5%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9,6% </w:t>
      </w:r>
      <w:r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Pr="00D76D5D">
        <w:rPr>
          <w:rFonts w:asciiTheme="majorBidi" w:hAnsiTheme="majorBidi" w:cstheme="majorBidi"/>
          <w:sz w:val="24"/>
          <w:szCs w:val="24"/>
          <w:rtl/>
          <w:lang w:bidi="ar-MA"/>
        </w:rPr>
        <w:t xml:space="preserve">. </w:t>
      </w:r>
    </w:p>
    <w:p w:rsidR="00803633" w:rsidRDefault="00803633" w:rsidP="0080363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F619F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مبيان7:</w:t>
      </w:r>
      <w:r w:rsidR="00F619F8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 xml:space="preserve"> </w:t>
      </w:r>
      <w:r w:rsidRPr="00F619F8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تطور معدل الشغل الناقص ما بين الفصل الثاني لسنة 2021 ونفس الفترة من سنة 2022 حسب وسط الإقامة (ب %)</w:t>
      </w:r>
    </w:p>
    <w:p w:rsidR="00F619F8" w:rsidRPr="00D76D5D" w:rsidRDefault="00F619F8" w:rsidP="00F619F8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F619F8">
        <w:rPr>
          <w:rFonts w:asciiTheme="majorBidi" w:hAnsiTheme="majorBidi" w:cs="Times New Roman"/>
          <w:b/>
          <w:bCs/>
          <w:noProof/>
          <w:color w:val="000000" w:themeColor="text1"/>
          <w:rtl/>
          <w:lang w:eastAsia="fr-FR"/>
        </w:rPr>
        <w:drawing>
          <wp:inline distT="0" distB="0" distL="0" distR="0">
            <wp:extent cx="4577610" cy="1778311"/>
            <wp:effectExtent l="0" t="0" r="0" b="0"/>
            <wp:docPr id="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19F8" w:rsidRDefault="00CC0834" w:rsidP="00F619F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يمثل معدل الشغل الناقص لدى الرجال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(9,6%)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ما يقارب مرتين معدل الشغل الناقص لدى النساء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(4,9%)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ويصل هذا المعدل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7,8%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لدى الرجال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مقابل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7,5% 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بينما بالوسط القروي، يفوق المعدل المسجل لدى الرجال (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12,3%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7 مرات نظيره المسجل لدى النساء (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1,8%</w:t>
      </w:r>
      <w:r w:rsidR="00803633" w:rsidRPr="009717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C22724" w:rsidRDefault="00C22724" w:rsidP="00C2272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803633" w:rsidRPr="00803633" w:rsidRDefault="00803633" w:rsidP="00971740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80363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 xml:space="preserve">وضعية سوق الشغل على المستوى الجهوي خلال </w:t>
      </w:r>
      <w:r w:rsidRPr="00803633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الفصل</w:t>
      </w:r>
      <w:r w:rsidRPr="0097174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</w:t>
      </w:r>
      <w:r w:rsidRPr="00803633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الثاني</w:t>
      </w:r>
      <w:r w:rsidRPr="0097174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</w:t>
      </w:r>
      <w:r w:rsidRPr="00803633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من</w:t>
      </w:r>
      <w:r w:rsidRPr="0097174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</w:t>
      </w:r>
      <w:r w:rsidRPr="00803633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سنة</w:t>
      </w:r>
      <w:r w:rsidRPr="0080363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  <w:t xml:space="preserve">2022 </w:t>
      </w:r>
    </w:p>
    <w:p w:rsidR="00803633" w:rsidRPr="00803633" w:rsidRDefault="00803633" w:rsidP="00244DCD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تضم خمس جهات </w:t>
      </w:r>
      <w:r w:rsidRPr="00803633">
        <w:rPr>
          <w:rFonts w:ascii="Book Antiqua" w:hAnsi="Book Antiqua" w:cs="Times New Roman"/>
          <w:sz w:val="24"/>
          <w:szCs w:val="24"/>
        </w:rPr>
        <w:t>72,6%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الدارالبيضاء-سطات في المرتبة الأولى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22,2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مجموع النشيطين، تليها الرباط-سلا-القنيطرة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13,3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وفاس-مكناس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11,3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803633" w:rsidRPr="00803633" w:rsidRDefault="00803633" w:rsidP="00C22724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أربع</w:t>
      </w:r>
      <w:r w:rsidR="00244DC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معدلات نشاط أعلى من المتوسط ​​الوطني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وهي طنجة-تطوان-الحسيمة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51,2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الدار البيضاء-سطات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47,5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مراكش-آسفي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46,5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B84E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الرباط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سلا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القنيطرة</w:t>
      </w:r>
      <w:r w:rsidRPr="00803633">
        <w:rPr>
          <w:rFonts w:ascii="Book Antiqua" w:hAnsi="Book Antiqua" w:cs="Times New Roman"/>
          <w:sz w:val="24"/>
          <w:szCs w:val="24"/>
        </w:rPr>
        <w:t>(45,7%)</w:t>
      </w:r>
      <w:r w:rsidR="00B84E4B">
        <w:rPr>
          <w:rFonts w:ascii="Book Antiqua" w:hAnsi="Book Antiqua" w:cs="Times New Roman"/>
          <w:sz w:val="24"/>
          <w:szCs w:val="24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 سجلت أدنى المعدلات في جهات سوس-ماسة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39,9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80363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بني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ملال</w:t>
      </w:r>
      <w:r w:rsidRPr="008036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-</w:t>
      </w:r>
      <w:r w:rsidRPr="008036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خنيفرة</w:t>
      </w:r>
      <w:r w:rsidR="00C2272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(41,7%)</w:t>
      </w:r>
      <w:r w:rsidR="00C227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وفاس-مكناس</w:t>
      </w:r>
      <w:r w:rsidR="00C227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(42%)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.</w:t>
      </w:r>
    </w:p>
    <w:p w:rsidR="00803633" w:rsidRPr="00803633" w:rsidRDefault="00803633" w:rsidP="00803633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Pr="0080363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8</w:t>
      </w: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: معدل النشاط حسب الجهة ووسط الإقامة في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الفصل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الثاني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لسنة</w:t>
      </w:r>
      <w:r w:rsidRPr="00803633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(%) 2022 </w:t>
      </w:r>
    </w:p>
    <w:p w:rsidR="00803633" w:rsidRPr="00803633" w:rsidRDefault="00971740" w:rsidP="00803633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740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573656" cy="2576223"/>
            <wp:effectExtent l="0" t="0" r="0" b="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3633" w:rsidRPr="00803633" w:rsidRDefault="00803633" w:rsidP="00FC20CC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</w:t>
      </w:r>
      <w:r w:rsid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قرابة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سبعة عاطلين من بين عشرة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71,1</w:t>
      </w:r>
      <w:r w:rsidR="00244DC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على المستوى الوطني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؛ تأتي جهة الدار البيضاء-سطات في المرتبة الأولى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 الرباط-سلا-القنيطرة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وفاس-مكناس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12,7% </w:t>
      </w:r>
      <w:r w:rsidR="00C227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والجهة الشرقية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ثم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9,3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803633" w:rsidRDefault="00803633" w:rsidP="00EC383C">
      <w:pPr>
        <w:autoSpaceDE w:val="0"/>
        <w:autoSpaceDN w:val="0"/>
        <w:bidi/>
        <w:adjustRightInd w:val="0"/>
        <w:spacing w:after="16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وسجلت أعلى معدلات البطالة في الجهات الجنوبية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20,9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والجهة الشرقية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وبحدة أقل، تتجاوز جهت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المعدل الوطني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11,2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يتعلق الأمربجهة الدار البيضاء-سطات 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12,8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وفاس- مكناس</w:t>
      </w:r>
      <w:r w:rsidR="00244D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12,5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بالمقابل، سجلت جهات مراكش-آسفي وبني ملال-خنيفرة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وطنجة-تطوان-الحسيمة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أدنى المعدلات بنسبة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6,5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 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8,7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8,7</w:t>
      </w:r>
      <w:r w:rsidR="00CC08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80363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80363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C22724" w:rsidRDefault="00C22724" w:rsidP="00CC0834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22724" w:rsidRDefault="00C22724" w:rsidP="00C22724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803633" w:rsidRPr="00803633" w:rsidRDefault="00803633" w:rsidP="00C22724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lastRenderedPageBreak/>
        <w:t>مبيان</w:t>
      </w:r>
      <w:r w:rsidRPr="0080363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9</w:t>
      </w: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: معدل البطالة حسب الجه</w:t>
      </w: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tzm-Arab-MA"/>
        </w:rPr>
        <w:t>ات</w:t>
      </w: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ووسط الإقامة </w:t>
      </w:r>
      <w:r w:rsidR="00CC0834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tzm-Arab-MA"/>
        </w:rPr>
        <w:t>خلال</w:t>
      </w:r>
      <w:r w:rsidRPr="0080363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الفصل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الثاني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  <w:r w:rsidRPr="00803633">
        <w:rPr>
          <w:rFonts w:asciiTheme="majorBidi" w:eastAsia="Times New Roman" w:hAnsiTheme="majorBidi" w:cs="Times New Roman" w:hint="cs"/>
          <w:b/>
          <w:bCs/>
          <w:sz w:val="24"/>
          <w:szCs w:val="24"/>
          <w:rtl/>
        </w:rPr>
        <w:t>لسنة</w:t>
      </w:r>
      <w:r w:rsidRPr="00803633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(%) 2022</w:t>
      </w:r>
      <w:r w:rsidR="00971740">
        <w:rPr>
          <w:rFonts w:asciiTheme="majorBidi" w:eastAsia="Times New Roman" w:hAnsiTheme="majorBidi" w:cs="Times New Roman"/>
          <w:b/>
          <w:bCs/>
          <w:sz w:val="24"/>
          <w:szCs w:val="24"/>
        </w:rPr>
        <w:t xml:space="preserve"> </w:t>
      </w:r>
    </w:p>
    <w:p w:rsidR="00803633" w:rsidRPr="00803633" w:rsidRDefault="00971740" w:rsidP="00803633">
      <w:pPr>
        <w:bidi/>
        <w:spacing w:after="160" w:line="259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740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572000" cy="2743200"/>
            <wp:effectExtent l="0" t="0" r="0" b="0"/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3633" w:rsidRPr="00803633" w:rsidRDefault="00803633" w:rsidP="00803633">
      <w:pPr>
        <w:bidi/>
        <w:spacing w:before="240" w:after="160"/>
        <w:jc w:val="center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before="240" w:after="160"/>
        <w:ind w:left="1080"/>
        <w:contextualSpacing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803633" w:rsidRP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803633" w:rsidRP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bidi="ar-MA"/>
        </w:rPr>
      </w:pPr>
    </w:p>
    <w:p w:rsidR="008B16A0" w:rsidRDefault="008B16A0">
      <w:r>
        <w:br w:type="page"/>
      </w:r>
    </w:p>
    <w:p w:rsidR="00803633" w:rsidRDefault="00971302" w:rsidP="00971302">
      <w:pPr>
        <w:bidi/>
        <w:jc w:val="center"/>
        <w:rPr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</w:p>
    <w:tbl>
      <w:tblPr>
        <w:tblW w:w="959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56"/>
        <w:gridCol w:w="1156"/>
        <w:gridCol w:w="1132"/>
        <w:gridCol w:w="1155"/>
        <w:gridCol w:w="1155"/>
        <w:gridCol w:w="1155"/>
        <w:gridCol w:w="2688"/>
      </w:tblGrid>
      <w:tr w:rsidR="008B16A0" w:rsidRPr="008B16A0" w:rsidTr="00D82B44">
        <w:trPr>
          <w:trHeight w:val="229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الثاني</w:t>
            </w:r>
            <w:r>
              <w:rPr>
                <w:rFonts w:ascii="Garamond" w:eastAsia="Times New Roman" w:hAnsi="Garamond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2022</w:t>
            </w:r>
            <w:r w:rsidRPr="008B16A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الثاني</w:t>
            </w:r>
            <w:r>
              <w:rPr>
                <w:rFonts w:ascii="Garamond" w:eastAsia="Times New Roman" w:hAnsi="Garamond" w:cs="Calibr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2021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567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12 411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4 766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7 646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12 497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4 954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7 543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23,9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25,1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24,8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23,6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 (%)</w:t>
            </w:r>
          </w:p>
        </w:tc>
      </w:tr>
      <w:tr w:rsidR="008B16A0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52,9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69,9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67,1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76,7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67,1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19,0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28,5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19,5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24,2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20,0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24 – 15سنـة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61,2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61,2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60,1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34 – 25سنـة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60,6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58,5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44 – 35سنـة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45سنـة فأكثـر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55,7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8B16A0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44,6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1F497D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11 025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6 458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10 892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4 719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6 173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34,9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62,9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71,6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56,5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25,1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14,5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B16A0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68,1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8B16A0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11,7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16,5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D82B4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الصناعة </w:t>
            </w:r>
          </w:p>
        </w:tc>
      </w:tr>
      <w:tr w:rsidR="008B16A0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66,5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17,2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أنشطة مبهمة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67,6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60,4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71,8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8B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8B16A0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53,2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28,2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8B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D82B44" w:rsidRPr="008B16A0" w:rsidTr="008B16A0">
        <w:trPr>
          <w:trHeight w:val="481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939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999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448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color w:val="010205"/>
                <w:sz w:val="24"/>
                <w:szCs w:val="24"/>
                <w:lang w:eastAsia="fr-FR"/>
              </w:rPr>
              <w:t>551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B44" w:rsidRPr="008B16A0" w:rsidRDefault="00D82B44" w:rsidP="00F619F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 السكان النشيطون المشتغلون في حالة شغل ناقص (بالآلاف)</w:t>
            </w:r>
          </w:p>
        </w:tc>
      </w:tr>
      <w:tr w:rsidR="00D82B44" w:rsidRPr="008B16A0" w:rsidTr="008B16A0">
        <w:trPr>
          <w:trHeight w:val="38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B44" w:rsidRPr="008B16A0" w:rsidRDefault="00D82B44" w:rsidP="00F619F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D82B44" w:rsidRPr="008B16A0" w:rsidTr="008B16A0">
        <w:trPr>
          <w:trHeight w:val="229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200" w:firstLine="480"/>
              <w:jc w:val="center"/>
              <w:rPr>
                <w:rFonts w:ascii="Garamond" w:eastAsia="Times New Roman" w:hAnsi="Garamond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82B44" w:rsidRPr="008B16A0" w:rsidTr="008B16A0">
        <w:trPr>
          <w:trHeight w:val="4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B44" w:rsidRPr="008B16A0" w:rsidRDefault="00D82B44" w:rsidP="00F619F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D82B44" w:rsidRPr="008B16A0" w:rsidTr="008B16A0">
        <w:trPr>
          <w:trHeight w:val="40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B44" w:rsidRPr="008B16A0" w:rsidRDefault="00D82B44" w:rsidP="00F619F8">
            <w:pPr>
              <w:spacing w:after="0" w:line="240" w:lineRule="auto"/>
              <w:ind w:firstLineChars="100" w:firstLine="240"/>
              <w:jc w:val="center"/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color w:val="010205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B44" w:rsidRPr="008B16A0" w:rsidRDefault="00D82B44" w:rsidP="00F619F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803633" w:rsidRDefault="00803633" w:rsidP="00803633">
      <w:pPr>
        <w:jc w:val="center"/>
      </w:pPr>
    </w:p>
    <w:p w:rsidR="00EC4254" w:rsidRDefault="00EC4254" w:rsidP="00803633">
      <w:pPr>
        <w:jc w:val="center"/>
        <w:rPr>
          <w:rtl/>
        </w:rPr>
      </w:pPr>
    </w:p>
    <w:p w:rsidR="008B16A0" w:rsidRDefault="008B16A0" w:rsidP="00803633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9138" w:type="dxa"/>
        <w:jc w:val="center"/>
        <w:tblCellMar>
          <w:left w:w="70" w:type="dxa"/>
          <w:right w:w="70" w:type="dxa"/>
        </w:tblCellMar>
        <w:tblLook w:val="04A0"/>
      </w:tblPr>
      <w:tblGrid>
        <w:gridCol w:w="1008"/>
        <w:gridCol w:w="831"/>
        <w:gridCol w:w="971"/>
        <w:gridCol w:w="1003"/>
        <w:gridCol w:w="827"/>
        <w:gridCol w:w="991"/>
        <w:gridCol w:w="3507"/>
      </w:tblGrid>
      <w:tr w:rsidR="008B16A0" w:rsidRPr="008B16A0" w:rsidTr="008B16A0">
        <w:trPr>
          <w:trHeight w:val="303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الفصل  الثاني 2022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الفصل الثاني 2021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8B16A0" w:rsidRPr="008B16A0" w:rsidTr="00440428">
        <w:trPr>
          <w:trHeight w:val="30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B16A0" w:rsidRPr="008B16A0" w:rsidTr="00440428">
        <w:trPr>
          <w:trHeight w:val="446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1 387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1 188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1 605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235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1"/>
              <w:jc w:val="right"/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b/>
                <w:bCs/>
                <w:sz w:val="24"/>
                <w:szCs w:val="24"/>
                <w:lang w:eastAsia="fr-FR"/>
              </w:rPr>
              <w:t>1 370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32,3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18,5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33,2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11,2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15,5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12,8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18,2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معـدل البطالـة (%</w:t>
            </w:r>
            <w:r w:rsidRPr="008B16A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 xml:space="preserve">) 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9,9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13,2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15,9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15,1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23,3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15,9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25,6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46,4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30,8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47,2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18,7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24,7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28,3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6,1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8,3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7,7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10,5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2,9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6,6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200" w:firstLine="480"/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B16A0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8B16A0" w:rsidRPr="008B16A0" w:rsidTr="00440428">
        <w:trPr>
          <w:trHeight w:val="318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3,6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6,3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9,0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8B16A0" w:rsidRPr="008B16A0" w:rsidTr="00440428">
        <w:trPr>
          <w:trHeight w:val="531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18,0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20,4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11,7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6A0" w:rsidRPr="008B16A0" w:rsidRDefault="008B16A0" w:rsidP="008B16A0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</w:pPr>
            <w:r w:rsidRPr="008B16A0">
              <w:rPr>
                <w:rFonts w:ascii="Garamond" w:eastAsia="Times New Roman" w:hAnsi="Garamond" w:cs="Calibri"/>
                <w:sz w:val="24"/>
                <w:szCs w:val="24"/>
                <w:lang w:eastAsia="fr-FR"/>
              </w:rPr>
              <w:t>22,8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6A0" w:rsidRPr="008B16A0" w:rsidRDefault="008B16A0" w:rsidP="008B16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B16A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440428" w:rsidRPr="003D2EFB" w:rsidRDefault="00440428" w:rsidP="00440428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440428" w:rsidRPr="003D2EFB" w:rsidRDefault="00440428" w:rsidP="00440428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7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440428" w:rsidRPr="003D2EFB" w:rsidRDefault="00440428" w:rsidP="00440428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440428" w:rsidRPr="003D2EFB" w:rsidRDefault="00440428" w:rsidP="00440428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71302" w:rsidRDefault="00971302">
      <w:r>
        <w:br w:type="page"/>
      </w:r>
    </w:p>
    <w:p w:rsidR="008B16A0" w:rsidRDefault="00971302" w:rsidP="00803633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8448" w:type="dxa"/>
        <w:jc w:val="center"/>
        <w:tblCellMar>
          <w:left w:w="70" w:type="dxa"/>
          <w:right w:w="70" w:type="dxa"/>
        </w:tblCellMar>
        <w:tblLook w:val="04A0"/>
      </w:tblPr>
      <w:tblGrid>
        <w:gridCol w:w="1724"/>
        <w:gridCol w:w="1724"/>
        <w:gridCol w:w="5000"/>
      </w:tblGrid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الثاني 2022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الفصل الثاني 2021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302" w:rsidRPr="00971302" w:rsidRDefault="00971302" w:rsidP="0097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51,2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52,0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45,3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47,9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48,8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44,2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46,1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46,7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40,0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38,0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41,4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43,4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44,6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39,0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42,6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36,9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35,0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34,7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40,2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معـدل البطالـة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10,2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18,4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14,8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10,3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11,7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16,1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6,5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9,1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8,5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11,4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12,2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20,9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0"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fr-FR"/>
              </w:rPr>
              <w:t>20,8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71302" w:rsidRPr="00971302" w:rsidTr="00971302">
        <w:trPr>
          <w:trHeight w:val="317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11,2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spacing w:after="0" w:line="240" w:lineRule="auto"/>
              <w:ind w:firstLineChars="300" w:firstLine="723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7130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fr-FR"/>
              </w:rPr>
              <w:t>12,8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302" w:rsidRPr="00971302" w:rsidRDefault="00971302" w:rsidP="00971302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713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71302" w:rsidRPr="00CC0834" w:rsidRDefault="00CC0834" w:rsidP="00CC0834">
      <w:pPr>
        <w:bidi/>
        <w:spacing w:before="240" w:after="0"/>
        <w:rPr>
          <w:b/>
          <w:bCs/>
          <w:sz w:val="16"/>
          <w:szCs w:val="16"/>
        </w:rPr>
      </w:pPr>
      <w:r>
        <w:rPr>
          <w:rFonts w:hint="cs"/>
          <w:sz w:val="18"/>
          <w:szCs w:val="18"/>
          <w:rtl/>
          <w:lang w:bidi="tzm-Arab-MA"/>
        </w:rPr>
        <w:t xml:space="preserve">       </w:t>
      </w:r>
      <w:r w:rsidRPr="00CC0834">
        <w:rPr>
          <w:rFonts w:hint="cs"/>
          <w:b/>
          <w:bCs/>
          <w:sz w:val="18"/>
          <w:szCs w:val="18"/>
          <w:rtl/>
          <w:lang w:bidi="tzm-Arab-MA"/>
        </w:rPr>
        <w:t xml:space="preserve">   </w:t>
      </w:r>
      <w:r w:rsidR="00971302" w:rsidRPr="00CC0834">
        <w:rPr>
          <w:rFonts w:hint="cs"/>
          <w:b/>
          <w:bCs/>
          <w:sz w:val="18"/>
          <w:szCs w:val="18"/>
          <w:rtl/>
          <w:lang w:bidi="tzm-Arab-MA"/>
        </w:rPr>
        <w:t>ا</w:t>
      </w:r>
      <w:r w:rsidR="00971302" w:rsidRPr="00CC0834">
        <w:rPr>
          <w:b/>
          <w:bCs/>
          <w:sz w:val="18"/>
          <w:szCs w:val="18"/>
          <w:rtl/>
        </w:rPr>
        <w:t>لمصـدر: البحث الوطني حول التشغيل، المندوبية السامية للتخطيط</w:t>
      </w:r>
    </w:p>
    <w:p w:rsidR="00971302" w:rsidRDefault="00971302" w:rsidP="00803633">
      <w:pPr>
        <w:jc w:val="center"/>
      </w:pPr>
    </w:p>
    <w:sectPr w:rsidR="00971302" w:rsidSect="008657D0">
      <w:head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8C" w:rsidRDefault="0068668C" w:rsidP="00983B3A">
      <w:pPr>
        <w:spacing w:after="0" w:line="240" w:lineRule="auto"/>
      </w:pPr>
      <w:r>
        <w:separator/>
      </w:r>
    </w:p>
  </w:endnote>
  <w:endnote w:type="continuationSeparator" w:id="0">
    <w:p w:rsidR="0068668C" w:rsidRDefault="0068668C" w:rsidP="0098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8C" w:rsidRDefault="0068668C" w:rsidP="00983B3A">
      <w:pPr>
        <w:spacing w:after="0" w:line="240" w:lineRule="auto"/>
      </w:pPr>
      <w:r>
        <w:separator/>
      </w:r>
    </w:p>
  </w:footnote>
  <w:footnote w:type="continuationSeparator" w:id="0">
    <w:p w:rsidR="0068668C" w:rsidRDefault="0068668C" w:rsidP="0098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D0" w:rsidRDefault="008657D0" w:rsidP="008657D0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D0" w:rsidRDefault="008657D0" w:rsidP="008657D0">
    <w:pPr>
      <w:pStyle w:val="En-tte"/>
      <w:jc w:val="center"/>
    </w:pPr>
    <w:r w:rsidRPr="008657D0">
      <w:drawing>
        <wp:inline distT="0" distB="0" distL="0" distR="0">
          <wp:extent cx="1491826" cy="1156602"/>
          <wp:effectExtent l="1905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826" cy="115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03633"/>
    <w:rsid w:val="00043286"/>
    <w:rsid w:val="001207E7"/>
    <w:rsid w:val="00141458"/>
    <w:rsid w:val="00235F7D"/>
    <w:rsid w:val="00244DCD"/>
    <w:rsid w:val="002A3114"/>
    <w:rsid w:val="003D5618"/>
    <w:rsid w:val="00401931"/>
    <w:rsid w:val="00440428"/>
    <w:rsid w:val="004B14D4"/>
    <w:rsid w:val="004F19A2"/>
    <w:rsid w:val="005639C8"/>
    <w:rsid w:val="0056650E"/>
    <w:rsid w:val="00591BD5"/>
    <w:rsid w:val="005D2E63"/>
    <w:rsid w:val="0063226D"/>
    <w:rsid w:val="0068668C"/>
    <w:rsid w:val="00703155"/>
    <w:rsid w:val="00714E9C"/>
    <w:rsid w:val="007B1F49"/>
    <w:rsid w:val="007D3E4E"/>
    <w:rsid w:val="00800CFB"/>
    <w:rsid w:val="00803633"/>
    <w:rsid w:val="00804A97"/>
    <w:rsid w:val="00832310"/>
    <w:rsid w:val="008657D0"/>
    <w:rsid w:val="008B16A0"/>
    <w:rsid w:val="00971302"/>
    <w:rsid w:val="00971740"/>
    <w:rsid w:val="00983B3A"/>
    <w:rsid w:val="00A06AD4"/>
    <w:rsid w:val="00A14739"/>
    <w:rsid w:val="00A558E4"/>
    <w:rsid w:val="00A61E8A"/>
    <w:rsid w:val="00A80667"/>
    <w:rsid w:val="00B700A5"/>
    <w:rsid w:val="00B84E4B"/>
    <w:rsid w:val="00B85D74"/>
    <w:rsid w:val="00BA769D"/>
    <w:rsid w:val="00C22724"/>
    <w:rsid w:val="00CB52D8"/>
    <w:rsid w:val="00CC0834"/>
    <w:rsid w:val="00D13C87"/>
    <w:rsid w:val="00D166E2"/>
    <w:rsid w:val="00D82B44"/>
    <w:rsid w:val="00D8542D"/>
    <w:rsid w:val="00DC44AD"/>
    <w:rsid w:val="00E4538E"/>
    <w:rsid w:val="00E91823"/>
    <w:rsid w:val="00EC383C"/>
    <w:rsid w:val="00EC4254"/>
    <w:rsid w:val="00F265D8"/>
    <w:rsid w:val="00F27B16"/>
    <w:rsid w:val="00F619F8"/>
    <w:rsid w:val="00FC20CC"/>
    <w:rsid w:val="00FC31AF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49"/>
  </w:style>
  <w:style w:type="paragraph" w:styleId="Titre1">
    <w:name w:val="heading 1"/>
    <w:basedOn w:val="Normal"/>
    <w:next w:val="Normal"/>
    <w:link w:val="Titre1Car"/>
    <w:uiPriority w:val="9"/>
    <w:qFormat/>
    <w:rsid w:val="00EC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3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63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B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B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3B3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83B3A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unhideWhenUsed/>
    <w:rsid w:val="0014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4145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C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C3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C38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C38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EC38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C383C"/>
  </w:style>
  <w:style w:type="paragraph" w:styleId="En-tte">
    <w:name w:val="header"/>
    <w:basedOn w:val="Normal"/>
    <w:link w:val="En-tteCar"/>
    <w:uiPriority w:val="99"/>
    <w:semiHidden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57D0"/>
  </w:style>
  <w:style w:type="paragraph" w:styleId="Pieddepage">
    <w:name w:val="footer"/>
    <w:basedOn w:val="Normal"/>
    <w:link w:val="PieddepageCar"/>
    <w:uiPriority w:val="99"/>
    <w:semiHidden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5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DA\Desktop\Taches%20DEE\Publications%20DEE\Publications%20Trimestrielles\Notes%20Trimetrielles\Notes%20informatives\2022\T2\Tabulations%20et%20graphiques\Graphiques%20Pour%20la%20note%20en%20arab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DA\Desktop\Taches%20DEE\Publications%20DEE\Publications%20Trimestrielles\Notes%20Trimetrielles\Notes%20informatives\2022\T2\Tabulations%20et%20graphiques\Graphiques%20Pour%20la%20note%20en%20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Pour%20la%20note%20en%20arab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Pour%20la%20note%20en%20arab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Pour%20la%20note%20en%20arab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Pour%20la%20note%20en%20arab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Pour%20la%20note%20en%20arab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Graphiques%20Pour%20la%20note%20en%20arabe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Graphiques%20Pour%20la%20note%20en%20arabe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'[Graphiques Pour la note en arabe.xlsx]Graphiques'!$B$189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arabe.xlsx]Graphiques'!$C$188:$H$188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arabe.xlsx]Graphiques'!$C$189:$H$189</c:f>
              <c:numCache>
                <c:formatCode>General</c:formatCode>
                <c:ptCount val="6"/>
                <c:pt idx="0">
                  <c:v>42.3</c:v>
                </c:pt>
                <c:pt idx="1">
                  <c:v>42.6</c:v>
                </c:pt>
                <c:pt idx="2">
                  <c:v>41.8</c:v>
                </c:pt>
                <c:pt idx="3">
                  <c:v>42.2</c:v>
                </c:pt>
                <c:pt idx="4">
                  <c:v>42.6</c:v>
                </c:pt>
                <c:pt idx="5">
                  <c:v>42.3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4A-42FC-A244-2123202B162F}"/>
            </c:ext>
          </c:extLst>
        </c:ser>
        <c:ser>
          <c:idx val="1"/>
          <c:order val="1"/>
          <c:tx>
            <c:strRef>
              <c:f>'[Graphiques Pour la note en arabe.xlsx]Graphiques'!$B$190</c:f>
              <c:strCache>
                <c:ptCount val="1"/>
                <c:pt idx="0">
                  <c:v>قروي 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arabe.xlsx]Graphiques'!$C$188:$H$188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arabe.xlsx]Graphiques'!$C$190:$H$190</c:f>
              <c:numCache>
                <c:formatCode>General</c:formatCode>
                <c:ptCount val="6"/>
                <c:pt idx="0">
                  <c:v>56</c:v>
                </c:pt>
                <c:pt idx="1">
                  <c:v>54.9</c:v>
                </c:pt>
                <c:pt idx="2">
                  <c:v>53.2</c:v>
                </c:pt>
                <c:pt idx="3">
                  <c:v>49.6</c:v>
                </c:pt>
                <c:pt idx="4">
                  <c:v>52.9</c:v>
                </c:pt>
                <c:pt idx="5">
                  <c:v>50.8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4A-42FC-A244-2123202B162F}"/>
            </c:ext>
          </c:extLst>
        </c:ser>
        <c:ser>
          <c:idx val="2"/>
          <c:order val="2"/>
          <c:tx>
            <c:strRef>
              <c:f>'[Graphiques Pour la note en arabe.xlsx]Graphiques'!$B$191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arabe.xlsx]Graphiques'!$C$188:$H$188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arabe.xlsx]Graphiques'!$C$191:$H$191</c:f>
              <c:numCache>
                <c:formatCode>General</c:formatCode>
                <c:ptCount val="6"/>
                <c:pt idx="0">
                  <c:v>47.3</c:v>
                </c:pt>
                <c:pt idx="1">
                  <c:v>47</c:v>
                </c:pt>
                <c:pt idx="2">
                  <c:v>45.8</c:v>
                </c:pt>
                <c:pt idx="3">
                  <c:v>44.8</c:v>
                </c:pt>
                <c:pt idx="4">
                  <c:v>46.1</c:v>
                </c:pt>
                <c:pt idx="5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4A-42FC-A244-2123202B162F}"/>
            </c:ext>
          </c:extLst>
        </c:ser>
        <c:dLbls>
          <c:showVal val="1"/>
        </c:dLbls>
        <c:marker val="1"/>
        <c:axId val="76176000"/>
        <c:axId val="76415360"/>
      </c:lineChart>
      <c:catAx>
        <c:axId val="761760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6415360"/>
        <c:crosses val="autoZero"/>
        <c:auto val="1"/>
        <c:lblAlgn val="ctr"/>
        <c:lblOffset val="100"/>
      </c:catAx>
      <c:valAx>
        <c:axId val="76415360"/>
        <c:scaling>
          <c:orientation val="minMax"/>
          <c:max val="60"/>
          <c:min val="0"/>
        </c:scaling>
        <c:delete val="1"/>
        <c:axPos val="l"/>
        <c:numFmt formatCode="General" sourceLinked="1"/>
        <c:majorTickMark val="none"/>
        <c:tickLblPos val="none"/>
        <c:crossAx val="76176000"/>
        <c:crosses val="autoZero"/>
        <c:crossBetween val="between"/>
        <c:majorUnit val="10"/>
        <c:minorUnit val="2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'[Graphiques Pour la note en arabe.xlsx]Graphiques'!$B$164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arabe.xlsx]Graphiques'!$C$163:$H$163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arabe.xlsx]Graphiques'!$C$164:$H$164</c:f>
              <c:numCache>
                <c:formatCode>General</c:formatCode>
                <c:ptCount val="6"/>
                <c:pt idx="0">
                  <c:v>36.4</c:v>
                </c:pt>
                <c:pt idx="1">
                  <c:v>36.800000000000004</c:v>
                </c:pt>
                <c:pt idx="2">
                  <c:v>36.9</c:v>
                </c:pt>
                <c:pt idx="3">
                  <c:v>35.6</c:v>
                </c:pt>
                <c:pt idx="4">
                  <c:v>34.9</c:v>
                </c:pt>
                <c:pt idx="5">
                  <c:v>35.700000000000003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39-45EF-8526-D0C0AC4B914F}"/>
            </c:ext>
          </c:extLst>
        </c:ser>
        <c:ser>
          <c:idx val="1"/>
          <c:order val="1"/>
          <c:tx>
            <c:strRef>
              <c:f>'[Graphiques Pour la note en arabe.xlsx]Graphiques'!$B$165</c:f>
              <c:strCache>
                <c:ptCount val="1"/>
                <c:pt idx="0">
                  <c:v>قروي 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arabe.xlsx]Graphiques'!$C$163:$H$163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arabe.xlsx]Graphiques'!$C$165:$H$165</c:f>
              <c:numCache>
                <c:formatCode>General</c:formatCode>
                <c:ptCount val="6"/>
                <c:pt idx="0">
                  <c:v>54.2</c:v>
                </c:pt>
                <c:pt idx="1">
                  <c:v>53.1</c:v>
                </c:pt>
                <c:pt idx="2">
                  <c:v>51.6</c:v>
                </c:pt>
                <c:pt idx="3">
                  <c:v>46</c:v>
                </c:pt>
                <c:pt idx="4">
                  <c:v>50.4</c:v>
                </c:pt>
                <c:pt idx="5">
                  <c:v>48.7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39-45EF-8526-D0C0AC4B914F}"/>
            </c:ext>
          </c:extLst>
        </c:ser>
        <c:ser>
          <c:idx val="2"/>
          <c:order val="2"/>
          <c:tx>
            <c:strRef>
              <c:f>'[Graphiques Pour la note en arabe.xlsx]Graphiques'!$B$166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'[Graphiques Pour la note en arabe.xlsx]Graphiques'!$C$163:$H$163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'[Graphiques Pour la note en arabe.xlsx]Graphiques'!$C$166:$H$166</c:f>
              <c:numCache>
                <c:formatCode>General</c:formatCode>
                <c:ptCount val="6"/>
                <c:pt idx="0">
                  <c:v>42.9</c:v>
                </c:pt>
                <c:pt idx="1">
                  <c:v>42.7</c:v>
                </c:pt>
                <c:pt idx="2">
                  <c:v>42.1</c:v>
                </c:pt>
                <c:pt idx="3">
                  <c:v>39.300000000000004</c:v>
                </c:pt>
                <c:pt idx="4">
                  <c:v>40.200000000000003</c:v>
                </c:pt>
                <c:pt idx="5">
                  <c:v>40.200000000000003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639-45EF-8526-D0C0AC4B914F}"/>
            </c:ext>
          </c:extLst>
        </c:ser>
        <c:marker val="1"/>
        <c:axId val="83850368"/>
        <c:axId val="83887616"/>
      </c:lineChart>
      <c:catAx>
        <c:axId val="83850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3887616"/>
        <c:crosses val="autoZero"/>
        <c:auto val="1"/>
        <c:lblAlgn val="ctr"/>
        <c:lblOffset val="100"/>
      </c:catAx>
      <c:valAx>
        <c:axId val="838876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385036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Graphiques!$C$17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Graphiques!$D$16:$F$16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Graphiques!$D$17:$F$17</c:f>
              <c:numCache>
                <c:formatCode>0</c:formatCode>
                <c:ptCount val="3"/>
                <c:pt idx="0">
                  <c:v>306.97068486349571</c:v>
                </c:pt>
                <c:pt idx="1">
                  <c:v>-7.9138612681962455</c:v>
                </c:pt>
                <c:pt idx="2">
                  <c:v>299.05682359517726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7E-40BE-9EF8-94ABA0C3D2DC}"/>
            </c:ext>
          </c:extLst>
        </c:ser>
        <c:ser>
          <c:idx val="1"/>
          <c:order val="1"/>
          <c:tx>
            <c:strRef>
              <c:f>Graphiques!$C$18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Graphiques!$D$16:$F$16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Graphiques!$D$18:$F$18</c:f>
              <c:numCache>
                <c:formatCode>0</c:formatCode>
                <c:ptCount val="3"/>
                <c:pt idx="0">
                  <c:v>-22.319707128428991</c:v>
                </c:pt>
                <c:pt idx="1">
                  <c:v>-144.29288077095794</c:v>
                </c:pt>
                <c:pt idx="2">
                  <c:v>-166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7E-40BE-9EF8-94ABA0C3D2DC}"/>
            </c:ext>
          </c:extLst>
        </c:ser>
        <c:ser>
          <c:idx val="2"/>
          <c:order val="2"/>
          <c:tx>
            <c:strRef>
              <c:f>Graphiques!$C$19</c:f>
              <c:strCache>
                <c:ptCount val="1"/>
                <c:pt idx="0">
                  <c:v>المجموع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Graphiques!$D$16:$F$16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Graphiques!$D$19:$F$19</c:f>
              <c:numCache>
                <c:formatCode>0</c:formatCode>
                <c:ptCount val="3"/>
                <c:pt idx="0">
                  <c:v>284.65097773506739</c:v>
                </c:pt>
                <c:pt idx="1">
                  <c:v>-152.20674203915419</c:v>
                </c:pt>
                <c:pt idx="2">
                  <c:v>133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C7E-40BE-9EF8-94ABA0C3D2DC}"/>
            </c:ext>
          </c:extLst>
        </c:ser>
        <c:gapWidth val="75"/>
        <c:overlap val="-25"/>
        <c:axId val="84337024"/>
        <c:axId val="84340096"/>
      </c:barChart>
      <c:catAx>
        <c:axId val="84337024"/>
        <c:scaling>
          <c:orientation val="minMax"/>
        </c:scaling>
        <c:axPos val="b"/>
        <c:numFmt formatCode="General" sourceLinked="0"/>
        <c:majorTickMark val="none"/>
        <c:tickLblPos val="low"/>
        <c:crossAx val="84340096"/>
        <c:crosses val="autoZero"/>
        <c:auto val="1"/>
        <c:lblAlgn val="ctr"/>
        <c:lblOffset val="100"/>
      </c:catAx>
      <c:valAx>
        <c:axId val="84340096"/>
        <c:scaling>
          <c:orientation val="minMax"/>
        </c:scaling>
        <c:delete val="1"/>
        <c:axPos val="l"/>
        <c:numFmt formatCode="0" sourceLinked="1"/>
        <c:majorTickMark val="none"/>
        <c:tickLblPos val="none"/>
        <c:crossAx val="84337024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5.0925925925925923E-2"/>
          <c:w val="0.9388888888888911"/>
          <c:h val="0.70477435112277664"/>
        </c:manualLayout>
      </c:layout>
      <c:barChart>
        <c:barDir val="col"/>
        <c:grouping val="clustered"/>
        <c:ser>
          <c:idx val="0"/>
          <c:order val="0"/>
          <c:tx>
            <c:strRef>
              <c:f>Graphiques!$D$24</c:f>
              <c:strCache>
                <c:ptCount val="1"/>
                <c:pt idx="0">
                  <c:v>حضري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Graphiques!$C$25:$C$28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Graphiques!$D$25:$D$28</c:f>
              <c:numCache>
                <c:formatCode>#,##0,</c:formatCode>
                <c:ptCount val="4"/>
                <c:pt idx="0">
                  <c:v>16473.743651985333</c:v>
                </c:pt>
                <c:pt idx="1">
                  <c:v>68568.240963323318</c:v>
                </c:pt>
                <c:pt idx="2">
                  <c:v>16177.261084027587</c:v>
                </c:pt>
                <c:pt idx="3">
                  <c:v>184034.8150272429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1C-4D60-BCA1-6E3E4CC67232}"/>
            </c:ext>
          </c:extLst>
        </c:ser>
        <c:ser>
          <c:idx val="1"/>
          <c:order val="1"/>
          <c:tx>
            <c:strRef>
              <c:f>Graphiques!$E$24</c:f>
              <c:strCache>
                <c:ptCount val="1"/>
                <c:pt idx="0">
                  <c:v>قروي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Graphiques!$C$25:$C$28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Graphiques!$E$25:$E$28</c:f>
              <c:numCache>
                <c:formatCode>#,##0,</c:formatCode>
                <c:ptCount val="4"/>
                <c:pt idx="0">
                  <c:v>-225503.95708922271</c:v>
                </c:pt>
                <c:pt idx="1">
                  <c:v>7029.4705631412189</c:v>
                </c:pt>
                <c:pt idx="2">
                  <c:v>13594.890954506171</c:v>
                </c:pt>
                <c:pt idx="3">
                  <c:v>52672.8535324283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1C-4D60-BCA1-6E3E4CC67232}"/>
            </c:ext>
          </c:extLst>
        </c:ser>
        <c:ser>
          <c:idx val="2"/>
          <c:order val="2"/>
          <c:tx>
            <c:strRef>
              <c:f>Graphiques!$F$24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-210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81C-4D60-BCA1-6E3E4CC67232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Graphiques!$C$25:$C$28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Graphiques!$F$25:$F$28</c:f>
              <c:numCache>
                <c:formatCode>#,##0,</c:formatCode>
                <c:ptCount val="4"/>
                <c:pt idx="0">
                  <c:v>-209030.21343723699</c:v>
                </c:pt>
                <c:pt idx="1">
                  <c:v>75597.711526460364</c:v>
                </c:pt>
                <c:pt idx="2">
                  <c:v>29772.152038537348</c:v>
                </c:pt>
                <c:pt idx="3">
                  <c:v>236707.66855965077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1C-4D60-BCA1-6E3E4CC67232}"/>
            </c:ext>
          </c:extLst>
        </c:ser>
        <c:gapWidth val="75"/>
        <c:overlap val="-25"/>
        <c:axId val="86405120"/>
        <c:axId val="86406656"/>
      </c:barChart>
      <c:catAx>
        <c:axId val="86405120"/>
        <c:scaling>
          <c:orientation val="minMax"/>
        </c:scaling>
        <c:axPos val="b"/>
        <c:numFmt formatCode="General" sourceLinked="0"/>
        <c:majorTickMark val="none"/>
        <c:tickLblPos val="low"/>
        <c:crossAx val="86406656"/>
        <c:crosses val="autoZero"/>
        <c:auto val="1"/>
        <c:lblAlgn val="ctr"/>
        <c:lblOffset val="100"/>
      </c:catAx>
      <c:valAx>
        <c:axId val="86406656"/>
        <c:scaling>
          <c:orientation val="minMax"/>
        </c:scaling>
        <c:delete val="1"/>
        <c:axPos val="l"/>
        <c:numFmt formatCode="#,##0," sourceLinked="1"/>
        <c:majorTickMark val="none"/>
        <c:tickLblPos val="none"/>
        <c:crossAx val="8640512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8403849518810148"/>
          <c:y val="4.5912438028579923E-2"/>
          <c:w val="0.44303390201224846"/>
          <c:h val="8.3717191601050026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Graphiques!$C$142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Graphiques!$D$141:$I$141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Graphiques!$D$142:$I$142</c:f>
              <c:numCache>
                <c:formatCode>General</c:formatCode>
                <c:ptCount val="6"/>
                <c:pt idx="0">
                  <c:v>14</c:v>
                </c:pt>
                <c:pt idx="1">
                  <c:v>13.6</c:v>
                </c:pt>
                <c:pt idx="2">
                  <c:v>11.7</c:v>
                </c:pt>
                <c:pt idx="3">
                  <c:v>15.6</c:v>
                </c:pt>
                <c:pt idx="4">
                  <c:v>18.2</c:v>
                </c:pt>
                <c:pt idx="5">
                  <c:v>15.5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4F-4AEC-836C-3671B37ECA32}"/>
            </c:ext>
          </c:extLst>
        </c:ser>
        <c:ser>
          <c:idx val="1"/>
          <c:order val="1"/>
          <c:tx>
            <c:strRef>
              <c:f>Graphiques!$C$143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Graphiques!$D$141:$I$141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Graphiques!$D$143:$I$143</c:f>
              <c:numCache>
                <c:formatCode>General</c:formatCode>
                <c:ptCount val="6"/>
                <c:pt idx="0">
                  <c:v>3.2</c:v>
                </c:pt>
                <c:pt idx="1">
                  <c:v>3.3</c:v>
                </c:pt>
                <c:pt idx="2">
                  <c:v>3</c:v>
                </c:pt>
                <c:pt idx="3">
                  <c:v>7.2</c:v>
                </c:pt>
                <c:pt idx="4">
                  <c:v>4.8</c:v>
                </c:pt>
                <c:pt idx="5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4F-4AEC-836C-3671B37ECA32}"/>
            </c:ext>
          </c:extLst>
        </c:ser>
        <c:ser>
          <c:idx val="2"/>
          <c:order val="2"/>
          <c:tx>
            <c:strRef>
              <c:f>Graphiques!$C$144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Graphiques!$D$141:$I$141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Graphiques!$D$144:$I$144</c:f>
              <c:numCache>
                <c:formatCode>General</c:formatCode>
                <c:ptCount val="6"/>
                <c:pt idx="0">
                  <c:v>9.3000000000000007</c:v>
                </c:pt>
                <c:pt idx="1">
                  <c:v>9.3000000000000007</c:v>
                </c:pt>
                <c:pt idx="2">
                  <c:v>8.1</c:v>
                </c:pt>
                <c:pt idx="3">
                  <c:v>12.3</c:v>
                </c:pt>
                <c:pt idx="4">
                  <c:v>12.8</c:v>
                </c:pt>
                <c:pt idx="5">
                  <c:v>11.2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4F-4AEC-836C-3671B37ECA32}"/>
            </c:ext>
          </c:extLst>
        </c:ser>
        <c:marker val="1"/>
        <c:axId val="96486912"/>
        <c:axId val="96488832"/>
      </c:lineChart>
      <c:catAx>
        <c:axId val="96486912"/>
        <c:scaling>
          <c:orientation val="minMax"/>
        </c:scaling>
        <c:axPos val="b"/>
        <c:numFmt formatCode="General" sourceLinked="1"/>
        <c:majorTickMark val="none"/>
        <c:tickLblPos val="nextTo"/>
        <c:crossAx val="96488832"/>
        <c:crosses val="autoZero"/>
        <c:auto val="1"/>
        <c:lblAlgn val="ctr"/>
        <c:lblOffset val="100"/>
      </c:catAx>
      <c:valAx>
        <c:axId val="9648883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648691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Graphiques!$D$42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Graphiques!$C$43:$C$50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حاصل على شهادة</c:v>
                </c:pt>
                <c:pt idx="7">
                  <c:v>المعدل الوطني</c:v>
                </c:pt>
              </c:strCache>
            </c:strRef>
          </c:cat>
          <c:val>
            <c:numRef>
              <c:f>Graphiques!$D$43:$D$50</c:f>
              <c:numCache>
                <c:formatCode>0.0</c:formatCode>
                <c:ptCount val="8"/>
                <c:pt idx="0">
                  <c:v>18.158882439431</c:v>
                </c:pt>
                <c:pt idx="1">
                  <c:v>4.7518225076686589</c:v>
                </c:pt>
                <c:pt idx="2">
                  <c:v>11.850254504054995</c:v>
                </c:pt>
                <c:pt idx="3">
                  <c:v>15.864955021852367</c:v>
                </c:pt>
                <c:pt idx="4">
                  <c:v>30.801824710460892</c:v>
                </c:pt>
                <c:pt idx="5">
                  <c:v>4.9508478614563352</c:v>
                </c:pt>
                <c:pt idx="6">
                  <c:v>20.429913622170126</c:v>
                </c:pt>
                <c:pt idx="7">
                  <c:v>12.8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8D-4438-8A85-AAE88313C1EF}"/>
            </c:ext>
          </c:extLst>
        </c:ser>
        <c:ser>
          <c:idx val="1"/>
          <c:order val="1"/>
          <c:tx>
            <c:strRef>
              <c:f>Graphiques!$E$42</c:f>
              <c:strCache>
                <c:ptCount val="1"/>
                <c:pt idx="0">
                  <c:v>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Graphiques!$C$43:$C$50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حاصل على شهادة</c:v>
                </c:pt>
                <c:pt idx="7">
                  <c:v>المعدل الوطني</c:v>
                </c:pt>
              </c:strCache>
            </c:strRef>
          </c:cat>
          <c:val>
            <c:numRef>
              <c:f>Graphiques!$E$43:$E$50</c:f>
              <c:numCache>
                <c:formatCode>0.0</c:formatCode>
                <c:ptCount val="8"/>
                <c:pt idx="0">
                  <c:v>15.532640319919121</c:v>
                </c:pt>
                <c:pt idx="1">
                  <c:v>4.1754630286292702</c:v>
                </c:pt>
                <c:pt idx="2">
                  <c:v>9.9353483494830162</c:v>
                </c:pt>
                <c:pt idx="3">
                  <c:v>15.115046365419534</c:v>
                </c:pt>
                <c:pt idx="4">
                  <c:v>30.177284294397637</c:v>
                </c:pt>
                <c:pt idx="5">
                  <c:v>3.6475612609705497</c:v>
                </c:pt>
                <c:pt idx="6">
                  <c:v>17.960199216170903</c:v>
                </c:pt>
                <c:pt idx="7">
                  <c:v>11.2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8D-4438-8A85-AAE88313C1EF}"/>
            </c:ext>
          </c:extLst>
        </c:ser>
        <c:gapWidth val="75"/>
        <c:overlap val="-25"/>
        <c:axId val="96577408"/>
        <c:axId val="96772096"/>
      </c:barChart>
      <c:catAx>
        <c:axId val="96577408"/>
        <c:scaling>
          <c:orientation val="minMax"/>
        </c:scaling>
        <c:axPos val="b"/>
        <c:numFmt formatCode="General" sourceLinked="0"/>
        <c:majorTickMark val="none"/>
        <c:tickLblPos val="nextTo"/>
        <c:crossAx val="96772096"/>
        <c:crosses val="autoZero"/>
        <c:auto val="1"/>
        <c:lblAlgn val="ctr"/>
        <c:lblOffset val="100"/>
      </c:catAx>
      <c:valAx>
        <c:axId val="9677209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657740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Graphiques!$E$59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Graphiques!$D$60:$D$62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Graphiques!$E$60:$E$62</c:f>
              <c:numCache>
                <c:formatCode>0.0</c:formatCode>
                <c:ptCount val="3"/>
                <c:pt idx="0">
                  <c:v>8.9228374885771693</c:v>
                </c:pt>
                <c:pt idx="1">
                  <c:v>9.4971113518565531</c:v>
                </c:pt>
                <c:pt idx="2">
                  <c:v>9.1716356668134331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EB-4465-A72F-0D2364A0E410}"/>
            </c:ext>
          </c:extLst>
        </c:ser>
        <c:ser>
          <c:idx val="1"/>
          <c:order val="1"/>
          <c:tx>
            <c:strRef>
              <c:f>Graphiques!$F$59</c:f>
              <c:strCache>
                <c:ptCount val="1"/>
                <c:pt idx="0">
                  <c:v>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Graphiques!$D$60:$D$62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Graphiques!$F$60:$F$62</c:f>
              <c:numCache>
                <c:formatCode>0.0</c:formatCode>
                <c:ptCount val="3"/>
                <c:pt idx="0">
                  <c:v>7.7484927184997634</c:v>
                </c:pt>
                <c:pt idx="1">
                  <c:v>9.6111551494596039</c:v>
                </c:pt>
                <c:pt idx="2">
                  <c:v>8.520017163097009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EB-4465-A72F-0D2364A0E410}"/>
            </c:ext>
          </c:extLst>
        </c:ser>
        <c:gapWidth val="75"/>
        <c:overlap val="-25"/>
        <c:axId val="97703424"/>
        <c:axId val="97857920"/>
      </c:barChart>
      <c:catAx>
        <c:axId val="97703424"/>
        <c:scaling>
          <c:orientation val="minMax"/>
        </c:scaling>
        <c:axPos val="b"/>
        <c:numFmt formatCode="General" sourceLinked="0"/>
        <c:majorTickMark val="none"/>
        <c:tickLblPos val="nextTo"/>
        <c:crossAx val="97857920"/>
        <c:crosses val="autoZero"/>
        <c:auto val="1"/>
        <c:lblAlgn val="ctr"/>
        <c:lblOffset val="100"/>
      </c:catAx>
      <c:valAx>
        <c:axId val="9785792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770342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1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3A4-4A86-A53E-441978EF4F9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Graphiques!$B$73:$B$83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وطني</c:v>
                </c:pt>
              </c:strCache>
            </c:strRef>
          </c:cat>
          <c:val>
            <c:numRef>
              <c:f>Graphiques!$F$73:$F$83</c:f>
              <c:numCache>
                <c:formatCode>0.0</c:formatCode>
                <c:ptCount val="11"/>
                <c:pt idx="0">
                  <c:v>51.164910034045462</c:v>
                </c:pt>
                <c:pt idx="1">
                  <c:v>43.065640406515179</c:v>
                </c:pt>
                <c:pt idx="2">
                  <c:v>42.001887376356549</c:v>
                </c:pt>
                <c:pt idx="3">
                  <c:v>45.707514654956391</c:v>
                </c:pt>
                <c:pt idx="4">
                  <c:v>41.666345420963957</c:v>
                </c:pt>
                <c:pt idx="5">
                  <c:v>47.522453184403183</c:v>
                </c:pt>
                <c:pt idx="6">
                  <c:v>46.456930335536278</c:v>
                </c:pt>
                <c:pt idx="7">
                  <c:v>42.95479131467232</c:v>
                </c:pt>
                <c:pt idx="8">
                  <c:v>39.883028219447503</c:v>
                </c:pt>
                <c:pt idx="9">
                  <c:v>44.242223515927783</c:v>
                </c:pt>
                <c:pt idx="10">
                  <c:v>45.205452374587814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A4-4A86-A53E-441978EF4F91}"/>
            </c:ext>
          </c:extLst>
        </c:ser>
        <c:axId val="96668288"/>
        <c:axId val="96711040"/>
      </c:barChart>
      <c:catAx>
        <c:axId val="96668288"/>
        <c:scaling>
          <c:orientation val="minMax"/>
        </c:scaling>
        <c:axPos val="l"/>
        <c:numFmt formatCode="General" sourceLinked="0"/>
        <c:tickLblPos val="nextTo"/>
        <c:crossAx val="96711040"/>
        <c:crosses val="autoZero"/>
        <c:auto val="1"/>
        <c:lblAlgn val="ctr"/>
        <c:lblOffset val="100"/>
      </c:catAx>
      <c:valAx>
        <c:axId val="96711040"/>
        <c:scaling>
          <c:orientation val="minMax"/>
        </c:scaling>
        <c:delete val="1"/>
        <c:axPos val="b"/>
        <c:numFmt formatCode="0.0" sourceLinked="1"/>
        <c:tickLblPos val="none"/>
        <c:crossAx val="9666828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dPt>
            <c:idx val="1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21F-4D26-AEAD-D225F367729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Graphiques!$B$73:$B$83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وطني</c:v>
                </c:pt>
              </c:strCache>
            </c:strRef>
          </c:cat>
          <c:val>
            <c:numRef>
              <c:f>Graphiques!$F$105:$F$115</c:f>
              <c:numCache>
                <c:formatCode>0.0</c:formatCode>
                <c:ptCount val="11"/>
                <c:pt idx="0">
                  <c:v>8.7069046195620228</c:v>
                </c:pt>
                <c:pt idx="1">
                  <c:v>18.188631948797049</c:v>
                </c:pt>
                <c:pt idx="2">
                  <c:v>12.527046510674156</c:v>
                </c:pt>
                <c:pt idx="3">
                  <c:v>10.319272483666689</c:v>
                </c:pt>
                <c:pt idx="4">
                  <c:v>8.6964016979635428</c:v>
                </c:pt>
                <c:pt idx="5">
                  <c:v>12.823718771581801</c:v>
                </c:pt>
                <c:pt idx="6">
                  <c:v>6.5350334578666098</c:v>
                </c:pt>
                <c:pt idx="7">
                  <c:v>9.1075169925485504</c:v>
                </c:pt>
                <c:pt idx="8">
                  <c:v>11.429095806584673</c:v>
                </c:pt>
                <c:pt idx="9">
                  <c:v>20.92579372352678</c:v>
                </c:pt>
                <c:pt idx="10">
                  <c:v>11.171832997745772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1F-4D26-AEAD-D225F3677297}"/>
            </c:ext>
          </c:extLst>
        </c:ser>
        <c:gapWidth val="75"/>
        <c:overlap val="-25"/>
        <c:axId val="96723712"/>
        <c:axId val="96725248"/>
      </c:barChart>
      <c:catAx>
        <c:axId val="96723712"/>
        <c:scaling>
          <c:orientation val="minMax"/>
        </c:scaling>
        <c:axPos val="l"/>
        <c:numFmt formatCode="General" sourceLinked="0"/>
        <c:majorTickMark val="none"/>
        <c:tickLblPos val="nextTo"/>
        <c:crossAx val="96725248"/>
        <c:crosses val="autoZero"/>
        <c:auto val="1"/>
        <c:lblAlgn val="ctr"/>
        <c:lblOffset val="100"/>
      </c:catAx>
      <c:valAx>
        <c:axId val="96725248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9672371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C8BC-C053-4B85-B768-2F635F9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1748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5</cp:revision>
  <cp:lastPrinted>2022-08-01T09:06:00Z</cp:lastPrinted>
  <dcterms:created xsi:type="dcterms:W3CDTF">2022-07-29T10:57:00Z</dcterms:created>
  <dcterms:modified xsi:type="dcterms:W3CDTF">2022-08-01T15:12:00Z</dcterms:modified>
</cp:coreProperties>
</file>