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4EF" w:rsidRPr="00A402AD" w:rsidRDefault="001C44EF" w:rsidP="001C44EF">
      <w:pPr>
        <w:autoSpaceDE w:val="0"/>
        <w:autoSpaceDN w:val="0"/>
        <w:adjustRightInd w:val="0"/>
        <w:spacing w:after="0"/>
        <w:jc w:val="center"/>
        <w:rPr>
          <w:rFonts w:ascii="Garamond" w:hAnsi="Garamond" w:cs="Times New Roman"/>
          <w:b/>
          <w:bCs/>
          <w:sz w:val="26"/>
          <w:szCs w:val="26"/>
        </w:rPr>
      </w:pPr>
    </w:p>
    <w:p w:rsidR="001C44EF" w:rsidRPr="00A402AD" w:rsidRDefault="001C44EF" w:rsidP="001C44EF">
      <w:pPr>
        <w:autoSpaceDE w:val="0"/>
        <w:autoSpaceDN w:val="0"/>
        <w:adjustRightInd w:val="0"/>
        <w:spacing w:after="0"/>
        <w:jc w:val="center"/>
        <w:rPr>
          <w:rFonts w:ascii="Garamond" w:hAnsi="Garamond" w:cs="Times New Roman"/>
          <w:b/>
          <w:bCs/>
          <w:sz w:val="26"/>
          <w:szCs w:val="26"/>
        </w:rPr>
      </w:pPr>
    </w:p>
    <w:p w:rsidR="001C44EF" w:rsidRPr="00A402AD" w:rsidRDefault="001C44EF" w:rsidP="00190F08">
      <w:pPr>
        <w:autoSpaceDE w:val="0"/>
        <w:autoSpaceDN w:val="0"/>
        <w:bidi/>
        <w:adjustRightInd w:val="0"/>
        <w:spacing w:after="0"/>
        <w:jc w:val="center"/>
        <w:rPr>
          <w:rFonts w:ascii="Garamond" w:hAnsi="Garamond" w:cs="Times New Roman"/>
          <w:b/>
          <w:bCs/>
          <w:color w:val="C45911"/>
          <w:sz w:val="26"/>
          <w:szCs w:val="26"/>
        </w:rPr>
      </w:pPr>
      <w:r w:rsidRPr="00A402AD">
        <w:rPr>
          <w:rFonts w:ascii="Garamond" w:hAnsi="Garamond" w:cs="Times New Roman"/>
          <w:b/>
          <w:bCs/>
          <w:color w:val="C45911"/>
          <w:sz w:val="26"/>
          <w:szCs w:val="26"/>
        </w:rPr>
        <w:t xml:space="preserve">NOTE D’INFORMATION </w:t>
      </w:r>
      <w:r w:rsidRPr="00A402AD">
        <w:rPr>
          <w:rFonts w:ascii="Garamond" w:hAnsi="Garamond" w:cs="Times New Roman"/>
          <w:b/>
          <w:bCs/>
          <w:color w:val="C45911"/>
          <w:sz w:val="26"/>
          <w:szCs w:val="26"/>
        </w:rPr>
        <w:br/>
        <w:t>DU HAUT-COMMISSARIAT AU PLAN</w:t>
      </w:r>
      <w:r w:rsidRPr="00A402AD">
        <w:rPr>
          <w:rFonts w:ascii="Garamond" w:hAnsi="Garamond" w:cs="Times New Roman"/>
          <w:b/>
          <w:bCs/>
          <w:color w:val="C45911"/>
          <w:sz w:val="26"/>
          <w:szCs w:val="26"/>
        </w:rPr>
        <w:br/>
        <w:t xml:space="preserve">A L’OCCASION DE LA JOURNEE INTERNATIONALE </w:t>
      </w:r>
      <w:r w:rsidRPr="00A402AD">
        <w:rPr>
          <w:rFonts w:ascii="Garamond" w:hAnsi="Garamond" w:cs="Times New Roman"/>
          <w:b/>
          <w:bCs/>
          <w:color w:val="C45911"/>
          <w:sz w:val="26"/>
          <w:szCs w:val="26"/>
        </w:rPr>
        <w:br/>
        <w:t>DE LA JEUNESSE DU 12 AOUT 2022</w:t>
      </w:r>
    </w:p>
    <w:p w:rsidR="001C44EF" w:rsidRPr="00A402AD" w:rsidRDefault="001C44EF" w:rsidP="001C44EF">
      <w:pPr>
        <w:autoSpaceDE w:val="0"/>
        <w:autoSpaceDN w:val="0"/>
        <w:adjustRightInd w:val="0"/>
        <w:spacing w:after="0"/>
        <w:jc w:val="center"/>
        <w:rPr>
          <w:rFonts w:ascii="Garamond" w:hAnsi="Garamond" w:cs="Times New Roman"/>
          <w:b/>
          <w:bCs/>
          <w:color w:val="4F0A5A"/>
          <w:sz w:val="26"/>
          <w:szCs w:val="26"/>
        </w:rPr>
      </w:pPr>
    </w:p>
    <w:p w:rsidR="001C44EF" w:rsidRDefault="00FD6C91" w:rsidP="00FD6C91">
      <w:pPr>
        <w:spacing w:before="240"/>
        <w:jc w:val="both"/>
        <w:rPr>
          <w:rFonts w:ascii="Book Antiqua" w:eastAsia="Calibri" w:hAnsi="Book Antiqua"/>
          <w:sz w:val="24"/>
          <w:szCs w:val="24"/>
          <w:rtl/>
          <w:lang w:bidi="tzm-Arab-MA"/>
        </w:rPr>
      </w:pPr>
      <w:r>
        <w:rPr>
          <w:rFonts w:ascii="Book Antiqua" w:eastAsia="Calibri" w:hAnsi="Book Antiqua"/>
          <w:sz w:val="24"/>
          <w:szCs w:val="24"/>
        </w:rPr>
        <w:t xml:space="preserve">Le </w:t>
      </w:r>
      <w:r w:rsidR="001C44EF" w:rsidRPr="00A402AD">
        <w:rPr>
          <w:rFonts w:ascii="Book Antiqua" w:eastAsia="Calibri" w:hAnsi="Book Antiqua"/>
          <w:sz w:val="24"/>
          <w:szCs w:val="24"/>
        </w:rPr>
        <w:t xml:space="preserve">Maroc compte 5,9 millions </w:t>
      </w:r>
      <w:r w:rsidR="001C44EF">
        <w:rPr>
          <w:rFonts w:ascii="Book Antiqua" w:eastAsia="Calibri" w:hAnsi="Book Antiqua"/>
          <w:sz w:val="24"/>
          <w:szCs w:val="24"/>
        </w:rPr>
        <w:t xml:space="preserve">de </w:t>
      </w:r>
      <w:r w:rsidR="001C44EF" w:rsidRPr="00A402AD">
        <w:rPr>
          <w:rFonts w:ascii="Book Antiqua" w:eastAsia="Calibri" w:hAnsi="Book Antiqua"/>
          <w:sz w:val="24"/>
          <w:szCs w:val="24"/>
        </w:rPr>
        <w:t>jeunes</w:t>
      </w:r>
      <w:r w:rsidR="001C44EF">
        <w:rPr>
          <w:rFonts w:ascii="Book Antiqua" w:eastAsia="Calibri" w:hAnsi="Book Antiqua"/>
          <w:sz w:val="24"/>
          <w:szCs w:val="24"/>
          <w:vertAlign w:val="superscript"/>
        </w:rPr>
        <w:t xml:space="preserve"> </w:t>
      </w:r>
      <w:r w:rsidR="001C44EF" w:rsidRPr="00A402AD">
        <w:rPr>
          <w:rFonts w:ascii="Book Antiqua" w:eastAsia="Calibri" w:hAnsi="Book Antiqua"/>
          <w:sz w:val="24"/>
          <w:szCs w:val="24"/>
        </w:rPr>
        <w:t xml:space="preserve">âgés de 15 à 24 ans, </w:t>
      </w:r>
      <w:r w:rsidR="001C44EF">
        <w:rPr>
          <w:rFonts w:ascii="Book Antiqua" w:eastAsia="Calibri" w:hAnsi="Book Antiqua"/>
          <w:sz w:val="24"/>
          <w:szCs w:val="24"/>
        </w:rPr>
        <w:t>ce qui représente 16,2%</w:t>
      </w:r>
      <w:r w:rsidR="001C44EF" w:rsidRPr="00A402AD">
        <w:rPr>
          <w:rFonts w:ascii="Book Antiqua" w:eastAsia="Calibri" w:hAnsi="Book Antiqua"/>
          <w:sz w:val="24"/>
          <w:szCs w:val="24"/>
        </w:rPr>
        <w:t xml:space="preserve"> de la population totale</w:t>
      </w:r>
      <w:r>
        <w:rPr>
          <w:rFonts w:ascii="Book Antiqua" w:eastAsia="Calibri" w:hAnsi="Book Antiqua"/>
          <w:sz w:val="24"/>
          <w:szCs w:val="24"/>
        </w:rPr>
        <w:t xml:space="preserve"> en 2021</w:t>
      </w:r>
      <w:r w:rsidR="001C44EF" w:rsidRPr="00A402AD">
        <w:rPr>
          <w:rFonts w:ascii="Book Antiqua" w:eastAsia="Calibri" w:hAnsi="Book Antiqua"/>
          <w:sz w:val="24"/>
          <w:szCs w:val="24"/>
        </w:rPr>
        <w:t xml:space="preserve">, 50,9% </w:t>
      </w:r>
      <w:r w:rsidR="001C44EF">
        <w:rPr>
          <w:rFonts w:ascii="Book Antiqua" w:eastAsia="Calibri" w:hAnsi="Book Antiqua"/>
          <w:sz w:val="24"/>
          <w:szCs w:val="24"/>
        </w:rPr>
        <w:t xml:space="preserve">d’entre eux sont </w:t>
      </w:r>
      <w:r w:rsidR="001C44EF" w:rsidRPr="00A402AD">
        <w:rPr>
          <w:rFonts w:ascii="Book Antiqua" w:eastAsia="Calibri" w:hAnsi="Book Antiqua"/>
          <w:sz w:val="24"/>
          <w:szCs w:val="24"/>
        </w:rPr>
        <w:t xml:space="preserve">de sexe masculin, 59,9% </w:t>
      </w:r>
      <w:r w:rsidR="001C44EF">
        <w:rPr>
          <w:rFonts w:ascii="Book Antiqua" w:eastAsia="Calibri" w:hAnsi="Book Antiqua"/>
          <w:sz w:val="24"/>
          <w:szCs w:val="24"/>
        </w:rPr>
        <w:t>des citadins et</w:t>
      </w:r>
      <w:r w:rsidR="001C44EF" w:rsidRPr="00A402AD">
        <w:rPr>
          <w:rFonts w:ascii="Book Antiqua" w:eastAsia="Calibri" w:hAnsi="Book Antiqua"/>
          <w:sz w:val="24"/>
          <w:szCs w:val="24"/>
        </w:rPr>
        <w:t xml:space="preserve"> 56,6 % sont âgés de 15 à 19 ans. </w:t>
      </w:r>
    </w:p>
    <w:p w:rsidR="00CB60DA" w:rsidRDefault="00CB60DA" w:rsidP="002962DF">
      <w:pPr>
        <w:spacing w:before="240" w:line="312" w:lineRule="auto"/>
        <w:jc w:val="both"/>
        <w:rPr>
          <w:rFonts w:ascii="Book Antiqua" w:eastAsia="Calibri" w:hAnsi="Book Antiqua"/>
          <w:sz w:val="24"/>
          <w:szCs w:val="24"/>
        </w:rPr>
      </w:pPr>
      <w:r w:rsidRPr="009570EB">
        <w:rPr>
          <w:rFonts w:ascii="Book Antiqua" w:eastAsia="Calibri" w:hAnsi="Book Antiqua"/>
          <w:sz w:val="24"/>
          <w:szCs w:val="24"/>
        </w:rPr>
        <w:t>Plus de 6 jeunes sur 10 (6</w:t>
      </w:r>
      <w:r>
        <w:rPr>
          <w:rFonts w:ascii="Book Antiqua" w:eastAsia="Calibri" w:hAnsi="Book Antiqua"/>
          <w:sz w:val="24"/>
          <w:szCs w:val="24"/>
        </w:rPr>
        <w:t>4</w:t>
      </w:r>
      <w:r w:rsidRPr="009570EB">
        <w:rPr>
          <w:rFonts w:ascii="Book Antiqua" w:eastAsia="Calibri" w:hAnsi="Book Antiqua"/>
          <w:sz w:val="24"/>
          <w:szCs w:val="24"/>
        </w:rPr>
        <w:t>,</w:t>
      </w:r>
      <w:r>
        <w:rPr>
          <w:rFonts w:ascii="Book Antiqua" w:eastAsia="Calibri" w:hAnsi="Book Antiqua"/>
          <w:sz w:val="24"/>
          <w:szCs w:val="24"/>
        </w:rPr>
        <w:t>6</w:t>
      </w:r>
      <w:r w:rsidRPr="009570EB">
        <w:rPr>
          <w:rFonts w:ascii="Book Antiqua" w:eastAsia="Calibri" w:hAnsi="Book Antiqua"/>
          <w:sz w:val="24"/>
          <w:szCs w:val="24"/>
        </w:rPr>
        <w:t xml:space="preserve">%) </w:t>
      </w:r>
      <w:r>
        <w:rPr>
          <w:rFonts w:ascii="Book Antiqua" w:eastAsia="Calibri" w:hAnsi="Book Antiqua"/>
          <w:sz w:val="24"/>
          <w:szCs w:val="24"/>
        </w:rPr>
        <w:t>ont</w:t>
      </w:r>
      <w:r w:rsidRPr="009570EB">
        <w:rPr>
          <w:rFonts w:ascii="Book Antiqua" w:eastAsia="Calibri" w:hAnsi="Book Antiqua"/>
          <w:sz w:val="24"/>
          <w:szCs w:val="24"/>
        </w:rPr>
        <w:t xml:space="preserve"> </w:t>
      </w:r>
      <w:r>
        <w:rPr>
          <w:rFonts w:ascii="Book Antiqua" w:eastAsia="Calibri" w:hAnsi="Book Antiqua"/>
          <w:sz w:val="24"/>
          <w:szCs w:val="24"/>
        </w:rPr>
        <w:t xml:space="preserve">un </w:t>
      </w:r>
      <w:r w:rsidRPr="009570EB">
        <w:rPr>
          <w:rFonts w:ascii="Book Antiqua" w:eastAsia="Calibri" w:hAnsi="Book Antiqua"/>
          <w:sz w:val="24"/>
          <w:szCs w:val="24"/>
        </w:rPr>
        <w:t>diplôme</w:t>
      </w:r>
      <w:r>
        <w:rPr>
          <w:rFonts w:ascii="Book Antiqua" w:eastAsia="Calibri" w:hAnsi="Book Antiqua"/>
          <w:sz w:val="24"/>
          <w:szCs w:val="24"/>
        </w:rPr>
        <w:t xml:space="preserve"> de niveau moyen, 20</w:t>
      </w:r>
      <w:r w:rsidRPr="009570EB">
        <w:rPr>
          <w:rFonts w:ascii="Book Antiqua" w:eastAsia="Calibri" w:hAnsi="Book Antiqua"/>
          <w:sz w:val="24"/>
          <w:szCs w:val="24"/>
        </w:rPr>
        <w:t>,</w:t>
      </w:r>
      <w:r>
        <w:rPr>
          <w:rFonts w:ascii="Book Antiqua" w:eastAsia="Calibri" w:hAnsi="Book Antiqua"/>
          <w:sz w:val="24"/>
          <w:szCs w:val="24"/>
        </w:rPr>
        <w:t>6</w:t>
      </w:r>
      <w:r w:rsidRPr="009570EB">
        <w:rPr>
          <w:rFonts w:ascii="Book Antiqua" w:eastAsia="Calibri" w:hAnsi="Book Antiqua"/>
          <w:sz w:val="24"/>
          <w:szCs w:val="24"/>
        </w:rPr>
        <w:t xml:space="preserve">% </w:t>
      </w:r>
      <w:r>
        <w:rPr>
          <w:rFonts w:ascii="Book Antiqua" w:eastAsia="Calibri" w:hAnsi="Book Antiqua"/>
          <w:sz w:val="24"/>
          <w:szCs w:val="24"/>
        </w:rPr>
        <w:t>un diplôme</w:t>
      </w:r>
      <w:r w:rsidRPr="009570EB">
        <w:rPr>
          <w:rFonts w:ascii="Book Antiqua" w:eastAsia="Calibri" w:hAnsi="Book Antiqua"/>
          <w:sz w:val="24"/>
          <w:szCs w:val="24"/>
        </w:rPr>
        <w:t xml:space="preserve"> de</w:t>
      </w:r>
      <w:r>
        <w:rPr>
          <w:rFonts w:ascii="Book Antiqua" w:eastAsia="Calibri" w:hAnsi="Book Antiqua"/>
          <w:sz w:val="24"/>
          <w:szCs w:val="24"/>
        </w:rPr>
        <w:t xml:space="preserve"> niveau</w:t>
      </w:r>
      <w:r w:rsidRPr="009570EB">
        <w:rPr>
          <w:rFonts w:ascii="Book Antiqua" w:eastAsia="Calibri" w:hAnsi="Book Antiqua"/>
          <w:sz w:val="24"/>
          <w:szCs w:val="24"/>
        </w:rPr>
        <w:t xml:space="preserve"> supérieur</w:t>
      </w:r>
      <w:r>
        <w:rPr>
          <w:rFonts w:ascii="Book Antiqua" w:eastAsia="Calibri" w:hAnsi="Book Antiqua"/>
          <w:sz w:val="24"/>
          <w:szCs w:val="24"/>
        </w:rPr>
        <w:t xml:space="preserve"> et</w:t>
      </w:r>
      <w:r w:rsidRPr="009570EB">
        <w:rPr>
          <w:rFonts w:ascii="Book Antiqua" w:eastAsia="Calibri" w:hAnsi="Book Antiqua"/>
          <w:sz w:val="24"/>
          <w:szCs w:val="24"/>
        </w:rPr>
        <w:t> 14,8% n’ont aucun diplôme.</w:t>
      </w:r>
    </w:p>
    <w:p w:rsidR="001C44EF" w:rsidRDefault="001C44EF" w:rsidP="00CB60DA">
      <w:pPr>
        <w:spacing w:before="240"/>
        <w:jc w:val="both"/>
        <w:rPr>
          <w:rFonts w:ascii="Book Antiqua" w:eastAsia="Calibri" w:hAnsi="Book Antiqua"/>
          <w:sz w:val="24"/>
          <w:szCs w:val="24"/>
        </w:rPr>
      </w:pPr>
      <w:r w:rsidRPr="00A402AD">
        <w:rPr>
          <w:rFonts w:ascii="Book Antiqua" w:eastAsia="Calibri" w:hAnsi="Book Antiqua"/>
          <w:sz w:val="24"/>
          <w:szCs w:val="24"/>
        </w:rPr>
        <w:t xml:space="preserve">La région </w:t>
      </w:r>
      <w:r>
        <w:rPr>
          <w:rFonts w:ascii="Book Antiqua" w:eastAsia="Calibri" w:hAnsi="Book Antiqua"/>
          <w:sz w:val="24"/>
          <w:szCs w:val="24"/>
        </w:rPr>
        <w:t>de</w:t>
      </w:r>
      <w:r w:rsidRPr="00A402AD">
        <w:rPr>
          <w:rFonts w:ascii="Book Antiqua" w:eastAsia="Calibri" w:hAnsi="Book Antiqua"/>
          <w:sz w:val="24"/>
          <w:szCs w:val="24"/>
        </w:rPr>
        <w:t xml:space="preserve"> Casablanca-Settat concentre près du cinquième (19,1%) des jeunes de 15 à 24 ans</w:t>
      </w:r>
      <w:r>
        <w:rPr>
          <w:rFonts w:ascii="Book Antiqua" w:eastAsia="Calibri" w:hAnsi="Book Antiqua"/>
          <w:sz w:val="24"/>
          <w:szCs w:val="24"/>
        </w:rPr>
        <w:t>, celle de</w:t>
      </w:r>
      <w:r w:rsidRPr="00A402AD">
        <w:rPr>
          <w:rFonts w:ascii="Book Antiqua" w:eastAsia="Calibri" w:hAnsi="Book Antiqua"/>
          <w:sz w:val="24"/>
          <w:szCs w:val="24"/>
        </w:rPr>
        <w:t xml:space="preserve"> Marrakech-Safi vient en seconde position </w:t>
      </w:r>
      <w:r>
        <w:rPr>
          <w:rFonts w:ascii="Book Antiqua" w:eastAsia="Calibri" w:hAnsi="Book Antiqua"/>
          <w:sz w:val="24"/>
          <w:szCs w:val="24"/>
        </w:rPr>
        <w:t xml:space="preserve">avec </w:t>
      </w:r>
      <w:r w:rsidRPr="00A402AD">
        <w:rPr>
          <w:rFonts w:ascii="Book Antiqua" w:eastAsia="Calibri" w:hAnsi="Book Antiqua"/>
          <w:sz w:val="24"/>
          <w:szCs w:val="24"/>
        </w:rPr>
        <w:t xml:space="preserve">13,6%, suivie </w:t>
      </w:r>
      <w:r>
        <w:rPr>
          <w:rFonts w:ascii="Book Antiqua" w:eastAsia="Calibri" w:hAnsi="Book Antiqua"/>
          <w:sz w:val="24"/>
          <w:szCs w:val="24"/>
        </w:rPr>
        <w:t>de</w:t>
      </w:r>
      <w:r w:rsidRPr="00A402AD">
        <w:rPr>
          <w:rFonts w:ascii="Book Antiqua" w:eastAsia="Calibri" w:hAnsi="Book Antiqua"/>
          <w:sz w:val="24"/>
          <w:szCs w:val="24"/>
        </w:rPr>
        <w:t xml:space="preserve"> Rabat-Salé-Kénitra (13,1%) et </w:t>
      </w:r>
      <w:r>
        <w:rPr>
          <w:rFonts w:ascii="Book Antiqua" w:eastAsia="Calibri" w:hAnsi="Book Antiqua"/>
          <w:sz w:val="24"/>
          <w:szCs w:val="24"/>
        </w:rPr>
        <w:t xml:space="preserve">de </w:t>
      </w:r>
      <w:r w:rsidRPr="00A402AD">
        <w:rPr>
          <w:rFonts w:ascii="Book Antiqua" w:eastAsia="Calibri" w:hAnsi="Book Antiqua"/>
          <w:sz w:val="24"/>
          <w:szCs w:val="24"/>
        </w:rPr>
        <w:t xml:space="preserve">Fès-Meknès (12,2%). </w:t>
      </w:r>
    </w:p>
    <w:p w:rsidR="001C44EF" w:rsidRPr="00424236" w:rsidRDefault="001C44EF" w:rsidP="001C44EF">
      <w:pPr>
        <w:rPr>
          <w:rFonts w:ascii="Book Antiqua" w:hAnsi="Book Antiqua"/>
          <w:b/>
          <w:bCs/>
          <w:i/>
          <w:iCs/>
          <w:color w:val="0070C0"/>
          <w:spacing w:val="-10"/>
          <w:kern w:val="28"/>
          <w:sz w:val="28"/>
          <w:szCs w:val="28"/>
        </w:rPr>
      </w:pPr>
      <w:r w:rsidRPr="002A7FAF">
        <w:rPr>
          <w:rFonts w:ascii="Book Antiqua" w:hAnsi="Book Antiqua"/>
          <w:b/>
          <w:bCs/>
          <w:i/>
          <w:iCs/>
          <w:color w:val="0070C0"/>
          <w:spacing w:val="-10"/>
          <w:kern w:val="28"/>
          <w:sz w:val="28"/>
          <w:szCs w:val="28"/>
        </w:rPr>
        <w:t>Activité et emploi des jeunes</w:t>
      </w:r>
    </w:p>
    <w:p w:rsidR="001C44EF" w:rsidRDefault="001C44EF" w:rsidP="001C61A8">
      <w:pPr>
        <w:spacing w:before="240"/>
        <w:jc w:val="both"/>
        <w:rPr>
          <w:rFonts w:ascii="Book Antiqua" w:eastAsia="Calibri" w:hAnsi="Book Antiqua"/>
          <w:sz w:val="24"/>
          <w:szCs w:val="24"/>
        </w:rPr>
      </w:pPr>
      <w:r>
        <w:rPr>
          <w:rFonts w:ascii="Book Antiqua" w:eastAsia="Calibri" w:hAnsi="Book Antiqua"/>
          <w:sz w:val="24"/>
          <w:szCs w:val="24"/>
        </w:rPr>
        <w:t xml:space="preserve">Parmi les </w:t>
      </w:r>
      <w:r w:rsidRPr="00A402AD">
        <w:rPr>
          <w:rFonts w:ascii="Book Antiqua" w:eastAsia="Calibri" w:hAnsi="Book Antiqua"/>
          <w:sz w:val="24"/>
          <w:szCs w:val="24"/>
        </w:rPr>
        <w:t xml:space="preserve">5,9 millions </w:t>
      </w:r>
      <w:r>
        <w:rPr>
          <w:rFonts w:ascii="Book Antiqua" w:eastAsia="Calibri" w:hAnsi="Book Antiqua"/>
          <w:sz w:val="24"/>
          <w:szCs w:val="24"/>
        </w:rPr>
        <w:t xml:space="preserve">de </w:t>
      </w:r>
      <w:r w:rsidRPr="00A402AD">
        <w:rPr>
          <w:rFonts w:ascii="Book Antiqua" w:eastAsia="Calibri" w:hAnsi="Book Antiqua"/>
          <w:sz w:val="24"/>
          <w:szCs w:val="24"/>
        </w:rPr>
        <w:t>jeunes</w:t>
      </w:r>
      <w:r w:rsidRPr="00A402AD">
        <w:rPr>
          <w:rFonts w:ascii="Book Antiqua" w:eastAsia="Calibri" w:hAnsi="Book Antiqua"/>
          <w:sz w:val="24"/>
          <w:szCs w:val="24"/>
          <w:vertAlign w:val="superscript"/>
        </w:rPr>
        <w:t xml:space="preserve"> </w:t>
      </w:r>
      <w:r w:rsidRPr="00A402AD">
        <w:rPr>
          <w:rFonts w:ascii="Book Antiqua" w:eastAsia="Calibri" w:hAnsi="Book Antiqua"/>
          <w:sz w:val="24"/>
          <w:szCs w:val="24"/>
        </w:rPr>
        <w:t>âgés de 15 à 24 ans</w:t>
      </w:r>
      <w:r>
        <w:rPr>
          <w:rFonts w:ascii="Book Antiqua" w:eastAsia="Calibri" w:hAnsi="Book Antiqua"/>
          <w:sz w:val="24"/>
          <w:szCs w:val="24"/>
        </w:rPr>
        <w:t>,</w:t>
      </w:r>
      <w:r w:rsidRPr="002A7FAF">
        <w:rPr>
          <w:rFonts w:ascii="Book Antiqua" w:eastAsia="Calibri" w:hAnsi="Book Antiqua"/>
          <w:sz w:val="24"/>
          <w:szCs w:val="24"/>
        </w:rPr>
        <w:t xml:space="preserve"> </w:t>
      </w:r>
      <w:r w:rsidRPr="00A402AD">
        <w:rPr>
          <w:rFonts w:ascii="Book Antiqua" w:eastAsia="Calibri" w:hAnsi="Book Antiqua"/>
          <w:sz w:val="24"/>
          <w:szCs w:val="24"/>
        </w:rPr>
        <w:t xml:space="preserve">16,3% </w:t>
      </w:r>
      <w:r>
        <w:rPr>
          <w:rFonts w:ascii="Book Antiqua" w:eastAsia="Calibri" w:hAnsi="Book Antiqua"/>
          <w:sz w:val="24"/>
          <w:szCs w:val="24"/>
        </w:rPr>
        <w:t>exercent un emploi</w:t>
      </w:r>
      <w:r w:rsidRPr="00A402AD">
        <w:rPr>
          <w:rFonts w:ascii="Book Antiqua" w:eastAsia="Calibri" w:hAnsi="Book Antiqua"/>
          <w:sz w:val="24"/>
          <w:szCs w:val="24"/>
        </w:rPr>
        <w:t xml:space="preserve"> (962.000), 7,6% sont </w:t>
      </w:r>
      <w:r>
        <w:rPr>
          <w:rFonts w:ascii="Book Antiqua" w:eastAsia="Calibri" w:hAnsi="Book Antiqua"/>
          <w:sz w:val="24"/>
          <w:szCs w:val="24"/>
        </w:rPr>
        <w:t xml:space="preserve">à la recherche d’un emploi </w:t>
      </w:r>
      <w:r w:rsidRPr="00A402AD">
        <w:rPr>
          <w:rFonts w:ascii="Book Antiqua" w:eastAsia="Calibri" w:hAnsi="Book Antiqua"/>
          <w:sz w:val="24"/>
          <w:szCs w:val="24"/>
        </w:rPr>
        <w:t>(448.000)</w:t>
      </w:r>
      <w:r>
        <w:rPr>
          <w:rFonts w:ascii="Book Antiqua" w:eastAsia="Calibri" w:hAnsi="Book Antiqua"/>
          <w:sz w:val="24"/>
          <w:szCs w:val="24"/>
        </w:rPr>
        <w:t xml:space="preserve"> alors</w:t>
      </w:r>
      <w:r w:rsidR="00C87520">
        <w:rPr>
          <w:rFonts w:ascii="Book Antiqua" w:eastAsia="Calibri" w:hAnsi="Book Antiqua"/>
          <w:sz w:val="24"/>
          <w:szCs w:val="24"/>
        </w:rPr>
        <w:t xml:space="preserve"> </w:t>
      </w:r>
      <w:r>
        <w:rPr>
          <w:rFonts w:ascii="Book Antiqua" w:eastAsia="Calibri" w:hAnsi="Book Antiqua"/>
          <w:sz w:val="24"/>
          <w:szCs w:val="24"/>
        </w:rPr>
        <w:t>que</w:t>
      </w:r>
      <w:r w:rsidR="00C87520">
        <w:rPr>
          <w:rFonts w:ascii="Book Antiqua" w:eastAsia="Calibri" w:hAnsi="Book Antiqua"/>
          <w:sz w:val="24"/>
          <w:szCs w:val="24"/>
        </w:rPr>
        <w:t xml:space="preserve"> </w:t>
      </w:r>
      <w:r w:rsidRPr="00A402AD">
        <w:rPr>
          <w:rFonts w:ascii="Book Antiqua" w:eastAsia="Calibri" w:hAnsi="Book Antiqua"/>
          <w:sz w:val="24"/>
          <w:szCs w:val="24"/>
        </w:rPr>
        <w:t>76,1% sont</w:t>
      </w:r>
      <w:r>
        <w:rPr>
          <w:rFonts w:ascii="Book Antiqua" w:eastAsia="Calibri" w:hAnsi="Book Antiqua"/>
          <w:sz w:val="24"/>
          <w:szCs w:val="24"/>
        </w:rPr>
        <w:t xml:space="preserve"> en de</w:t>
      </w:r>
      <w:r w:rsidRPr="00A402AD">
        <w:rPr>
          <w:rFonts w:ascii="Book Antiqua" w:eastAsia="Calibri" w:hAnsi="Book Antiqua"/>
          <w:sz w:val="24"/>
          <w:szCs w:val="24"/>
        </w:rPr>
        <w:t xml:space="preserve">hors </w:t>
      </w:r>
      <w:r>
        <w:rPr>
          <w:rFonts w:ascii="Book Antiqua" w:eastAsia="Calibri" w:hAnsi="Book Antiqua"/>
          <w:sz w:val="24"/>
          <w:szCs w:val="24"/>
        </w:rPr>
        <w:t xml:space="preserve">du </w:t>
      </w:r>
      <w:r w:rsidRPr="00A402AD">
        <w:rPr>
          <w:rFonts w:ascii="Book Antiqua" w:eastAsia="Calibri" w:hAnsi="Book Antiqua"/>
          <w:sz w:val="24"/>
          <w:szCs w:val="24"/>
        </w:rPr>
        <w:t>marché du travail (4.478.000</w:t>
      </w:r>
      <w:r>
        <w:rPr>
          <w:rFonts w:ascii="Book Antiqua" w:eastAsia="Calibri" w:hAnsi="Book Antiqua"/>
          <w:sz w:val="24"/>
          <w:szCs w:val="24"/>
        </w:rPr>
        <w:t xml:space="preserve">). Les </w:t>
      </w:r>
      <w:r w:rsidRPr="00A402AD">
        <w:rPr>
          <w:rFonts w:ascii="Book Antiqua" w:eastAsia="Calibri" w:hAnsi="Book Antiqua"/>
          <w:sz w:val="24"/>
          <w:szCs w:val="24"/>
        </w:rPr>
        <w:t xml:space="preserve">trois quarts </w:t>
      </w:r>
      <w:r>
        <w:rPr>
          <w:rFonts w:ascii="Book Antiqua" w:eastAsia="Calibri" w:hAnsi="Book Antiqua"/>
          <w:sz w:val="24"/>
          <w:szCs w:val="24"/>
        </w:rPr>
        <w:t>des jeunes en dehors du marché du travail (</w:t>
      </w:r>
      <w:r w:rsidRPr="00A402AD">
        <w:rPr>
          <w:rFonts w:ascii="Book Antiqua" w:eastAsia="Calibri" w:hAnsi="Book Antiqua"/>
          <w:sz w:val="24"/>
          <w:szCs w:val="24"/>
        </w:rPr>
        <w:t>75,5%</w:t>
      </w:r>
      <w:r>
        <w:rPr>
          <w:rFonts w:ascii="Book Antiqua" w:eastAsia="Calibri" w:hAnsi="Book Antiqua"/>
          <w:sz w:val="24"/>
          <w:szCs w:val="24"/>
        </w:rPr>
        <w:t>)</w:t>
      </w:r>
      <w:r w:rsidRPr="00A402AD">
        <w:rPr>
          <w:rFonts w:ascii="Book Antiqua" w:eastAsia="Calibri" w:hAnsi="Book Antiqua"/>
          <w:sz w:val="24"/>
          <w:szCs w:val="24"/>
        </w:rPr>
        <w:t xml:space="preserve"> sont des </w:t>
      </w:r>
      <w:r>
        <w:rPr>
          <w:rFonts w:ascii="Book Antiqua" w:eastAsia="Calibri" w:hAnsi="Book Antiqua"/>
          <w:sz w:val="24"/>
          <w:szCs w:val="24"/>
        </w:rPr>
        <w:t xml:space="preserve">élèves ou </w:t>
      </w:r>
      <w:r w:rsidRPr="00A402AD">
        <w:rPr>
          <w:rFonts w:ascii="Book Antiqua" w:eastAsia="Calibri" w:hAnsi="Book Antiqua"/>
          <w:sz w:val="24"/>
          <w:szCs w:val="24"/>
        </w:rPr>
        <w:t>étudiants et 21,1% sont des femmes aux foyers.</w:t>
      </w:r>
    </w:p>
    <w:p w:rsidR="001C44EF" w:rsidRDefault="001C44EF" w:rsidP="00B475FD">
      <w:pPr>
        <w:spacing w:before="240"/>
        <w:jc w:val="both"/>
        <w:rPr>
          <w:rFonts w:ascii="Book Antiqua" w:eastAsia="Calibri" w:hAnsi="Book Antiqua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Les jeunes se caractérisent par une faible participation à la vie active avec un </w:t>
      </w:r>
      <w:r w:rsidRPr="00A402AD">
        <w:rPr>
          <w:rFonts w:ascii="Book Antiqua" w:hAnsi="Book Antiqua" w:cs="Times New Roman"/>
          <w:sz w:val="24"/>
          <w:szCs w:val="24"/>
        </w:rPr>
        <w:t xml:space="preserve">taux d’activité </w:t>
      </w:r>
      <w:r>
        <w:rPr>
          <w:rFonts w:ascii="Book Antiqua" w:hAnsi="Book Antiqua" w:cs="Times New Roman"/>
          <w:sz w:val="24"/>
          <w:szCs w:val="24"/>
        </w:rPr>
        <w:t xml:space="preserve">de </w:t>
      </w:r>
      <w:r w:rsidRPr="00A402AD">
        <w:rPr>
          <w:rFonts w:ascii="Book Antiqua" w:eastAsia="Calibri" w:hAnsi="Book Antiqua"/>
          <w:sz w:val="24"/>
          <w:szCs w:val="24"/>
        </w:rPr>
        <w:t xml:space="preserve">23,9% </w:t>
      </w:r>
      <w:r>
        <w:rPr>
          <w:rFonts w:ascii="Book Antiqua" w:eastAsia="Calibri" w:hAnsi="Book Antiqua"/>
          <w:sz w:val="24"/>
          <w:szCs w:val="24"/>
        </w:rPr>
        <w:t xml:space="preserve">en comparaison avec </w:t>
      </w:r>
      <w:r w:rsidRPr="00A402AD">
        <w:rPr>
          <w:rFonts w:ascii="Book Antiqua" w:eastAsia="Calibri" w:hAnsi="Book Antiqua"/>
          <w:sz w:val="24"/>
          <w:szCs w:val="24"/>
        </w:rPr>
        <w:t xml:space="preserve">l’ensemble de </w:t>
      </w:r>
      <w:r>
        <w:rPr>
          <w:rFonts w:ascii="Book Antiqua" w:eastAsia="Calibri" w:hAnsi="Book Antiqua"/>
          <w:sz w:val="24"/>
          <w:szCs w:val="24"/>
        </w:rPr>
        <w:t xml:space="preserve">la </w:t>
      </w:r>
      <w:r w:rsidRPr="00A402AD">
        <w:rPr>
          <w:rFonts w:ascii="Book Antiqua" w:eastAsia="Calibri" w:hAnsi="Book Antiqua"/>
          <w:sz w:val="24"/>
          <w:szCs w:val="24"/>
        </w:rPr>
        <w:t>population</w:t>
      </w:r>
      <w:r>
        <w:rPr>
          <w:rFonts w:ascii="Book Antiqua" w:eastAsia="Calibri" w:hAnsi="Book Antiqua"/>
          <w:sz w:val="24"/>
          <w:szCs w:val="24"/>
        </w:rPr>
        <w:t xml:space="preserve"> où ce taux atteint 45,3%</w:t>
      </w:r>
      <w:r w:rsidRPr="00A402AD">
        <w:rPr>
          <w:rFonts w:ascii="Book Antiqua" w:hAnsi="Book Antiqua" w:cs="Times New Roman"/>
          <w:sz w:val="24"/>
          <w:szCs w:val="24"/>
        </w:rPr>
        <w:t>.</w:t>
      </w:r>
      <w:r w:rsidR="00B475FD">
        <w:rPr>
          <w:rFonts w:ascii="Book Antiqua" w:hAnsi="Book Antiqua" w:cs="Times New Roman"/>
          <w:sz w:val="24"/>
          <w:szCs w:val="24"/>
        </w:rPr>
        <w:t xml:space="preserve"> </w:t>
      </w:r>
      <w:r>
        <w:rPr>
          <w:rFonts w:ascii="Book Antiqua" w:eastAsia="Calibri" w:hAnsi="Book Antiqua"/>
          <w:sz w:val="24"/>
          <w:szCs w:val="24"/>
        </w:rPr>
        <w:t>Ce taux</w:t>
      </w:r>
      <w:r w:rsidRPr="00A402AD">
        <w:rPr>
          <w:rFonts w:ascii="Book Antiqua" w:eastAsia="Calibri" w:hAnsi="Book Antiqua"/>
          <w:sz w:val="24"/>
          <w:szCs w:val="24"/>
        </w:rPr>
        <w:t xml:space="preserve"> </w:t>
      </w:r>
      <w:r>
        <w:rPr>
          <w:rFonts w:ascii="Book Antiqua" w:eastAsia="Calibri" w:hAnsi="Book Antiqua"/>
          <w:sz w:val="24"/>
          <w:szCs w:val="24"/>
        </w:rPr>
        <w:t xml:space="preserve">d’activité des jeunes </w:t>
      </w:r>
      <w:r w:rsidRPr="00A402AD">
        <w:rPr>
          <w:rFonts w:ascii="Book Antiqua" w:eastAsia="Calibri" w:hAnsi="Book Antiqua"/>
          <w:sz w:val="24"/>
          <w:szCs w:val="24"/>
        </w:rPr>
        <w:t xml:space="preserve">s’établit à 28,9% </w:t>
      </w:r>
      <w:r>
        <w:rPr>
          <w:rFonts w:ascii="Book Antiqua" w:eastAsia="Calibri" w:hAnsi="Book Antiqua"/>
          <w:sz w:val="24"/>
          <w:szCs w:val="24"/>
        </w:rPr>
        <w:t>à</w:t>
      </w:r>
      <w:r w:rsidRPr="00A402AD">
        <w:rPr>
          <w:rFonts w:ascii="Book Antiqua" w:eastAsia="Calibri" w:hAnsi="Book Antiqua"/>
          <w:sz w:val="24"/>
          <w:szCs w:val="24"/>
        </w:rPr>
        <w:t xml:space="preserve"> la campagne contre 20,6% dans les villes. Il est trois fois plus élevé parmi les jeunes hommes (35,4%) que parmi les jeunes femmes (12,1%).  </w:t>
      </w:r>
    </w:p>
    <w:p w:rsidR="001C44EF" w:rsidRDefault="001C44EF" w:rsidP="00CB60DA">
      <w:pPr>
        <w:spacing w:before="240"/>
        <w:jc w:val="both"/>
        <w:rPr>
          <w:rFonts w:ascii="Book Antiqua" w:eastAsia="Calibri" w:hAnsi="Book Antiqua"/>
          <w:sz w:val="24"/>
          <w:szCs w:val="24"/>
        </w:rPr>
      </w:pPr>
      <w:r>
        <w:rPr>
          <w:rFonts w:ascii="Book Antiqua" w:eastAsia="Calibri" w:hAnsi="Book Antiqua"/>
          <w:sz w:val="24"/>
          <w:szCs w:val="24"/>
        </w:rPr>
        <w:t xml:space="preserve">Au cours des </w:t>
      </w:r>
      <w:r w:rsidR="00CB60DA">
        <w:rPr>
          <w:rFonts w:ascii="Book Antiqua" w:eastAsia="Calibri" w:hAnsi="Book Antiqua"/>
          <w:sz w:val="24"/>
          <w:szCs w:val="24"/>
          <w:lang w:bidi="tzm-Arab-MA"/>
        </w:rPr>
        <w:t>cinq</w:t>
      </w:r>
      <w:r>
        <w:rPr>
          <w:rFonts w:ascii="Book Antiqua" w:eastAsia="Calibri" w:hAnsi="Book Antiqua"/>
          <w:sz w:val="24"/>
          <w:szCs w:val="24"/>
        </w:rPr>
        <w:t xml:space="preserve"> dernières années, la baisse du taux d’activité est plus accentuée parmi les jeunes. Leur taux a baissé de 4,3 points, contre 1,4 point pour l’ensemble de la population en âge d’activité (15 ans et plus).</w:t>
      </w:r>
    </w:p>
    <w:p w:rsidR="00CB60DA" w:rsidRDefault="00CB60DA" w:rsidP="00190F08">
      <w:pPr>
        <w:spacing w:before="240"/>
        <w:jc w:val="center"/>
        <w:rPr>
          <w:rFonts w:ascii="Book Antiqua" w:eastAsia="Calibri" w:hAnsi="Book Antiqua"/>
          <w:b/>
          <w:bCs/>
          <w:sz w:val="24"/>
          <w:szCs w:val="24"/>
        </w:rPr>
      </w:pPr>
    </w:p>
    <w:p w:rsidR="00B72FCE" w:rsidRDefault="00B72FCE" w:rsidP="00190F08">
      <w:pPr>
        <w:spacing w:before="240"/>
        <w:jc w:val="center"/>
        <w:rPr>
          <w:rFonts w:ascii="Book Antiqua" w:eastAsia="Calibri" w:hAnsi="Book Antiqua"/>
          <w:b/>
          <w:bCs/>
          <w:sz w:val="24"/>
          <w:szCs w:val="24"/>
        </w:rPr>
      </w:pPr>
    </w:p>
    <w:p w:rsidR="00B72FCE" w:rsidRDefault="00B72FCE" w:rsidP="00190F08">
      <w:pPr>
        <w:spacing w:before="240"/>
        <w:jc w:val="center"/>
        <w:rPr>
          <w:rFonts w:ascii="Book Antiqua" w:eastAsia="Calibri" w:hAnsi="Book Antiqua"/>
          <w:b/>
          <w:bCs/>
          <w:sz w:val="24"/>
          <w:szCs w:val="24"/>
        </w:rPr>
      </w:pPr>
    </w:p>
    <w:p w:rsidR="001C44EF" w:rsidRPr="00701115" w:rsidRDefault="001C44EF" w:rsidP="00B35591">
      <w:pPr>
        <w:spacing w:before="240"/>
        <w:jc w:val="center"/>
        <w:rPr>
          <w:rFonts w:ascii="Book Antiqua" w:eastAsia="Calibri" w:hAnsi="Book Antiqua"/>
          <w:b/>
          <w:bCs/>
          <w:sz w:val="24"/>
          <w:szCs w:val="24"/>
        </w:rPr>
      </w:pPr>
      <w:r w:rsidRPr="00701115">
        <w:rPr>
          <w:rFonts w:ascii="Book Antiqua" w:eastAsia="Calibri" w:hAnsi="Book Antiqua"/>
          <w:b/>
          <w:bCs/>
          <w:sz w:val="24"/>
          <w:szCs w:val="24"/>
        </w:rPr>
        <w:lastRenderedPageBreak/>
        <w:t>Figure 1 : Evolution des taux d’activité entre 2017</w:t>
      </w:r>
      <w:r w:rsidR="00190F08">
        <w:rPr>
          <w:rFonts w:ascii="Book Antiqua" w:eastAsia="Calibri" w:hAnsi="Book Antiqua"/>
          <w:b/>
          <w:bCs/>
          <w:sz w:val="24"/>
          <w:szCs w:val="24"/>
        </w:rPr>
        <w:t xml:space="preserve"> </w:t>
      </w:r>
      <w:r w:rsidRPr="00701115">
        <w:rPr>
          <w:rFonts w:ascii="Book Antiqua" w:eastAsia="Calibri" w:hAnsi="Book Antiqua"/>
          <w:b/>
          <w:bCs/>
          <w:sz w:val="24"/>
          <w:szCs w:val="24"/>
        </w:rPr>
        <w:t>et 2021 (en %)</w:t>
      </w:r>
    </w:p>
    <w:p w:rsidR="00B72FCE" w:rsidRDefault="001C44EF" w:rsidP="00CB60DA">
      <w:pPr>
        <w:spacing w:before="240"/>
        <w:jc w:val="both"/>
        <w:rPr>
          <w:rFonts w:ascii="Book Antiqua" w:eastAsia="Calibri" w:hAnsi="Book Antiqua"/>
          <w:sz w:val="24"/>
          <w:szCs w:val="24"/>
        </w:rPr>
      </w:pPr>
      <w:r w:rsidRPr="00E41C95">
        <w:rPr>
          <w:rFonts w:ascii="Book Antiqua" w:eastAsia="Calibri" w:hAnsi="Book Antiqua"/>
          <w:noProof/>
          <w:sz w:val="24"/>
          <w:szCs w:val="24"/>
        </w:rPr>
        <w:drawing>
          <wp:inline distT="0" distB="0" distL="0" distR="0">
            <wp:extent cx="5759450" cy="2285097"/>
            <wp:effectExtent l="0" t="0" r="0" b="0"/>
            <wp:docPr id="3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C44EF" w:rsidRDefault="00CB60DA" w:rsidP="00CB60DA">
      <w:pPr>
        <w:spacing w:before="240"/>
        <w:jc w:val="both"/>
        <w:rPr>
          <w:rFonts w:ascii="Book Antiqua" w:eastAsia="Calibri" w:hAnsi="Book Antiqua"/>
          <w:sz w:val="24"/>
          <w:szCs w:val="24"/>
        </w:rPr>
      </w:pPr>
      <w:r>
        <w:rPr>
          <w:rFonts w:ascii="Book Antiqua" w:eastAsia="Calibri" w:hAnsi="Book Antiqua"/>
          <w:sz w:val="24"/>
          <w:szCs w:val="24"/>
        </w:rPr>
        <w:t>L</w:t>
      </w:r>
      <w:r w:rsidR="001C44EF" w:rsidRPr="00A402AD">
        <w:rPr>
          <w:rFonts w:ascii="Book Antiqua" w:eastAsia="Calibri" w:hAnsi="Book Antiqua"/>
          <w:sz w:val="24"/>
          <w:szCs w:val="24"/>
        </w:rPr>
        <w:t xml:space="preserve">es jeunes actifs occupés restent plus présents dans "l'agriculture, forêt et pêche" avec une part de 43,6%, </w:t>
      </w:r>
      <w:r w:rsidR="001C44EF">
        <w:rPr>
          <w:rFonts w:ascii="Book Antiqua" w:eastAsia="Calibri" w:hAnsi="Book Antiqua"/>
          <w:sz w:val="24"/>
          <w:szCs w:val="24"/>
        </w:rPr>
        <w:t>l</w:t>
      </w:r>
      <w:r w:rsidR="001C44EF" w:rsidRPr="00A402AD">
        <w:rPr>
          <w:rFonts w:ascii="Book Antiqua" w:eastAsia="Calibri" w:hAnsi="Book Antiqua"/>
          <w:sz w:val="24"/>
          <w:szCs w:val="24"/>
        </w:rPr>
        <w:t xml:space="preserve">es "services" </w:t>
      </w:r>
      <w:r w:rsidR="001C44EF">
        <w:rPr>
          <w:rFonts w:ascii="Book Antiqua" w:eastAsia="Calibri" w:hAnsi="Book Antiqua"/>
          <w:sz w:val="24"/>
          <w:szCs w:val="24"/>
        </w:rPr>
        <w:t>(32,8%) et "l'industrie</w:t>
      </w:r>
      <w:r w:rsidR="001C44EF" w:rsidRPr="00A402AD">
        <w:rPr>
          <w:rFonts w:ascii="Book Antiqua" w:eastAsia="Calibri" w:hAnsi="Book Antiqua"/>
          <w:sz w:val="24"/>
          <w:szCs w:val="24"/>
        </w:rPr>
        <w:t>"</w:t>
      </w:r>
      <w:r w:rsidR="001C44EF">
        <w:rPr>
          <w:rFonts w:ascii="Book Antiqua" w:eastAsia="Calibri" w:hAnsi="Book Antiqua"/>
          <w:sz w:val="24"/>
          <w:szCs w:val="24"/>
        </w:rPr>
        <w:t xml:space="preserve"> (</w:t>
      </w:r>
      <w:r w:rsidR="001C44EF" w:rsidRPr="00A402AD">
        <w:rPr>
          <w:rFonts w:ascii="Book Antiqua" w:eastAsia="Calibri" w:hAnsi="Book Antiqua"/>
          <w:sz w:val="24"/>
          <w:szCs w:val="24"/>
        </w:rPr>
        <w:t>12,9%</w:t>
      </w:r>
      <w:r w:rsidR="001C44EF">
        <w:rPr>
          <w:rFonts w:ascii="Book Antiqua" w:eastAsia="Calibri" w:hAnsi="Book Antiqua"/>
          <w:sz w:val="24"/>
          <w:szCs w:val="24"/>
        </w:rPr>
        <w:t>)</w:t>
      </w:r>
      <w:r w:rsidR="001C44EF" w:rsidRPr="00A402AD">
        <w:rPr>
          <w:rFonts w:ascii="Book Antiqua" w:eastAsia="Calibri" w:hAnsi="Book Antiqua"/>
          <w:sz w:val="24"/>
          <w:szCs w:val="24"/>
        </w:rPr>
        <w:t xml:space="preserve">. </w:t>
      </w:r>
    </w:p>
    <w:p w:rsidR="001C44EF" w:rsidRDefault="001C44EF" w:rsidP="001C44EF">
      <w:pPr>
        <w:jc w:val="both"/>
        <w:rPr>
          <w:rFonts w:ascii="Book Antiqua" w:eastAsia="Calibri" w:hAnsi="Book Antiqua"/>
          <w:sz w:val="24"/>
          <w:szCs w:val="24"/>
        </w:rPr>
      </w:pPr>
      <w:r>
        <w:rPr>
          <w:rFonts w:ascii="Book Antiqua" w:eastAsia="Calibri" w:hAnsi="Book Antiqua"/>
          <w:sz w:val="24"/>
          <w:szCs w:val="24"/>
        </w:rPr>
        <w:t>Le salariat est le statut le plus dominant parmi les</w:t>
      </w:r>
      <w:r w:rsidRPr="00A402AD">
        <w:rPr>
          <w:rFonts w:ascii="Book Antiqua" w:eastAsia="Calibri" w:hAnsi="Book Antiqua"/>
          <w:sz w:val="24"/>
          <w:szCs w:val="24"/>
        </w:rPr>
        <w:t xml:space="preserve"> jeunes actifs occupés </w:t>
      </w:r>
      <w:r>
        <w:rPr>
          <w:rFonts w:ascii="Book Antiqua" w:eastAsia="Calibri" w:hAnsi="Book Antiqua"/>
          <w:sz w:val="24"/>
          <w:szCs w:val="24"/>
        </w:rPr>
        <w:t xml:space="preserve">avec une part de </w:t>
      </w:r>
      <w:r w:rsidRPr="00A402AD">
        <w:rPr>
          <w:rFonts w:ascii="Book Antiqua" w:eastAsia="Calibri" w:hAnsi="Book Antiqua"/>
          <w:sz w:val="24"/>
          <w:szCs w:val="24"/>
        </w:rPr>
        <w:t xml:space="preserve">48,6%. </w:t>
      </w:r>
      <w:r>
        <w:rPr>
          <w:rFonts w:ascii="Book Antiqua" w:eastAsia="Calibri" w:hAnsi="Book Antiqua"/>
          <w:sz w:val="24"/>
          <w:szCs w:val="24"/>
        </w:rPr>
        <w:t>Ce statut</w:t>
      </w:r>
      <w:r w:rsidRPr="00A402AD">
        <w:rPr>
          <w:rFonts w:ascii="Book Antiqua" w:eastAsia="Calibri" w:hAnsi="Book Antiqua"/>
          <w:sz w:val="24"/>
          <w:szCs w:val="24"/>
        </w:rPr>
        <w:t xml:space="preserve"> reste plus fréquent parmi les </w:t>
      </w:r>
      <w:r>
        <w:rPr>
          <w:rFonts w:ascii="Book Antiqua" w:eastAsia="Calibri" w:hAnsi="Book Antiqua"/>
          <w:sz w:val="24"/>
          <w:szCs w:val="24"/>
        </w:rPr>
        <w:t xml:space="preserve">jeunes </w:t>
      </w:r>
      <w:r w:rsidRPr="00A402AD">
        <w:rPr>
          <w:rFonts w:ascii="Book Antiqua" w:eastAsia="Calibri" w:hAnsi="Book Antiqua"/>
          <w:sz w:val="24"/>
          <w:szCs w:val="24"/>
        </w:rPr>
        <w:t>femmes citadines actives occupées</w:t>
      </w:r>
      <w:r>
        <w:rPr>
          <w:rFonts w:ascii="Book Antiqua" w:eastAsia="Calibri" w:hAnsi="Book Antiqua"/>
          <w:sz w:val="24"/>
          <w:szCs w:val="24"/>
        </w:rPr>
        <w:t>,</w:t>
      </w:r>
      <w:r w:rsidRPr="00A402AD">
        <w:rPr>
          <w:rFonts w:ascii="Book Antiqua" w:eastAsia="Calibri" w:hAnsi="Book Antiqua"/>
          <w:sz w:val="24"/>
          <w:szCs w:val="24"/>
        </w:rPr>
        <w:t xml:space="preserve"> avec </w:t>
      </w:r>
      <w:r>
        <w:rPr>
          <w:rFonts w:ascii="Book Antiqua" w:eastAsia="Calibri" w:hAnsi="Book Antiqua"/>
          <w:sz w:val="24"/>
          <w:szCs w:val="24"/>
        </w:rPr>
        <w:t xml:space="preserve">une part de </w:t>
      </w:r>
      <w:r w:rsidRPr="00A402AD">
        <w:rPr>
          <w:rFonts w:ascii="Book Antiqua" w:eastAsia="Calibri" w:hAnsi="Book Antiqua"/>
          <w:sz w:val="24"/>
          <w:szCs w:val="24"/>
        </w:rPr>
        <w:t>86% contre 65,2% parmi leurs homologues hommes. Les auto-employés, quant à eux, représentent 9,6% des jeunes actifs occupés, 11% parmi les hommes et 4,1% parmi les femmes. Les aides familiales représentent 37,3%</w:t>
      </w:r>
      <w:r>
        <w:rPr>
          <w:rFonts w:ascii="Book Antiqua" w:eastAsia="Calibri" w:hAnsi="Book Antiqua"/>
          <w:sz w:val="24"/>
          <w:szCs w:val="24"/>
        </w:rPr>
        <w:t xml:space="preserve"> de l’emploi des jeunes</w:t>
      </w:r>
      <w:r w:rsidRPr="00A402AD">
        <w:rPr>
          <w:rFonts w:ascii="Book Antiqua" w:eastAsia="Calibri" w:hAnsi="Book Antiqua"/>
          <w:sz w:val="24"/>
          <w:szCs w:val="24"/>
        </w:rPr>
        <w:t>, avec un pic de 82,6% parmi les jeunes femmes rurales.</w:t>
      </w:r>
      <w:bookmarkStart w:id="0" w:name="_GoBack"/>
      <w:bookmarkEnd w:id="0"/>
    </w:p>
    <w:p w:rsidR="001C44EF" w:rsidRDefault="001C44EF" w:rsidP="001C44EF">
      <w:pPr>
        <w:bidi/>
        <w:jc w:val="right"/>
        <w:rPr>
          <w:rFonts w:ascii="Book Antiqua" w:hAnsi="Book Antiqua"/>
          <w:b/>
          <w:bCs/>
          <w:i/>
          <w:iCs/>
          <w:color w:val="0070C0"/>
          <w:spacing w:val="-10"/>
          <w:kern w:val="28"/>
          <w:sz w:val="28"/>
          <w:szCs w:val="28"/>
        </w:rPr>
      </w:pPr>
      <w:r w:rsidRPr="002A7FAF">
        <w:rPr>
          <w:rFonts w:ascii="Book Antiqua" w:hAnsi="Book Antiqua"/>
          <w:b/>
          <w:bCs/>
          <w:i/>
          <w:iCs/>
          <w:color w:val="0070C0"/>
          <w:spacing w:val="-10"/>
          <w:kern w:val="28"/>
          <w:sz w:val="28"/>
          <w:szCs w:val="28"/>
        </w:rPr>
        <w:t xml:space="preserve">Qualité de l’emploi des jeunes </w:t>
      </w:r>
    </w:p>
    <w:p w:rsidR="001C44EF" w:rsidRPr="00A402AD" w:rsidRDefault="001C44EF" w:rsidP="001C44EF">
      <w:pPr>
        <w:spacing w:before="240"/>
        <w:jc w:val="both"/>
        <w:rPr>
          <w:rFonts w:ascii="Book Antiqua" w:eastAsia="Calibri" w:hAnsi="Book Antiqua"/>
          <w:sz w:val="24"/>
          <w:szCs w:val="24"/>
        </w:rPr>
      </w:pPr>
      <w:r w:rsidRPr="00A402AD">
        <w:rPr>
          <w:rFonts w:ascii="Book Antiqua" w:eastAsia="Calibri" w:hAnsi="Book Antiqua"/>
          <w:sz w:val="24"/>
          <w:szCs w:val="24"/>
        </w:rPr>
        <w:t xml:space="preserve">Plus de 4 jeunes actifs occupés sur 10 (41,9%) exercent un emploi non rémunéré, les ruraux </w:t>
      </w:r>
      <w:r>
        <w:rPr>
          <w:rFonts w:ascii="Book Antiqua" w:eastAsia="Calibri" w:hAnsi="Book Antiqua"/>
          <w:sz w:val="24"/>
          <w:szCs w:val="24"/>
        </w:rPr>
        <w:t xml:space="preserve">avec </w:t>
      </w:r>
      <w:r w:rsidRPr="00A402AD">
        <w:rPr>
          <w:rFonts w:ascii="Book Antiqua" w:eastAsia="Calibri" w:hAnsi="Book Antiqua"/>
          <w:sz w:val="24"/>
          <w:szCs w:val="24"/>
        </w:rPr>
        <w:t xml:space="preserve">58,8% plus que les citadins (16,9%) et les femmes </w:t>
      </w:r>
      <w:r>
        <w:rPr>
          <w:rFonts w:ascii="Book Antiqua" w:eastAsia="Calibri" w:hAnsi="Book Antiqua"/>
          <w:sz w:val="24"/>
          <w:szCs w:val="24"/>
        </w:rPr>
        <w:t xml:space="preserve">avec </w:t>
      </w:r>
      <w:r w:rsidRPr="00A402AD">
        <w:rPr>
          <w:rFonts w:ascii="Book Antiqua" w:eastAsia="Calibri" w:hAnsi="Book Antiqua"/>
          <w:sz w:val="24"/>
          <w:szCs w:val="24"/>
        </w:rPr>
        <w:t>49,9% plus que les hommes (39,7%).</w:t>
      </w:r>
    </w:p>
    <w:p w:rsidR="001C44EF" w:rsidRPr="00A402AD" w:rsidRDefault="001C44EF" w:rsidP="001C44EF">
      <w:pPr>
        <w:spacing w:before="240"/>
        <w:jc w:val="both"/>
        <w:rPr>
          <w:rFonts w:ascii="Book Antiqua" w:eastAsia="Calibri" w:hAnsi="Book Antiqua"/>
          <w:sz w:val="24"/>
          <w:szCs w:val="24"/>
        </w:rPr>
      </w:pPr>
      <w:r>
        <w:rPr>
          <w:rFonts w:ascii="Book Antiqua" w:eastAsia="Calibri" w:hAnsi="Book Antiqua"/>
          <w:sz w:val="24"/>
          <w:szCs w:val="24"/>
        </w:rPr>
        <w:t xml:space="preserve">En outre, 14% des </w:t>
      </w:r>
      <w:r w:rsidRPr="00A402AD">
        <w:rPr>
          <w:rFonts w:ascii="Book Antiqua" w:eastAsia="Calibri" w:hAnsi="Book Antiqua"/>
          <w:sz w:val="24"/>
          <w:szCs w:val="24"/>
        </w:rPr>
        <w:t xml:space="preserve">jeunes actifs occupés exercent un emploi de type occasionnel ou saisonnier, 16,7% </w:t>
      </w:r>
      <w:r>
        <w:rPr>
          <w:rFonts w:ascii="Book Antiqua" w:eastAsia="Calibri" w:hAnsi="Book Antiqua"/>
          <w:sz w:val="24"/>
          <w:szCs w:val="24"/>
        </w:rPr>
        <w:t>parmi</w:t>
      </w:r>
      <w:r w:rsidRPr="00A402AD">
        <w:rPr>
          <w:rFonts w:ascii="Book Antiqua" w:eastAsia="Calibri" w:hAnsi="Book Antiqua"/>
          <w:sz w:val="24"/>
          <w:szCs w:val="24"/>
        </w:rPr>
        <w:t xml:space="preserve"> les hommes et 5% </w:t>
      </w:r>
      <w:r>
        <w:rPr>
          <w:rFonts w:ascii="Book Antiqua" w:eastAsia="Calibri" w:hAnsi="Book Antiqua"/>
          <w:sz w:val="24"/>
          <w:szCs w:val="24"/>
        </w:rPr>
        <w:t>parmi</w:t>
      </w:r>
      <w:r w:rsidRPr="00A402AD">
        <w:rPr>
          <w:rFonts w:ascii="Book Antiqua" w:eastAsia="Calibri" w:hAnsi="Book Antiqua"/>
          <w:sz w:val="24"/>
          <w:szCs w:val="24"/>
        </w:rPr>
        <w:t xml:space="preserve"> les femmes.</w:t>
      </w:r>
    </w:p>
    <w:p w:rsidR="001C44EF" w:rsidRPr="00A402AD" w:rsidRDefault="001C44EF" w:rsidP="001C44EF">
      <w:pPr>
        <w:spacing w:before="240"/>
        <w:jc w:val="both"/>
        <w:rPr>
          <w:rFonts w:ascii="Book Antiqua" w:eastAsia="Calibri" w:hAnsi="Book Antiqua"/>
          <w:sz w:val="24"/>
          <w:szCs w:val="24"/>
        </w:rPr>
      </w:pPr>
      <w:r w:rsidRPr="00A402AD">
        <w:rPr>
          <w:rFonts w:ascii="Book Antiqua" w:eastAsia="Calibri" w:hAnsi="Book Antiqua"/>
          <w:sz w:val="24"/>
          <w:szCs w:val="24"/>
        </w:rPr>
        <w:t>Un peu plus de 7 jeunes salariés sur 10 (73,2%) ne disposent d'aucun contrat formalisant leur relation avec l'employeur</w:t>
      </w:r>
      <w:r>
        <w:rPr>
          <w:rFonts w:ascii="Book Antiqua" w:eastAsia="Calibri" w:hAnsi="Book Antiqua"/>
          <w:sz w:val="24"/>
          <w:szCs w:val="24"/>
        </w:rPr>
        <w:t xml:space="preserve">, </w:t>
      </w:r>
      <w:r w:rsidRPr="00A402AD">
        <w:rPr>
          <w:rFonts w:ascii="Book Antiqua" w:eastAsia="Calibri" w:hAnsi="Book Antiqua"/>
          <w:sz w:val="24"/>
          <w:szCs w:val="24"/>
        </w:rPr>
        <w:t>13,2% disposent d'un contrat à durée déterminée, 6,5% d'un contrat à durée indéterminée et 7,1% d’un</w:t>
      </w:r>
      <w:r>
        <w:rPr>
          <w:rFonts w:ascii="Book Antiqua" w:eastAsia="Calibri" w:hAnsi="Book Antiqua"/>
          <w:sz w:val="24"/>
          <w:szCs w:val="24"/>
        </w:rPr>
        <w:t>e entente</w:t>
      </w:r>
      <w:r w:rsidRPr="00A402AD">
        <w:rPr>
          <w:rFonts w:ascii="Book Antiqua" w:eastAsia="Calibri" w:hAnsi="Book Antiqua"/>
          <w:sz w:val="24"/>
          <w:szCs w:val="24"/>
        </w:rPr>
        <w:t xml:space="preserve"> verbal</w:t>
      </w:r>
      <w:r>
        <w:rPr>
          <w:rFonts w:ascii="Book Antiqua" w:eastAsia="Calibri" w:hAnsi="Book Antiqua"/>
          <w:sz w:val="24"/>
          <w:szCs w:val="24"/>
        </w:rPr>
        <w:t>e</w:t>
      </w:r>
      <w:r w:rsidRPr="00A402AD">
        <w:rPr>
          <w:rFonts w:ascii="Book Antiqua" w:eastAsia="Calibri" w:hAnsi="Book Antiqua"/>
          <w:sz w:val="24"/>
          <w:szCs w:val="24"/>
        </w:rPr>
        <w:t>.</w:t>
      </w:r>
      <w:r>
        <w:rPr>
          <w:rFonts w:ascii="Book Antiqua" w:eastAsia="Calibri" w:hAnsi="Book Antiqua"/>
          <w:sz w:val="24"/>
          <w:szCs w:val="24"/>
        </w:rPr>
        <w:t xml:space="preserve"> </w:t>
      </w:r>
      <w:r w:rsidRPr="00A402AD">
        <w:rPr>
          <w:rFonts w:ascii="Book Antiqua" w:eastAsia="Calibri" w:hAnsi="Book Antiqua"/>
          <w:sz w:val="24"/>
          <w:szCs w:val="24"/>
        </w:rPr>
        <w:t>La part des jeunes salariés ne disposant d'aucun contrat s’élève à 79,3% parmi les hommes contre 48,3% parmi les femmes.</w:t>
      </w:r>
    </w:p>
    <w:p w:rsidR="001C44EF" w:rsidRDefault="001C44EF" w:rsidP="001C44EF">
      <w:pPr>
        <w:autoSpaceDE w:val="0"/>
        <w:autoSpaceDN w:val="0"/>
        <w:adjustRightInd w:val="0"/>
        <w:spacing w:before="240"/>
        <w:jc w:val="both"/>
        <w:rPr>
          <w:rFonts w:ascii="Book Antiqua" w:hAnsi="Book Antiqua"/>
          <w:b/>
          <w:bCs/>
          <w:i/>
          <w:iCs/>
          <w:color w:val="0070C0"/>
          <w:spacing w:val="-10"/>
          <w:kern w:val="28"/>
          <w:sz w:val="28"/>
          <w:szCs w:val="28"/>
        </w:rPr>
      </w:pPr>
      <w:r w:rsidRPr="002A7FAF">
        <w:rPr>
          <w:rFonts w:ascii="Book Antiqua" w:hAnsi="Book Antiqua"/>
          <w:b/>
          <w:bCs/>
          <w:i/>
          <w:iCs/>
          <w:color w:val="0070C0"/>
          <w:spacing w:val="-10"/>
          <w:kern w:val="28"/>
          <w:sz w:val="28"/>
          <w:szCs w:val="28"/>
        </w:rPr>
        <w:t>Chômage</w:t>
      </w:r>
      <w:r>
        <w:rPr>
          <w:rFonts w:ascii="Book Antiqua" w:hAnsi="Book Antiqua"/>
          <w:b/>
          <w:bCs/>
          <w:i/>
          <w:iCs/>
          <w:color w:val="0070C0"/>
          <w:spacing w:val="-10"/>
          <w:kern w:val="28"/>
          <w:sz w:val="28"/>
          <w:szCs w:val="28"/>
        </w:rPr>
        <w:t xml:space="preserve"> des</w:t>
      </w:r>
      <w:r w:rsidRPr="002A7FAF">
        <w:rPr>
          <w:rFonts w:ascii="Book Antiqua" w:hAnsi="Book Antiqua"/>
          <w:b/>
          <w:bCs/>
          <w:i/>
          <w:iCs/>
          <w:color w:val="0070C0"/>
          <w:spacing w:val="-10"/>
          <w:kern w:val="28"/>
          <w:sz w:val="28"/>
          <w:szCs w:val="28"/>
        </w:rPr>
        <w:t xml:space="preserve"> </w:t>
      </w:r>
      <w:r>
        <w:rPr>
          <w:rFonts w:ascii="Book Antiqua" w:hAnsi="Book Antiqua"/>
          <w:b/>
          <w:bCs/>
          <w:i/>
          <w:iCs/>
          <w:color w:val="0070C0"/>
          <w:spacing w:val="-10"/>
          <w:kern w:val="28"/>
          <w:sz w:val="28"/>
          <w:szCs w:val="28"/>
        </w:rPr>
        <w:t>j</w:t>
      </w:r>
      <w:r w:rsidRPr="002A7FAF">
        <w:rPr>
          <w:rFonts w:ascii="Book Antiqua" w:hAnsi="Book Antiqua"/>
          <w:b/>
          <w:bCs/>
          <w:i/>
          <w:iCs/>
          <w:color w:val="0070C0"/>
          <w:spacing w:val="-10"/>
          <w:kern w:val="28"/>
          <w:sz w:val="28"/>
          <w:szCs w:val="28"/>
        </w:rPr>
        <w:t xml:space="preserve">eunes </w:t>
      </w:r>
    </w:p>
    <w:p w:rsidR="001C44EF" w:rsidRPr="00A402AD" w:rsidRDefault="001C44EF" w:rsidP="001C61A8">
      <w:pPr>
        <w:autoSpaceDE w:val="0"/>
        <w:autoSpaceDN w:val="0"/>
        <w:adjustRightInd w:val="0"/>
        <w:spacing w:before="240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Près de</w:t>
      </w:r>
      <w:r w:rsidRPr="00A402AD">
        <w:rPr>
          <w:rFonts w:ascii="Book Antiqua" w:hAnsi="Book Antiqua" w:cs="Times New Roman"/>
          <w:sz w:val="24"/>
          <w:szCs w:val="24"/>
        </w:rPr>
        <w:t xml:space="preserve"> 3 chômeurs sur 10 (29,7%) sont des jeunes</w:t>
      </w:r>
      <w:r>
        <w:rPr>
          <w:rFonts w:ascii="Book Antiqua" w:hAnsi="Book Antiqua" w:cs="Times New Roman"/>
          <w:sz w:val="24"/>
          <w:szCs w:val="24"/>
        </w:rPr>
        <w:t>.</w:t>
      </w:r>
      <w:r w:rsidRPr="00A402AD">
        <w:rPr>
          <w:rFonts w:ascii="Book Antiqua" w:hAnsi="Book Antiqua" w:cs="Times New Roman"/>
          <w:sz w:val="24"/>
          <w:szCs w:val="24"/>
        </w:rPr>
        <w:t xml:space="preserve"> </w:t>
      </w:r>
      <w:r>
        <w:rPr>
          <w:rFonts w:ascii="Book Antiqua" w:hAnsi="Book Antiqua" w:cs="Times New Roman"/>
          <w:sz w:val="24"/>
          <w:szCs w:val="24"/>
          <w:lang w:bidi="tzm-Arab-MA"/>
        </w:rPr>
        <w:t>P</w:t>
      </w:r>
      <w:r w:rsidR="001C61A8">
        <w:rPr>
          <w:rFonts w:ascii="Book Antiqua" w:hAnsi="Book Antiqua" w:cs="Times New Roman"/>
          <w:sz w:val="24"/>
          <w:szCs w:val="24"/>
          <w:lang w:bidi="tzm-Arab-MA"/>
        </w:rPr>
        <w:t>rès</w:t>
      </w:r>
      <w:r>
        <w:rPr>
          <w:rFonts w:ascii="Book Antiqua" w:hAnsi="Book Antiqua" w:cs="Times New Roman"/>
          <w:sz w:val="24"/>
          <w:szCs w:val="24"/>
          <w:lang w:bidi="tzm-Arab-MA"/>
        </w:rPr>
        <w:t xml:space="preserve"> de </w:t>
      </w:r>
      <w:r>
        <w:rPr>
          <w:rFonts w:ascii="Book Antiqua" w:hAnsi="Book Antiqua" w:cs="Times New Roman"/>
          <w:sz w:val="24"/>
          <w:szCs w:val="24"/>
        </w:rPr>
        <w:t>3</w:t>
      </w:r>
      <w:r w:rsidRPr="00A402AD">
        <w:rPr>
          <w:rFonts w:ascii="Book Antiqua" w:hAnsi="Book Antiqua" w:cs="Times New Roman"/>
          <w:sz w:val="24"/>
          <w:szCs w:val="24"/>
        </w:rPr>
        <w:t xml:space="preserve"> </w:t>
      </w:r>
      <w:r>
        <w:rPr>
          <w:rFonts w:ascii="Book Antiqua" w:hAnsi="Book Antiqua" w:cs="Times New Roman"/>
          <w:sz w:val="24"/>
          <w:szCs w:val="24"/>
        </w:rPr>
        <w:t>jeunes chômeurs sur 4</w:t>
      </w:r>
      <w:r w:rsidRPr="00A402AD">
        <w:rPr>
          <w:rFonts w:ascii="Book Antiqua" w:hAnsi="Book Antiqua" w:cs="Times New Roman"/>
          <w:sz w:val="24"/>
          <w:szCs w:val="24"/>
        </w:rPr>
        <w:t xml:space="preserve"> (75,8%)  résident en milieu urbain ; 67,3% sont des hommes et 90,1% sont diplômés.</w:t>
      </w:r>
    </w:p>
    <w:p w:rsidR="001C44EF" w:rsidRPr="00A402AD" w:rsidRDefault="001C44EF" w:rsidP="001C44EF">
      <w:pPr>
        <w:autoSpaceDE w:val="0"/>
        <w:autoSpaceDN w:val="0"/>
        <w:adjustRightInd w:val="0"/>
        <w:spacing w:before="240"/>
        <w:jc w:val="both"/>
        <w:rPr>
          <w:rFonts w:ascii="Book Antiqua" w:hAnsi="Book Antiqua" w:cs="Times New Roman"/>
          <w:sz w:val="24"/>
          <w:szCs w:val="24"/>
        </w:rPr>
      </w:pPr>
      <w:r w:rsidRPr="00A402AD">
        <w:rPr>
          <w:rFonts w:ascii="Book Antiqua" w:hAnsi="Book Antiqua" w:cs="Times New Roman"/>
          <w:sz w:val="24"/>
          <w:szCs w:val="24"/>
        </w:rPr>
        <w:lastRenderedPageBreak/>
        <w:t xml:space="preserve"> Le taux de chômage a atteint, au niveau national, 31,8%</w:t>
      </w:r>
      <w:r>
        <w:rPr>
          <w:rFonts w:ascii="Book Antiqua" w:hAnsi="Book Antiqua" w:cs="Times New Roman"/>
          <w:sz w:val="24"/>
          <w:szCs w:val="24"/>
        </w:rPr>
        <w:t xml:space="preserve"> </w:t>
      </w:r>
      <w:r w:rsidRPr="00A402AD">
        <w:rPr>
          <w:rFonts w:ascii="Book Antiqua" w:hAnsi="Book Antiqua" w:cs="Times New Roman"/>
          <w:sz w:val="24"/>
          <w:szCs w:val="24"/>
        </w:rPr>
        <w:t>pour les jeunes âgés de 15 à 24 ans contre 13,7</w:t>
      </w:r>
      <w:r>
        <w:rPr>
          <w:rFonts w:ascii="Book Antiqua" w:hAnsi="Book Antiqua" w:cs="Times New Roman"/>
          <w:sz w:val="24"/>
          <w:szCs w:val="24"/>
        </w:rPr>
        <w:t xml:space="preserve">% </w:t>
      </w:r>
      <w:r w:rsidRPr="00A402AD">
        <w:rPr>
          <w:rFonts w:ascii="Book Antiqua" w:hAnsi="Book Antiqua" w:cs="Times New Roman"/>
          <w:sz w:val="24"/>
          <w:szCs w:val="24"/>
        </w:rPr>
        <w:t>pour les personnes âgées de 25 à 44 ans et 3,8%</w:t>
      </w:r>
      <w:r>
        <w:rPr>
          <w:rFonts w:ascii="Book Antiqua" w:hAnsi="Book Antiqua" w:cs="Times New Roman"/>
          <w:sz w:val="24"/>
          <w:szCs w:val="24"/>
        </w:rPr>
        <w:t xml:space="preserve"> </w:t>
      </w:r>
      <w:r w:rsidRPr="00A402AD">
        <w:rPr>
          <w:rFonts w:ascii="Book Antiqua" w:hAnsi="Book Antiqua" w:cs="Times New Roman"/>
          <w:sz w:val="24"/>
          <w:szCs w:val="24"/>
        </w:rPr>
        <w:t xml:space="preserve">pour </w:t>
      </w:r>
      <w:r>
        <w:rPr>
          <w:rFonts w:ascii="Book Antiqua" w:hAnsi="Book Antiqua" w:cs="Times New Roman"/>
          <w:sz w:val="24"/>
          <w:szCs w:val="24"/>
        </w:rPr>
        <w:t xml:space="preserve">les personnes âgées de </w:t>
      </w:r>
      <w:r w:rsidRPr="00A402AD">
        <w:rPr>
          <w:rFonts w:ascii="Book Antiqua" w:hAnsi="Book Antiqua" w:cs="Times New Roman"/>
          <w:sz w:val="24"/>
          <w:szCs w:val="24"/>
        </w:rPr>
        <w:t xml:space="preserve">45 ans ou plus. </w:t>
      </w:r>
      <w:r>
        <w:rPr>
          <w:rFonts w:ascii="Book Antiqua" w:hAnsi="Book Antiqua" w:cs="Times New Roman"/>
          <w:sz w:val="24"/>
          <w:szCs w:val="24"/>
        </w:rPr>
        <w:t>L</w:t>
      </w:r>
      <w:r w:rsidRPr="00A402AD">
        <w:rPr>
          <w:rFonts w:ascii="Book Antiqua" w:hAnsi="Book Antiqua" w:cs="Times New Roman"/>
          <w:sz w:val="24"/>
          <w:szCs w:val="24"/>
        </w:rPr>
        <w:t xml:space="preserve">e taux de chômage des jeunes de 15 à 24 ans titulaires d’un diplôme </w:t>
      </w:r>
      <w:r>
        <w:rPr>
          <w:rFonts w:ascii="Book Antiqua" w:hAnsi="Book Antiqua" w:cs="Times New Roman"/>
          <w:sz w:val="24"/>
          <w:szCs w:val="24"/>
        </w:rPr>
        <w:t xml:space="preserve">de niveau </w:t>
      </w:r>
      <w:r w:rsidRPr="00A402AD">
        <w:rPr>
          <w:rFonts w:ascii="Book Antiqua" w:hAnsi="Book Antiqua" w:cs="Times New Roman"/>
          <w:sz w:val="24"/>
          <w:szCs w:val="24"/>
        </w:rPr>
        <w:t>supérieur s’élève à 61,2</w:t>
      </w:r>
      <w:r>
        <w:rPr>
          <w:rFonts w:ascii="Book Antiqua" w:hAnsi="Book Antiqua" w:cs="Times New Roman"/>
          <w:sz w:val="24"/>
          <w:szCs w:val="24"/>
        </w:rPr>
        <w:t xml:space="preserve">%. Il est de </w:t>
      </w:r>
      <w:r w:rsidRPr="00A402AD">
        <w:rPr>
          <w:rFonts w:ascii="Book Antiqua" w:hAnsi="Book Antiqua" w:cs="Times New Roman"/>
          <w:sz w:val="24"/>
          <w:szCs w:val="24"/>
        </w:rPr>
        <w:t xml:space="preserve"> 30,4 % pour les </w:t>
      </w:r>
      <w:r>
        <w:rPr>
          <w:rFonts w:ascii="Book Antiqua" w:hAnsi="Book Antiqua" w:cs="Times New Roman"/>
          <w:sz w:val="24"/>
          <w:szCs w:val="24"/>
        </w:rPr>
        <w:t xml:space="preserve">jeunes détenteurs </w:t>
      </w:r>
      <w:r w:rsidRPr="00A402AD">
        <w:rPr>
          <w:rFonts w:ascii="Book Antiqua" w:hAnsi="Book Antiqua" w:cs="Times New Roman"/>
          <w:sz w:val="24"/>
          <w:szCs w:val="24"/>
        </w:rPr>
        <w:t xml:space="preserve">d’un diplôme </w:t>
      </w:r>
      <w:r>
        <w:rPr>
          <w:rFonts w:ascii="Book Antiqua" w:hAnsi="Book Antiqua" w:cs="Times New Roman"/>
          <w:sz w:val="24"/>
          <w:szCs w:val="24"/>
        </w:rPr>
        <w:t xml:space="preserve">de niveau </w:t>
      </w:r>
      <w:r w:rsidRPr="00A402AD">
        <w:rPr>
          <w:rFonts w:ascii="Book Antiqua" w:hAnsi="Book Antiqua" w:cs="Times New Roman"/>
          <w:sz w:val="24"/>
          <w:szCs w:val="24"/>
        </w:rPr>
        <w:t xml:space="preserve">moyen et </w:t>
      </w:r>
      <w:r>
        <w:rPr>
          <w:rFonts w:ascii="Book Antiqua" w:hAnsi="Book Antiqua" w:cs="Times New Roman"/>
          <w:sz w:val="24"/>
          <w:szCs w:val="24"/>
        </w:rPr>
        <w:t>de</w:t>
      </w:r>
      <w:r w:rsidRPr="00A402AD">
        <w:rPr>
          <w:rFonts w:ascii="Book Antiqua" w:hAnsi="Book Antiqua" w:cs="Times New Roman"/>
          <w:sz w:val="24"/>
          <w:szCs w:val="24"/>
        </w:rPr>
        <w:t xml:space="preserve"> 12,9% pour </w:t>
      </w:r>
      <w:r>
        <w:rPr>
          <w:rFonts w:ascii="Book Antiqua" w:hAnsi="Book Antiqua" w:cs="Times New Roman"/>
          <w:sz w:val="24"/>
          <w:szCs w:val="24"/>
        </w:rPr>
        <w:t>ceux</w:t>
      </w:r>
      <w:r w:rsidRPr="00A402AD">
        <w:rPr>
          <w:rFonts w:ascii="Book Antiqua" w:hAnsi="Book Antiqua" w:cs="Times New Roman"/>
          <w:sz w:val="24"/>
          <w:szCs w:val="24"/>
        </w:rPr>
        <w:t xml:space="preserve"> n’ayant aucun diplôme.</w:t>
      </w:r>
    </w:p>
    <w:p w:rsidR="001C44EF" w:rsidRDefault="001C44EF" w:rsidP="001C44EF">
      <w:pPr>
        <w:autoSpaceDE w:val="0"/>
        <w:autoSpaceDN w:val="0"/>
        <w:adjustRightInd w:val="0"/>
        <w:spacing w:before="240"/>
        <w:jc w:val="both"/>
        <w:rPr>
          <w:rFonts w:ascii="Book Antiqua" w:hAnsi="Book Antiqua" w:cs="Times New Roman"/>
          <w:sz w:val="24"/>
          <w:szCs w:val="24"/>
        </w:rPr>
      </w:pPr>
      <w:r w:rsidRPr="00A402AD">
        <w:rPr>
          <w:rFonts w:ascii="Book Antiqua" w:hAnsi="Book Antiqua" w:cs="Times New Roman"/>
          <w:sz w:val="24"/>
          <w:szCs w:val="24"/>
        </w:rPr>
        <w:t xml:space="preserve">Le </w:t>
      </w:r>
      <w:r>
        <w:rPr>
          <w:rFonts w:ascii="Book Antiqua" w:hAnsi="Book Antiqua" w:cs="Times New Roman"/>
          <w:sz w:val="24"/>
          <w:szCs w:val="24"/>
        </w:rPr>
        <w:t xml:space="preserve">taux de </w:t>
      </w:r>
      <w:r w:rsidRPr="00A402AD">
        <w:rPr>
          <w:rFonts w:ascii="Book Antiqua" w:hAnsi="Book Antiqua" w:cs="Times New Roman"/>
          <w:sz w:val="24"/>
          <w:szCs w:val="24"/>
        </w:rPr>
        <w:t xml:space="preserve">chômage des jeunes est plus </w:t>
      </w:r>
      <w:r>
        <w:rPr>
          <w:rFonts w:ascii="Book Antiqua" w:hAnsi="Book Antiqua" w:cs="Times New Roman"/>
          <w:sz w:val="24"/>
          <w:szCs w:val="24"/>
        </w:rPr>
        <w:t>prépondérant</w:t>
      </w:r>
      <w:r w:rsidRPr="00A402AD">
        <w:rPr>
          <w:rFonts w:ascii="Book Antiqua" w:hAnsi="Book Antiqua" w:cs="Times New Roman"/>
          <w:sz w:val="24"/>
          <w:szCs w:val="24"/>
        </w:rPr>
        <w:t xml:space="preserve"> en milieu urbain et parmi les jeunes femmes. </w:t>
      </w:r>
      <w:r>
        <w:rPr>
          <w:rFonts w:ascii="Book Antiqua" w:hAnsi="Book Antiqua" w:cs="Times New Roman"/>
          <w:sz w:val="24"/>
          <w:szCs w:val="24"/>
        </w:rPr>
        <w:t xml:space="preserve">Il </w:t>
      </w:r>
      <w:r w:rsidRPr="00A402AD">
        <w:rPr>
          <w:rFonts w:ascii="Book Antiqua" w:hAnsi="Book Antiqua" w:cs="Times New Roman"/>
          <w:sz w:val="24"/>
          <w:szCs w:val="24"/>
        </w:rPr>
        <w:t xml:space="preserve"> culmine à 46,7% en milieu urbain contre 15,9% en milieu rural. Le taux de chômage des</w:t>
      </w:r>
      <w:r>
        <w:rPr>
          <w:rFonts w:ascii="Book Antiqua" w:hAnsi="Book Antiqua" w:cs="Times New Roman"/>
          <w:sz w:val="24"/>
          <w:szCs w:val="24"/>
        </w:rPr>
        <w:t xml:space="preserve"> jeunes</w:t>
      </w:r>
      <w:r w:rsidRPr="00A402AD">
        <w:rPr>
          <w:rFonts w:ascii="Book Antiqua" w:hAnsi="Book Antiqua" w:cs="Times New Roman"/>
          <w:sz w:val="24"/>
          <w:szCs w:val="24"/>
        </w:rPr>
        <w:t xml:space="preserve"> femmes est supérieur de 13 points à celui des hommes (41,9% contre 28,4%). </w:t>
      </w:r>
    </w:p>
    <w:p w:rsidR="001C44EF" w:rsidRDefault="001C44EF" w:rsidP="001C44EF">
      <w:pPr>
        <w:autoSpaceDE w:val="0"/>
        <w:autoSpaceDN w:val="0"/>
        <w:adjustRightInd w:val="0"/>
        <w:spacing w:before="240"/>
        <w:jc w:val="both"/>
        <w:rPr>
          <w:rFonts w:ascii="Book Antiqua" w:eastAsia="Calibri" w:hAnsi="Book Antiqua"/>
          <w:b/>
          <w:bCs/>
          <w:sz w:val="24"/>
          <w:szCs w:val="24"/>
        </w:rPr>
      </w:pPr>
      <w:r>
        <w:rPr>
          <w:rFonts w:ascii="Book Antiqua" w:eastAsia="Calibri" w:hAnsi="Book Antiqua"/>
          <w:sz w:val="24"/>
          <w:szCs w:val="24"/>
        </w:rPr>
        <w:t>La hausse du taux de chômage est plus accentuée parmi les jeunes. Entre 2019 et 2021, ce taux a augmenté de 6,9 points contre 3,1 points pour l’ensemble de la population active.</w:t>
      </w:r>
    </w:p>
    <w:p w:rsidR="001C44EF" w:rsidRPr="00701115" w:rsidRDefault="001C44EF" w:rsidP="00190F08">
      <w:pPr>
        <w:spacing w:before="240"/>
        <w:jc w:val="center"/>
        <w:rPr>
          <w:rFonts w:ascii="Book Antiqua" w:eastAsia="Calibri" w:hAnsi="Book Antiqua"/>
          <w:b/>
          <w:bCs/>
          <w:sz w:val="24"/>
          <w:szCs w:val="24"/>
        </w:rPr>
      </w:pPr>
      <w:r w:rsidRPr="00701115">
        <w:rPr>
          <w:rFonts w:ascii="Book Antiqua" w:eastAsia="Calibri" w:hAnsi="Book Antiqua"/>
          <w:b/>
          <w:bCs/>
          <w:sz w:val="24"/>
          <w:szCs w:val="24"/>
        </w:rPr>
        <w:t>Figure 2 : Evolution</w:t>
      </w:r>
      <w:r w:rsidR="00190F08">
        <w:rPr>
          <w:rFonts w:ascii="Book Antiqua" w:eastAsia="Calibri" w:hAnsi="Book Antiqua"/>
          <w:b/>
          <w:bCs/>
          <w:sz w:val="24"/>
          <w:szCs w:val="24"/>
        </w:rPr>
        <w:t xml:space="preserve"> </w:t>
      </w:r>
      <w:r w:rsidRPr="00701115">
        <w:rPr>
          <w:rFonts w:ascii="Book Antiqua" w:eastAsia="Calibri" w:hAnsi="Book Antiqua"/>
          <w:b/>
          <w:bCs/>
          <w:sz w:val="24"/>
          <w:szCs w:val="24"/>
        </w:rPr>
        <w:t>des taux  de chômage  entre 2017 et 2021 (en %)</w:t>
      </w:r>
    </w:p>
    <w:p w:rsidR="001C44EF" w:rsidRPr="00A402AD" w:rsidRDefault="001C44EF" w:rsidP="001C44EF">
      <w:pPr>
        <w:autoSpaceDE w:val="0"/>
        <w:autoSpaceDN w:val="0"/>
        <w:adjustRightInd w:val="0"/>
        <w:spacing w:before="240"/>
        <w:jc w:val="both"/>
        <w:rPr>
          <w:rFonts w:ascii="Book Antiqua" w:hAnsi="Book Antiqua" w:cs="Times New Roman"/>
          <w:sz w:val="24"/>
          <w:szCs w:val="24"/>
        </w:rPr>
      </w:pPr>
      <w:r w:rsidRPr="00EA5488">
        <w:rPr>
          <w:rFonts w:ascii="Book Antiqua" w:hAnsi="Book Antiqua" w:cs="Times New Roman"/>
          <w:noProof/>
          <w:sz w:val="24"/>
          <w:szCs w:val="24"/>
        </w:rPr>
        <w:drawing>
          <wp:inline distT="0" distB="0" distL="0" distR="0">
            <wp:extent cx="5281684" cy="1487606"/>
            <wp:effectExtent l="0" t="0" r="0" b="0"/>
            <wp:docPr id="4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C44EF" w:rsidRPr="00A402AD" w:rsidRDefault="001C44EF" w:rsidP="001C44EF">
      <w:pPr>
        <w:autoSpaceDE w:val="0"/>
        <w:autoSpaceDN w:val="0"/>
        <w:adjustRightInd w:val="0"/>
        <w:spacing w:before="240"/>
        <w:jc w:val="both"/>
        <w:rPr>
          <w:rFonts w:ascii="Book Antiqua" w:hAnsi="Book Antiqua" w:cs="Times New Roman"/>
          <w:sz w:val="24"/>
          <w:szCs w:val="24"/>
        </w:rPr>
      </w:pPr>
      <w:r w:rsidRPr="00A402AD">
        <w:rPr>
          <w:rFonts w:ascii="Book Antiqua" w:hAnsi="Book Antiqua" w:cs="Times New Roman"/>
          <w:sz w:val="24"/>
          <w:szCs w:val="24"/>
        </w:rPr>
        <w:t xml:space="preserve">Il importe aussi de signaler que le chômage des jeunes est un chômage de longue durée et de première insertion. En effet, 70,4% des jeunes chômeurs sont en chômage depuis </w:t>
      </w:r>
      <w:r>
        <w:rPr>
          <w:rFonts w:ascii="Book Antiqua" w:hAnsi="Book Antiqua" w:cs="Times New Roman"/>
          <w:sz w:val="24"/>
          <w:szCs w:val="24"/>
          <w:lang w:bidi="tzm-Arab-MA"/>
        </w:rPr>
        <w:t xml:space="preserve">un an </w:t>
      </w:r>
      <w:r>
        <w:rPr>
          <w:rFonts w:ascii="Book Antiqua" w:hAnsi="Book Antiqua" w:cs="Times New Roman"/>
          <w:sz w:val="24"/>
          <w:szCs w:val="24"/>
        </w:rPr>
        <w:t>ou plus</w:t>
      </w:r>
      <w:r w:rsidRPr="00A402AD">
        <w:rPr>
          <w:rFonts w:ascii="Book Antiqua" w:hAnsi="Book Antiqua" w:cs="Times New Roman"/>
          <w:sz w:val="24"/>
          <w:szCs w:val="24"/>
        </w:rPr>
        <w:t xml:space="preserve">, et </w:t>
      </w:r>
      <w:r>
        <w:rPr>
          <w:rFonts w:ascii="Book Antiqua" w:hAnsi="Book Antiqua" w:cs="Times New Roman"/>
          <w:sz w:val="24"/>
          <w:szCs w:val="24"/>
        </w:rPr>
        <w:t>près de trois quarts</w:t>
      </w:r>
      <w:r w:rsidRPr="00A402AD">
        <w:rPr>
          <w:rFonts w:ascii="Book Antiqua" w:hAnsi="Book Antiqua" w:cs="Times New Roman"/>
          <w:sz w:val="24"/>
          <w:szCs w:val="24"/>
        </w:rPr>
        <w:t xml:space="preserve"> n'ont jamais travaillé (73,4%).</w:t>
      </w:r>
    </w:p>
    <w:p w:rsidR="001C44EF" w:rsidRPr="00424236" w:rsidRDefault="001C44EF" w:rsidP="001C44EF">
      <w:pPr>
        <w:shd w:val="clear" w:color="auto" w:fill="FFFFFF"/>
        <w:jc w:val="both"/>
        <w:rPr>
          <w:rFonts w:ascii="Book Antiqua" w:hAnsi="Book Antiqua"/>
          <w:b/>
          <w:bCs/>
          <w:i/>
          <w:iCs/>
          <w:color w:val="0070C0"/>
          <w:spacing w:val="-10"/>
          <w:kern w:val="28"/>
          <w:sz w:val="28"/>
          <w:szCs w:val="28"/>
        </w:rPr>
      </w:pPr>
      <w:r w:rsidRPr="002A7FAF">
        <w:rPr>
          <w:rFonts w:ascii="Book Antiqua" w:hAnsi="Book Antiqua"/>
          <w:b/>
          <w:bCs/>
          <w:i/>
          <w:iCs/>
          <w:color w:val="0070C0"/>
          <w:spacing w:val="-10"/>
          <w:kern w:val="28"/>
          <w:sz w:val="28"/>
          <w:szCs w:val="28"/>
        </w:rPr>
        <w:t xml:space="preserve">Des jeunes sans emploi et non scolarisés </w:t>
      </w:r>
    </w:p>
    <w:p w:rsidR="001C44EF" w:rsidRPr="00A402AD" w:rsidRDefault="001C44EF" w:rsidP="001C44EF">
      <w:pPr>
        <w:autoSpaceDE w:val="0"/>
        <w:autoSpaceDN w:val="0"/>
        <w:adjustRightInd w:val="0"/>
        <w:spacing w:before="240"/>
        <w:jc w:val="both"/>
        <w:rPr>
          <w:rFonts w:ascii="Book Antiqua" w:hAnsi="Book Antiqua" w:cs="Times New Roman"/>
          <w:sz w:val="24"/>
          <w:szCs w:val="24"/>
        </w:rPr>
      </w:pPr>
      <w:bookmarkStart w:id="1" w:name="_Hlk79420569"/>
      <w:r w:rsidRPr="00A402AD">
        <w:rPr>
          <w:rFonts w:ascii="Book Antiqua" w:hAnsi="Book Antiqua" w:cs="Times New Roman"/>
          <w:sz w:val="24"/>
          <w:szCs w:val="24"/>
        </w:rPr>
        <w:t xml:space="preserve">Plus d’un jeune sur </w:t>
      </w:r>
      <w:r>
        <w:rPr>
          <w:rFonts w:ascii="Book Antiqua" w:hAnsi="Book Antiqua" w:cs="Times New Roman"/>
          <w:sz w:val="24"/>
          <w:szCs w:val="24"/>
        </w:rPr>
        <w:t>quatre âgés de 15 à 24 ans (26</w:t>
      </w:r>
      <w:r w:rsidRPr="00A402AD">
        <w:rPr>
          <w:rFonts w:ascii="Book Antiqua" w:hAnsi="Book Antiqua" w:cs="Times New Roman"/>
          <w:sz w:val="24"/>
          <w:szCs w:val="24"/>
        </w:rPr>
        <w:t>% ou</w:t>
      </w:r>
      <w:r w:rsidRPr="00A402AD">
        <w:rPr>
          <w:rFonts w:ascii="Book Antiqua" w:hAnsi="Book Antiqua" w:cs="Times New Roman" w:hint="cs"/>
          <w:sz w:val="24"/>
          <w:szCs w:val="24"/>
          <w:rtl/>
        </w:rPr>
        <w:t xml:space="preserve"> </w:t>
      </w:r>
      <w:r w:rsidRPr="00A402AD">
        <w:rPr>
          <w:rFonts w:ascii="Book Antiqua" w:hAnsi="Book Antiqua" w:cs="Times New Roman"/>
          <w:sz w:val="24"/>
          <w:szCs w:val="24"/>
        </w:rPr>
        <w:t xml:space="preserve">1,5 million) au niveau national ne travaille pas, </w:t>
      </w:r>
      <w:r>
        <w:rPr>
          <w:rFonts w:ascii="Book Antiqua" w:hAnsi="Book Antiqua" w:cs="Times New Roman"/>
          <w:sz w:val="24"/>
          <w:szCs w:val="24"/>
        </w:rPr>
        <w:t xml:space="preserve"> </w:t>
      </w:r>
      <w:r w:rsidRPr="00A402AD">
        <w:rPr>
          <w:rFonts w:ascii="Book Antiqua" w:hAnsi="Book Antiqua" w:cs="Times New Roman"/>
          <w:sz w:val="24"/>
          <w:szCs w:val="24"/>
        </w:rPr>
        <w:t xml:space="preserve">n’est pas à l’école et ne suit aucune formation. Près de 73,4% d’entre eux sont des </w:t>
      </w:r>
      <w:r>
        <w:rPr>
          <w:rFonts w:ascii="Book Antiqua" w:hAnsi="Book Antiqua" w:cs="Times New Roman"/>
          <w:sz w:val="24"/>
          <w:szCs w:val="24"/>
        </w:rPr>
        <w:t>jeunes femmes dont 41,3%</w:t>
      </w:r>
      <w:r w:rsidRPr="00A402AD">
        <w:rPr>
          <w:rFonts w:ascii="Book Antiqua" w:hAnsi="Book Antiqua" w:cs="Times New Roman"/>
          <w:sz w:val="24"/>
          <w:szCs w:val="24"/>
        </w:rPr>
        <w:t xml:space="preserve"> sont mariées et 65,7% ont un diplôme. En milieu rural, environ 81,7% de cette catégorie sont des jeunes </w:t>
      </w:r>
      <w:r>
        <w:rPr>
          <w:rFonts w:ascii="Book Antiqua" w:hAnsi="Book Antiqua" w:cs="Times New Roman"/>
          <w:sz w:val="24"/>
          <w:szCs w:val="24"/>
        </w:rPr>
        <w:t>femmes</w:t>
      </w:r>
      <w:r w:rsidRPr="00A402AD">
        <w:rPr>
          <w:rFonts w:ascii="Book Antiqua" w:hAnsi="Book Antiqua" w:cs="Times New Roman"/>
          <w:sz w:val="24"/>
          <w:szCs w:val="24"/>
        </w:rPr>
        <w:t xml:space="preserve">. </w:t>
      </w:r>
    </w:p>
    <w:bookmarkEnd w:id="1"/>
    <w:p w:rsidR="00E6586C" w:rsidRDefault="001C44EF" w:rsidP="00CB60DA">
      <w:pPr>
        <w:autoSpaceDE w:val="0"/>
        <w:autoSpaceDN w:val="0"/>
        <w:adjustRightInd w:val="0"/>
        <w:spacing w:before="240"/>
        <w:jc w:val="both"/>
      </w:pPr>
      <w:r w:rsidRPr="00A402AD">
        <w:rPr>
          <w:rFonts w:ascii="Book Antiqua" w:hAnsi="Book Antiqua" w:cs="Times New Roman"/>
          <w:sz w:val="24"/>
          <w:szCs w:val="24"/>
        </w:rPr>
        <w:t>Parmi la pop</w:t>
      </w:r>
      <w:r w:rsidR="00190F08">
        <w:rPr>
          <w:rFonts w:ascii="Book Antiqua" w:hAnsi="Book Antiqua" w:cs="Times New Roman"/>
          <w:sz w:val="24"/>
          <w:szCs w:val="24"/>
        </w:rPr>
        <w:t xml:space="preserve">ulation en âge de scolarisation </w:t>
      </w:r>
      <w:r w:rsidRPr="00A402AD">
        <w:rPr>
          <w:rFonts w:ascii="Book Antiqua" w:hAnsi="Book Antiqua" w:cs="Times New Roman"/>
          <w:sz w:val="24"/>
          <w:szCs w:val="24"/>
        </w:rPr>
        <w:t>dans l’enseignement secondaire qualifiant (</w:t>
      </w:r>
      <w:r w:rsidR="001C61A8">
        <w:rPr>
          <w:rFonts w:ascii="Book Antiqua" w:hAnsi="Book Antiqua" w:cs="Times New Roman"/>
          <w:sz w:val="24"/>
          <w:szCs w:val="24"/>
        </w:rPr>
        <w:t xml:space="preserve">de 15 à </w:t>
      </w:r>
      <w:r w:rsidRPr="00A402AD">
        <w:rPr>
          <w:rFonts w:ascii="Book Antiqua" w:hAnsi="Book Antiqua" w:cs="Times New Roman"/>
          <w:sz w:val="24"/>
          <w:szCs w:val="24"/>
        </w:rPr>
        <w:t>17 ans), 12,6% (270.000 personnes) ne travaillent pas, ne sont pas à l’école et ne suivent aucune formation. Cette proportion est de 19,5% parmi les filles (198.000 personnes) et de 6,5% parmi les hommes (</w:t>
      </w:r>
      <w:r w:rsidR="001C61A8">
        <w:rPr>
          <w:rFonts w:ascii="Book Antiqua" w:hAnsi="Book Antiqua" w:cs="Times New Roman"/>
          <w:sz w:val="24"/>
          <w:szCs w:val="24"/>
        </w:rPr>
        <w:t xml:space="preserve">72.000 personnes). Parmi les jeunes âgés de 18 à </w:t>
      </w:r>
      <w:r w:rsidRPr="00A402AD">
        <w:rPr>
          <w:rFonts w:ascii="Book Antiqua" w:hAnsi="Book Antiqua" w:cs="Times New Roman"/>
          <w:sz w:val="24"/>
          <w:szCs w:val="24"/>
        </w:rPr>
        <w:t>24 ans, cette proportion atteint 33,5% (1.259.000 personnes), 49,1% parmi les filles (925.000 personnes) et 17,8% parmi les hommes (335.000 personnes).</w:t>
      </w:r>
      <w:r>
        <w:rPr>
          <w:rFonts w:ascii="Book Antiqua" w:hAnsi="Book Antiqua" w:cs="Times New Roman"/>
          <w:sz w:val="24"/>
          <w:szCs w:val="24"/>
        </w:rPr>
        <w:t xml:space="preserve"> </w:t>
      </w:r>
    </w:p>
    <w:sectPr w:rsidR="00E6586C" w:rsidSect="00B46DC5">
      <w:headerReference w:type="default" r:id="rId8"/>
      <w:footerReference w:type="default" r:id="rId9"/>
      <w:headerReference w:type="first" r:id="rId10"/>
      <w:pgSz w:w="11906" w:h="16838" w:code="9"/>
      <w:pgMar w:top="1418" w:right="1418" w:bottom="568" w:left="1418" w:header="709" w:footer="41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451" w:rsidRDefault="004C6451" w:rsidP="00760C55">
      <w:pPr>
        <w:spacing w:after="0" w:line="240" w:lineRule="auto"/>
      </w:pPr>
      <w:r>
        <w:separator/>
      </w:r>
    </w:p>
  </w:endnote>
  <w:endnote w:type="continuationSeparator" w:id="0">
    <w:p w:rsidR="004C6451" w:rsidRDefault="004C6451" w:rsidP="00760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E77" w:rsidRDefault="00D1650B">
    <w:pPr>
      <w:pStyle w:val="Pieddepage"/>
      <w:jc w:val="center"/>
    </w:pPr>
    <w:r>
      <w:fldChar w:fldCharType="begin"/>
    </w:r>
    <w:r w:rsidR="001C44EF">
      <w:instrText xml:space="preserve"> PAGE   \* MERGEFORMAT </w:instrText>
    </w:r>
    <w:r>
      <w:fldChar w:fldCharType="separate"/>
    </w:r>
    <w:r w:rsidR="00B72FCE">
      <w:rPr>
        <w:noProof/>
      </w:rPr>
      <w:t>3</w:t>
    </w:r>
    <w:r>
      <w:rPr>
        <w:noProof/>
      </w:rPr>
      <w:fldChar w:fldCharType="end"/>
    </w:r>
  </w:p>
  <w:p w:rsidR="00B46E77" w:rsidRDefault="004C645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451" w:rsidRDefault="004C6451" w:rsidP="00760C55">
      <w:pPr>
        <w:spacing w:after="0" w:line="240" w:lineRule="auto"/>
      </w:pPr>
      <w:r>
        <w:separator/>
      </w:r>
    </w:p>
  </w:footnote>
  <w:footnote w:type="continuationSeparator" w:id="0">
    <w:p w:rsidR="004C6451" w:rsidRDefault="004C6451" w:rsidP="00760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DC5" w:rsidRDefault="00B46DC5" w:rsidP="00B46DC5">
    <w:pPr>
      <w:pStyle w:val="En-tte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DC5" w:rsidRDefault="00B46DC5" w:rsidP="00B46DC5">
    <w:pPr>
      <w:pStyle w:val="En-tte"/>
      <w:jc w:val="center"/>
    </w:pPr>
    <w:r w:rsidRPr="00B46DC5">
      <w:drawing>
        <wp:inline distT="0" distB="0" distL="0" distR="0">
          <wp:extent cx="1732280" cy="1343025"/>
          <wp:effectExtent l="0" t="0" r="1270" b="9525"/>
          <wp:docPr id="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721" cy="13487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44EF"/>
    <w:rsid w:val="0012699E"/>
    <w:rsid w:val="00190F08"/>
    <w:rsid w:val="001C44EF"/>
    <w:rsid w:val="001C61A8"/>
    <w:rsid w:val="001F7E69"/>
    <w:rsid w:val="002962DF"/>
    <w:rsid w:val="002A6C26"/>
    <w:rsid w:val="002B7BA9"/>
    <w:rsid w:val="002D2CD6"/>
    <w:rsid w:val="00332376"/>
    <w:rsid w:val="00382F91"/>
    <w:rsid w:val="003B44D9"/>
    <w:rsid w:val="003D0E25"/>
    <w:rsid w:val="004777CC"/>
    <w:rsid w:val="004A7A7A"/>
    <w:rsid w:val="004C6451"/>
    <w:rsid w:val="004D6C24"/>
    <w:rsid w:val="004F5EC2"/>
    <w:rsid w:val="00592805"/>
    <w:rsid w:val="0063256D"/>
    <w:rsid w:val="006722CE"/>
    <w:rsid w:val="006F02DC"/>
    <w:rsid w:val="00760C55"/>
    <w:rsid w:val="00770B1F"/>
    <w:rsid w:val="0088259A"/>
    <w:rsid w:val="0092728C"/>
    <w:rsid w:val="00957901"/>
    <w:rsid w:val="00A06B8C"/>
    <w:rsid w:val="00B35591"/>
    <w:rsid w:val="00B46DC5"/>
    <w:rsid w:val="00B475FD"/>
    <w:rsid w:val="00B705F4"/>
    <w:rsid w:val="00B72FCE"/>
    <w:rsid w:val="00B869EF"/>
    <w:rsid w:val="00BD15EA"/>
    <w:rsid w:val="00BF3D38"/>
    <w:rsid w:val="00C0273D"/>
    <w:rsid w:val="00C32847"/>
    <w:rsid w:val="00C505F8"/>
    <w:rsid w:val="00C76ECB"/>
    <w:rsid w:val="00C87520"/>
    <w:rsid w:val="00C9261F"/>
    <w:rsid w:val="00CA4A9D"/>
    <w:rsid w:val="00CB60DA"/>
    <w:rsid w:val="00D1650B"/>
    <w:rsid w:val="00DE6C63"/>
    <w:rsid w:val="00E6586C"/>
    <w:rsid w:val="00F63901"/>
    <w:rsid w:val="00FD6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Bidi" w:eastAsiaTheme="minorHAnsi" w:hAnsiTheme="majorBidi" w:cstheme="majorBidi"/>
        <w:sz w:val="28"/>
        <w:szCs w:val="28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4EF"/>
    <w:pPr>
      <w:spacing w:after="200" w:line="276" w:lineRule="auto"/>
    </w:pPr>
    <w:rPr>
      <w:rFonts w:ascii="Calibri" w:eastAsia="Times New Roman" w:hAnsi="Calibri" w:cs="Arial"/>
      <w:sz w:val="22"/>
      <w:szCs w:val="2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1C4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44EF"/>
    <w:rPr>
      <w:rFonts w:ascii="Calibri" w:eastAsia="Times New Roman" w:hAnsi="Calibri" w:cs="Arial"/>
      <w:sz w:val="22"/>
      <w:szCs w:val="2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C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44EF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B46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46DC5"/>
    <w:rPr>
      <w:rFonts w:ascii="Calibri" w:eastAsia="Times New Roman" w:hAnsi="Calibri" w:cs="Arial"/>
      <w:sz w:val="22"/>
      <w:szCs w:val="22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Classeur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Classeur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lineChart>
        <c:grouping val="standard"/>
        <c:ser>
          <c:idx val="0"/>
          <c:order val="0"/>
          <c:tx>
            <c:strRef>
              <c:f>Feuil1!$A$16</c:f>
              <c:strCache>
                <c:ptCount val="1"/>
                <c:pt idx="0">
                  <c:v>Ensemble</c:v>
                </c:pt>
              </c:strCache>
            </c:strRef>
          </c:tx>
          <c:dLbls>
            <c:dLblPos val="t"/>
            <c:showVal val="1"/>
          </c:dLbls>
          <c:cat>
            <c:numRef>
              <c:f>Feuil1!$B$15:$F$15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Feuil1!$B$16:$F$16</c:f>
              <c:numCache>
                <c:formatCode>General</c:formatCode>
                <c:ptCount val="5"/>
                <c:pt idx="0">
                  <c:v>46.7</c:v>
                </c:pt>
                <c:pt idx="1">
                  <c:v>46</c:v>
                </c:pt>
                <c:pt idx="2">
                  <c:v>45.8</c:v>
                </c:pt>
                <c:pt idx="3">
                  <c:v>44.8</c:v>
                </c:pt>
                <c:pt idx="4">
                  <c:v>45.3</c:v>
                </c:pt>
              </c:numCache>
            </c:numRef>
          </c:val>
        </c:ser>
        <c:ser>
          <c:idx val="1"/>
          <c:order val="1"/>
          <c:tx>
            <c:strRef>
              <c:f>Feuil1!$A$17</c:f>
              <c:strCache>
                <c:ptCount val="1"/>
                <c:pt idx="0">
                  <c:v>15-24 ans</c:v>
                </c:pt>
              </c:strCache>
            </c:strRef>
          </c:tx>
          <c:dLbls>
            <c:dLblPos val="b"/>
            <c:showVal val="1"/>
          </c:dLbls>
          <c:cat>
            <c:numRef>
              <c:f>Feuil1!$B$15:$F$15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Feuil1!$B$17:$F$17</c:f>
              <c:numCache>
                <c:formatCode>General</c:formatCode>
                <c:ptCount val="5"/>
                <c:pt idx="0">
                  <c:v>28.2</c:v>
                </c:pt>
                <c:pt idx="1">
                  <c:v>26.8</c:v>
                </c:pt>
                <c:pt idx="2">
                  <c:v>25.1</c:v>
                </c:pt>
                <c:pt idx="3">
                  <c:v>23.5</c:v>
                </c:pt>
                <c:pt idx="4">
                  <c:v>23.9</c:v>
                </c:pt>
              </c:numCache>
            </c:numRef>
          </c:val>
        </c:ser>
        <c:marker val="1"/>
        <c:axId val="69913600"/>
        <c:axId val="72242688"/>
      </c:lineChart>
      <c:catAx>
        <c:axId val="69913600"/>
        <c:scaling>
          <c:orientation val="minMax"/>
        </c:scaling>
        <c:axPos val="b"/>
        <c:numFmt formatCode="General" sourceLinked="1"/>
        <c:tickLblPos val="nextTo"/>
        <c:crossAx val="72242688"/>
        <c:crosses val="autoZero"/>
        <c:auto val="1"/>
        <c:lblAlgn val="ctr"/>
        <c:lblOffset val="100"/>
      </c:catAx>
      <c:valAx>
        <c:axId val="72242688"/>
        <c:scaling>
          <c:orientation val="minMax"/>
        </c:scaling>
        <c:delete val="1"/>
        <c:axPos val="l"/>
        <c:numFmt formatCode="General" sourceLinked="1"/>
        <c:tickLblPos val="none"/>
        <c:crossAx val="69913600"/>
        <c:crosses val="autoZero"/>
        <c:crossBetween val="between"/>
      </c:valAx>
    </c:plotArea>
    <c:legend>
      <c:legendPos val="r"/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lineChart>
        <c:grouping val="standard"/>
        <c:ser>
          <c:idx val="0"/>
          <c:order val="0"/>
          <c:tx>
            <c:strRef>
              <c:f>Feuil1!$A$23</c:f>
              <c:strCache>
                <c:ptCount val="1"/>
                <c:pt idx="0">
                  <c:v>Ensemble</c:v>
                </c:pt>
              </c:strCache>
            </c:strRef>
          </c:tx>
          <c:dLbls>
            <c:txPr>
              <a:bodyPr/>
              <a:lstStyle/>
              <a:p>
                <a:pPr>
                  <a:defRPr sz="900"/>
                </a:pPr>
                <a:endParaRPr lang="fr-FR"/>
              </a:p>
            </c:txPr>
            <c:dLblPos val="b"/>
            <c:showVal val="1"/>
          </c:dLbls>
          <c:cat>
            <c:numRef>
              <c:f>Feuil1!$B$22:$F$22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Feuil1!$B$23:$F$23</c:f>
              <c:numCache>
                <c:formatCode>General</c:formatCode>
                <c:ptCount val="5"/>
                <c:pt idx="0">
                  <c:v>10.200000000000001</c:v>
                </c:pt>
                <c:pt idx="1">
                  <c:v>9.5</c:v>
                </c:pt>
                <c:pt idx="2">
                  <c:v>9.2000000000000011</c:v>
                </c:pt>
                <c:pt idx="3">
                  <c:v>11.9</c:v>
                </c:pt>
                <c:pt idx="4">
                  <c:v>12.3</c:v>
                </c:pt>
              </c:numCache>
            </c:numRef>
          </c:val>
        </c:ser>
        <c:ser>
          <c:idx val="1"/>
          <c:order val="1"/>
          <c:tx>
            <c:strRef>
              <c:f>Feuil1!$A$24</c:f>
              <c:strCache>
                <c:ptCount val="1"/>
                <c:pt idx="0">
                  <c:v>15-24 ans</c:v>
                </c:pt>
              </c:strCache>
            </c:strRef>
          </c:tx>
          <c:dLbls>
            <c:txPr>
              <a:bodyPr/>
              <a:lstStyle/>
              <a:p>
                <a:pPr>
                  <a:defRPr sz="900"/>
                </a:pPr>
                <a:endParaRPr lang="fr-FR"/>
              </a:p>
            </c:txPr>
            <c:dLblPos val="t"/>
            <c:showVal val="1"/>
          </c:dLbls>
          <c:cat>
            <c:numRef>
              <c:f>Feuil1!$B$22:$F$22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Feuil1!$B$24:$F$24</c:f>
              <c:numCache>
                <c:formatCode>General</c:formatCode>
                <c:ptCount val="5"/>
                <c:pt idx="0">
                  <c:v>26.5</c:v>
                </c:pt>
                <c:pt idx="1">
                  <c:v>25.6</c:v>
                </c:pt>
                <c:pt idx="2">
                  <c:v>24.9</c:v>
                </c:pt>
                <c:pt idx="3">
                  <c:v>31.2</c:v>
                </c:pt>
                <c:pt idx="4">
                  <c:v>31.8</c:v>
                </c:pt>
              </c:numCache>
            </c:numRef>
          </c:val>
        </c:ser>
        <c:marker val="1"/>
        <c:axId val="93485312"/>
        <c:axId val="96242304"/>
      </c:lineChart>
      <c:catAx>
        <c:axId val="93485312"/>
        <c:scaling>
          <c:orientation val="minMax"/>
        </c:scaling>
        <c:axPos val="b"/>
        <c:numFmt formatCode="General" sourceLinked="1"/>
        <c:tickLblPos val="nextTo"/>
        <c:crossAx val="96242304"/>
        <c:crosses val="autoZero"/>
        <c:auto val="1"/>
        <c:lblAlgn val="ctr"/>
        <c:lblOffset val="100"/>
      </c:catAx>
      <c:valAx>
        <c:axId val="96242304"/>
        <c:scaling>
          <c:orientation val="minMax"/>
        </c:scaling>
        <c:delete val="1"/>
        <c:axPos val="l"/>
        <c:numFmt formatCode="General" sourceLinked="1"/>
        <c:tickLblPos val="none"/>
        <c:crossAx val="93485312"/>
        <c:crosses val="autoZero"/>
        <c:crossBetween val="between"/>
      </c:valAx>
    </c:plotArea>
    <c:legend>
      <c:legendPos val="r"/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820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 AAI</dc:creator>
  <cp:lastModifiedBy>HCP</cp:lastModifiedBy>
  <cp:revision>12</cp:revision>
  <cp:lastPrinted>2022-08-11T09:41:00Z</cp:lastPrinted>
  <dcterms:created xsi:type="dcterms:W3CDTF">2022-08-11T14:00:00Z</dcterms:created>
  <dcterms:modified xsi:type="dcterms:W3CDTF">2022-08-11T21:10:00Z</dcterms:modified>
</cp:coreProperties>
</file>