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1C7D26" w:rsidRPr="004671FE" w:rsidRDefault="001C7D2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du Haut Commissariat au Plan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relative à l'Indice des prix à la consommation (IPC)</w:t>
      </w:r>
    </w:p>
    <w:p w:rsidR="002959F6" w:rsidRPr="00BF2E46" w:rsidRDefault="002959F6" w:rsidP="004B513F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mois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de </w:t>
      </w:r>
      <w:r w:rsidR="00CD4E5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juillet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2022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8B3A97" w:rsidP="00E02633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 w:rsidRPr="008B3A97">
        <w:rPr>
          <w:rFonts w:ascii="Arial" w:hAnsi="Arial" w:cs="Arial"/>
          <w:b/>
          <w:bCs/>
          <w:color w:val="000000" w:themeColor="text1"/>
          <w:lang w:bidi="ar-MA"/>
        </w:rPr>
        <w:t>Hausse de 0,</w:t>
      </w:r>
      <w:r w:rsidR="007E780B">
        <w:rPr>
          <w:rFonts w:ascii="Arial" w:hAnsi="Arial" w:cs="Arial"/>
          <w:b/>
          <w:bCs/>
          <w:color w:val="000000" w:themeColor="text1"/>
          <w:lang w:bidi="ar-MA"/>
        </w:rPr>
        <w:t>9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hausse de </w:t>
      </w:r>
      <w:r w:rsidR="007E780B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7E780B">
        <w:rPr>
          <w:rFonts w:ascii="Arial" w:hAnsi="Arial" w:cs="Arial"/>
          <w:b/>
          <w:bCs/>
          <w:color w:val="000000" w:themeColor="text1"/>
          <w:lang w:bidi="ar-MA"/>
        </w:rPr>
        <w:t>6</w:t>
      </w:r>
      <w:r w:rsidR="00CE7B14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alimentaires et de 0,</w:t>
      </w:r>
      <w:r w:rsidR="007E780B">
        <w:rPr>
          <w:rFonts w:ascii="Arial" w:hAnsi="Arial" w:cs="Arial"/>
          <w:b/>
          <w:bCs/>
          <w:color w:val="000000" w:themeColor="text1"/>
          <w:lang w:bidi="ar-MA"/>
        </w:rPr>
        <w:t>5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produits</w:t>
      </w:r>
      <w:r w:rsidR="00E66E29">
        <w:rPr>
          <w:rFonts w:ascii="Arial" w:hAnsi="Arial" w:cs="Arial"/>
          <w:b/>
          <w:bCs/>
          <w:color w:val="000000" w:themeColor="text1"/>
          <w:lang w:bidi="ar-MA"/>
        </w:rPr>
        <w:t xml:space="preserve"> non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alimentaires.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E02633">
        <w:rPr>
          <w:rFonts w:ascii="Arial" w:hAnsi="Arial" w:cs="Arial"/>
          <w:b/>
          <w:bCs/>
          <w:color w:val="000000" w:themeColor="text1"/>
          <w:lang w:bidi="ar-MA"/>
        </w:rPr>
        <w:t>5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6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E02633">
        <w:rPr>
          <w:rFonts w:ascii="Arial" w:hAnsi="Arial" w:cs="Arial"/>
          <w:b/>
          <w:bCs/>
          <w:color w:val="000000" w:themeColor="text1"/>
          <w:lang w:bidi="ar-MA"/>
        </w:rPr>
        <w:t>5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CB6E01">
      <w:pPr>
        <w:tabs>
          <w:tab w:val="left" w:pos="0"/>
        </w:tabs>
        <w:ind w:right="74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de </w:t>
      </w:r>
      <w:r w:rsidR="007E780B">
        <w:rPr>
          <w:rFonts w:ascii="Arial" w:hAnsi="Arial" w:cs="Arial"/>
          <w:lang w:bidi="ar-MA"/>
        </w:rPr>
        <w:t>juillet</w:t>
      </w:r>
      <w:r w:rsidRPr="004B513F">
        <w:rPr>
          <w:rFonts w:ascii="Arial" w:hAnsi="Arial" w:cs="Arial"/>
          <w:lang w:bidi="ar-MA"/>
        </w:rPr>
        <w:t xml:space="preserve"> 2022, une hausse de 0,</w:t>
      </w:r>
      <w:r w:rsidR="00CB6E01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hausse de </w:t>
      </w:r>
      <w:r w:rsidR="00CB6E01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CB6E01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>% de l’indice des produits alimentaires et de 0,</w:t>
      </w:r>
      <w:r w:rsidR="00CB6E01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>% de 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CB6E0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CE7B14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CD4E56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et </w:t>
      </w:r>
      <w:r w:rsidR="00CD4E56">
        <w:rPr>
          <w:rFonts w:ascii="Arial" w:hAnsi="Arial" w:cs="Arial"/>
          <w:lang w:bidi="ar-MA"/>
        </w:rPr>
        <w:t xml:space="preserve">juillet </w:t>
      </w:r>
      <w:r w:rsidRPr="004B513F">
        <w:rPr>
          <w:rFonts w:ascii="Arial" w:hAnsi="Arial" w:cs="Arial"/>
          <w:lang w:bidi="ar-MA"/>
        </w:rPr>
        <w:t xml:space="preserve"> 2022 concernent principalement les «</w:t>
      </w:r>
      <w:r w:rsidR="00CB6E01" w:rsidRPr="009C2F78">
        <w:rPr>
          <w:rFonts w:ascii="Arial" w:hAnsi="Arial" w:cs="Arial"/>
          <w:lang w:bidi="ar-MA"/>
        </w:rPr>
        <w:t>Fruits</w:t>
      </w:r>
      <w:r w:rsidRPr="004B513F">
        <w:rPr>
          <w:rFonts w:ascii="Arial" w:hAnsi="Arial" w:cs="Arial"/>
          <w:lang w:bidi="ar-MA"/>
        </w:rPr>
        <w:t xml:space="preserve">» avec </w:t>
      </w:r>
      <w:r w:rsidR="00CB6E01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>,</w:t>
      </w:r>
      <w:r w:rsidR="00CB6E01">
        <w:rPr>
          <w:rFonts w:ascii="Arial" w:hAnsi="Arial" w:cs="Arial"/>
          <w:lang w:bidi="ar-MA"/>
        </w:rPr>
        <w:t>4</w:t>
      </w:r>
      <w:r w:rsidR="00CE7B14">
        <w:rPr>
          <w:rFonts w:ascii="Arial" w:hAnsi="Arial" w:cs="Arial"/>
          <w:lang w:bidi="ar-MA"/>
        </w:rPr>
        <w:t>%, le</w:t>
      </w:r>
      <w:r w:rsidR="00CB6E01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CB6E01" w:rsidRPr="00CE7B14">
        <w:rPr>
          <w:rFonts w:ascii="Arial" w:hAnsi="Arial" w:cs="Arial"/>
          <w:lang w:bidi="ar-MA"/>
        </w:rPr>
        <w:t>Poisson</w:t>
      </w:r>
      <w:r w:rsidR="00CB6E01">
        <w:rPr>
          <w:rFonts w:ascii="Arial" w:hAnsi="Arial" w:cs="Arial"/>
          <w:lang w:bidi="ar-MA"/>
        </w:rPr>
        <w:t>s</w:t>
      </w:r>
      <w:r w:rsidR="00CB6E01" w:rsidRPr="00CE7B14">
        <w:rPr>
          <w:rFonts w:ascii="Arial" w:hAnsi="Arial" w:cs="Arial"/>
          <w:lang w:bidi="ar-MA"/>
        </w:rPr>
        <w:t xml:space="preserve"> et fruits de mer</w:t>
      </w:r>
      <w:r w:rsidRPr="004B513F">
        <w:rPr>
          <w:rFonts w:ascii="Arial" w:hAnsi="Arial" w:cs="Arial"/>
          <w:lang w:bidi="ar-MA"/>
        </w:rPr>
        <w:t xml:space="preserve">» avec </w:t>
      </w:r>
      <w:r w:rsidR="00CB6E01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>,</w:t>
      </w:r>
      <w:r w:rsidR="00CB6E01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%, le</w:t>
      </w:r>
      <w:r w:rsidR="00CE7B14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CB6E01" w:rsidRPr="00CE7B14">
        <w:rPr>
          <w:rFonts w:ascii="Arial" w:hAnsi="Arial" w:cs="Arial"/>
          <w:lang w:bidi="ar-MA"/>
        </w:rPr>
        <w:t>Légumes</w:t>
      </w:r>
      <w:r w:rsidRPr="004B513F">
        <w:rPr>
          <w:rFonts w:ascii="Arial" w:hAnsi="Arial" w:cs="Arial"/>
          <w:lang w:bidi="ar-MA"/>
        </w:rPr>
        <w:t xml:space="preserve">» avec </w:t>
      </w:r>
      <w:r w:rsidR="00CB6E01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,</w:t>
      </w:r>
      <w:r w:rsidR="00CB6E01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%</w:t>
      </w:r>
      <w:r w:rsidR="00CB6E01">
        <w:rPr>
          <w:rFonts w:ascii="Arial" w:hAnsi="Arial" w:cs="Arial"/>
          <w:lang w:bidi="ar-MA"/>
        </w:rPr>
        <w:t xml:space="preserve">, </w:t>
      </w:r>
      <w:r w:rsidR="00CB6E01" w:rsidRPr="004B513F">
        <w:rPr>
          <w:rFonts w:ascii="Arial" w:hAnsi="Arial" w:cs="Arial"/>
          <w:lang w:bidi="ar-MA"/>
        </w:rPr>
        <w:t>le «</w:t>
      </w:r>
      <w:r w:rsidR="00CB6E01" w:rsidRPr="00CB6E01">
        <w:rPr>
          <w:rFonts w:ascii="Arial" w:hAnsi="Arial" w:cs="Arial"/>
          <w:lang w:bidi="ar-MA"/>
        </w:rPr>
        <w:t>Lait, fromage et œufs</w:t>
      </w:r>
      <w:r w:rsidR="00CB6E01" w:rsidRPr="004B513F">
        <w:rPr>
          <w:rFonts w:ascii="Arial" w:hAnsi="Arial" w:cs="Arial"/>
          <w:lang w:bidi="ar-MA"/>
        </w:rPr>
        <w:t xml:space="preserve">» avec </w:t>
      </w:r>
      <w:r w:rsidR="00CB6E01">
        <w:rPr>
          <w:rFonts w:ascii="Arial" w:hAnsi="Arial" w:cs="Arial"/>
          <w:lang w:bidi="ar-MA"/>
        </w:rPr>
        <w:t>1</w:t>
      </w:r>
      <w:r w:rsidR="00CB6E01" w:rsidRPr="004B513F">
        <w:rPr>
          <w:rFonts w:ascii="Arial" w:hAnsi="Arial" w:cs="Arial"/>
          <w:lang w:bidi="ar-MA"/>
        </w:rPr>
        <w:t>,</w:t>
      </w:r>
      <w:r w:rsidR="00CB6E01">
        <w:rPr>
          <w:rFonts w:ascii="Arial" w:hAnsi="Arial" w:cs="Arial"/>
          <w:lang w:bidi="ar-MA"/>
        </w:rPr>
        <w:t xml:space="preserve">9%, </w:t>
      </w:r>
      <w:r w:rsidR="00CB6E01" w:rsidRPr="004B513F">
        <w:rPr>
          <w:rFonts w:ascii="Arial" w:hAnsi="Arial" w:cs="Arial"/>
          <w:lang w:bidi="ar-MA"/>
        </w:rPr>
        <w:t>le «</w:t>
      </w:r>
      <w:r w:rsidR="00CB6E01" w:rsidRPr="00CE7B14">
        <w:rPr>
          <w:rFonts w:ascii="Arial" w:hAnsi="Arial" w:cs="Arial"/>
          <w:lang w:bidi="ar-MA"/>
        </w:rPr>
        <w:t>Café, thé et cacao</w:t>
      </w:r>
      <w:r w:rsidR="00CB6E01" w:rsidRPr="004B513F">
        <w:rPr>
          <w:rFonts w:ascii="Arial" w:hAnsi="Arial" w:cs="Arial"/>
          <w:lang w:bidi="ar-MA"/>
        </w:rPr>
        <w:t xml:space="preserve">» avec </w:t>
      </w:r>
      <w:r w:rsidR="00CB6E01">
        <w:rPr>
          <w:rFonts w:ascii="Arial" w:hAnsi="Arial" w:cs="Arial"/>
          <w:lang w:bidi="ar-MA"/>
        </w:rPr>
        <w:t>0</w:t>
      </w:r>
      <w:r w:rsidR="00CB6E01" w:rsidRPr="004B513F">
        <w:rPr>
          <w:rFonts w:ascii="Arial" w:hAnsi="Arial" w:cs="Arial"/>
          <w:lang w:bidi="ar-MA"/>
        </w:rPr>
        <w:t>,</w:t>
      </w:r>
      <w:r w:rsidR="00CB6E01">
        <w:rPr>
          <w:rFonts w:ascii="Arial" w:hAnsi="Arial" w:cs="Arial"/>
          <w:lang w:bidi="ar-MA"/>
        </w:rPr>
        <w:t xml:space="preserve">7%, </w:t>
      </w:r>
      <w:r w:rsidR="00CB6E01" w:rsidRPr="004B513F">
        <w:rPr>
          <w:rFonts w:ascii="Arial" w:hAnsi="Arial" w:cs="Arial"/>
          <w:lang w:bidi="ar-MA"/>
        </w:rPr>
        <w:t>le</w:t>
      </w:r>
      <w:r w:rsidR="00CB6E01">
        <w:rPr>
          <w:rFonts w:ascii="Arial" w:hAnsi="Arial" w:cs="Arial"/>
          <w:lang w:bidi="ar-MA"/>
        </w:rPr>
        <w:t>s</w:t>
      </w:r>
      <w:r w:rsidR="00CB6E01" w:rsidRPr="004B513F">
        <w:rPr>
          <w:rFonts w:ascii="Arial" w:hAnsi="Arial" w:cs="Arial"/>
          <w:lang w:bidi="ar-MA"/>
        </w:rPr>
        <w:t xml:space="preserve"> «</w:t>
      </w:r>
      <w:r w:rsidR="00CB6E01" w:rsidRPr="00CB6E01">
        <w:rPr>
          <w:rFonts w:ascii="Arial" w:hAnsi="Arial" w:cs="Arial"/>
          <w:lang w:bidi="ar-MA"/>
        </w:rPr>
        <w:t>Huiles et graisses</w:t>
      </w:r>
      <w:r w:rsidR="00CB6E01" w:rsidRPr="004B513F">
        <w:rPr>
          <w:rFonts w:ascii="Arial" w:hAnsi="Arial" w:cs="Arial"/>
          <w:lang w:bidi="ar-MA"/>
        </w:rPr>
        <w:t xml:space="preserve">» avec </w:t>
      </w:r>
      <w:r w:rsidR="00CB6E01">
        <w:rPr>
          <w:rFonts w:ascii="Arial" w:hAnsi="Arial" w:cs="Arial"/>
          <w:lang w:bidi="ar-MA"/>
        </w:rPr>
        <w:t>0</w:t>
      </w:r>
      <w:r w:rsidR="00CB6E01" w:rsidRPr="004B513F">
        <w:rPr>
          <w:rFonts w:ascii="Arial" w:hAnsi="Arial" w:cs="Arial"/>
          <w:lang w:bidi="ar-MA"/>
        </w:rPr>
        <w:t>,</w:t>
      </w:r>
      <w:r w:rsidR="00CB6E01">
        <w:rPr>
          <w:rFonts w:ascii="Arial" w:hAnsi="Arial" w:cs="Arial"/>
          <w:lang w:bidi="ar-MA"/>
        </w:rPr>
        <w:t xml:space="preserve">5%, </w:t>
      </w:r>
      <w:r w:rsidR="00CB6E01" w:rsidRPr="004B513F">
        <w:rPr>
          <w:rFonts w:ascii="Arial" w:hAnsi="Arial" w:cs="Arial"/>
          <w:lang w:bidi="ar-MA"/>
        </w:rPr>
        <w:t>le</w:t>
      </w:r>
      <w:r w:rsidR="00CB6E01">
        <w:rPr>
          <w:rFonts w:ascii="Arial" w:hAnsi="Arial" w:cs="Arial"/>
          <w:lang w:bidi="ar-MA"/>
        </w:rPr>
        <w:t>s</w:t>
      </w:r>
      <w:r w:rsidR="00CB6E01" w:rsidRPr="004B513F">
        <w:rPr>
          <w:rFonts w:ascii="Arial" w:hAnsi="Arial" w:cs="Arial"/>
          <w:lang w:bidi="ar-MA"/>
        </w:rPr>
        <w:t xml:space="preserve"> «Viandes» avec </w:t>
      </w:r>
      <w:r w:rsidR="00CB6E01">
        <w:rPr>
          <w:rFonts w:ascii="Arial" w:hAnsi="Arial" w:cs="Arial"/>
          <w:lang w:bidi="ar-MA"/>
        </w:rPr>
        <w:t>0</w:t>
      </w:r>
      <w:r w:rsidR="00CB6E01" w:rsidRPr="004B513F">
        <w:rPr>
          <w:rFonts w:ascii="Arial" w:hAnsi="Arial" w:cs="Arial"/>
          <w:lang w:bidi="ar-MA"/>
        </w:rPr>
        <w:t>,</w:t>
      </w:r>
      <w:r w:rsidR="00CB6E01">
        <w:rPr>
          <w:rFonts w:ascii="Arial" w:hAnsi="Arial" w:cs="Arial"/>
          <w:lang w:bidi="ar-MA"/>
        </w:rPr>
        <w:t xml:space="preserve">4% </w:t>
      </w:r>
      <w:r w:rsidRPr="004B513F">
        <w:rPr>
          <w:rFonts w:ascii="Arial" w:hAnsi="Arial" w:cs="Arial"/>
          <w:lang w:bidi="ar-MA"/>
        </w:rPr>
        <w:t>et le «</w:t>
      </w:r>
      <w:r w:rsidR="00CB6E01">
        <w:rPr>
          <w:rFonts w:ascii="Arial" w:hAnsi="Arial" w:cs="Arial"/>
          <w:lang w:bidi="ar-MA"/>
        </w:rPr>
        <w:t>P</w:t>
      </w:r>
      <w:r w:rsidR="00CB6E01" w:rsidRPr="00CB6E01">
        <w:rPr>
          <w:rFonts w:ascii="Arial" w:hAnsi="Arial" w:cs="Arial"/>
          <w:lang w:bidi="ar-MA"/>
        </w:rPr>
        <w:t>ain et céréales</w:t>
      </w:r>
      <w:r w:rsidRPr="004B513F">
        <w:rPr>
          <w:rFonts w:ascii="Arial" w:hAnsi="Arial" w:cs="Arial"/>
          <w:lang w:bidi="ar-MA"/>
        </w:rPr>
        <w:t>» avec 0,</w:t>
      </w:r>
      <w:r w:rsidR="00CB6E01">
        <w:rPr>
          <w:rFonts w:ascii="Arial" w:hAnsi="Arial" w:cs="Arial"/>
          <w:lang w:bidi="ar-MA"/>
        </w:rPr>
        <w:t>3%</w:t>
      </w:r>
      <w:r w:rsidRPr="004B513F">
        <w:rPr>
          <w:rFonts w:ascii="Arial" w:hAnsi="Arial" w:cs="Arial"/>
          <w:lang w:bidi="ar-MA"/>
        </w:rPr>
        <w:t xml:space="preserve">. Pour les produits non alimentaires, la hausse a concerné principalement les prix des «Carburants» avec </w:t>
      </w:r>
      <w:r w:rsidR="00CB6E01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,</w:t>
      </w:r>
      <w:r w:rsidR="00CB6E01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0B680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0B6801">
        <w:rPr>
          <w:rFonts w:ascii="Arial" w:hAnsi="Arial" w:cs="Arial"/>
          <w:lang w:bidi="ar-MA"/>
        </w:rPr>
        <w:t>Les hausses les plus importantes de l’IPC ont été enregistrées à Al-hoceima avec 4,9%, à Errachidia avec 2,2%, à Settat avec 2,1%, à Laâyoune avec 1,7%, à Safi avec 1,5%, à Kénitra, Tétouan, Dakhla et Guelmim avec 1,4%, à Beni-Mellal avec 1,3%, à Tanger avec</w:t>
      </w:r>
      <w:r w:rsidR="009B5FB9">
        <w:rPr>
          <w:rFonts w:ascii="Arial" w:hAnsi="Arial" w:cs="Arial"/>
          <w:lang w:bidi="ar-MA"/>
        </w:rPr>
        <w:t xml:space="preserve"> 1,1%, à Fès avec 0,9% et</w:t>
      </w:r>
      <w:r>
        <w:rPr>
          <w:rFonts w:ascii="Arial" w:hAnsi="Arial" w:cs="Arial"/>
          <w:lang w:bidi="ar-MA"/>
        </w:rPr>
        <w:t xml:space="preserve"> à Marrakech et Rabat avec 0,8%</w:t>
      </w:r>
      <w:r w:rsidR="004B513F" w:rsidRPr="004B513F">
        <w:rPr>
          <w:rFonts w:ascii="Arial" w:hAnsi="Arial" w:cs="Arial"/>
          <w:lang w:bidi="ar-MA"/>
        </w:rPr>
        <w:t>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A03D04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266E72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,</w:t>
      </w:r>
      <w:r w:rsidR="00A03D04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 xml:space="preserve">% au cours du mois de </w:t>
      </w:r>
      <w:r w:rsidR="00CD4E56">
        <w:rPr>
          <w:rFonts w:ascii="Arial" w:hAnsi="Arial" w:cs="Arial"/>
          <w:lang w:bidi="ar-MA"/>
        </w:rPr>
        <w:t xml:space="preserve">juillet </w:t>
      </w:r>
      <w:r w:rsidRPr="004B513F">
        <w:rPr>
          <w:rFonts w:ascii="Arial" w:hAnsi="Arial" w:cs="Arial"/>
          <w:lang w:bidi="ar-MA"/>
        </w:rPr>
        <w:t xml:space="preserve"> 2022 conséquence de la hausse de l’indice des produits alimentaires de </w:t>
      </w:r>
      <w:r w:rsidR="001F6847">
        <w:rPr>
          <w:rFonts w:ascii="Arial" w:hAnsi="Arial" w:cs="Arial"/>
          <w:lang w:bidi="ar-MA"/>
        </w:rPr>
        <w:t>1</w:t>
      </w:r>
      <w:r w:rsidR="00A03D04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A03D04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 xml:space="preserve">% et de celui des produits non alimentaires de </w:t>
      </w:r>
      <w:r w:rsidR="00A03D04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>,</w:t>
      </w:r>
      <w:r w:rsidR="00A03D04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%. Pour les produits non alimentaires, les variations vont d’une hausse de 0,</w:t>
      </w:r>
      <w:r w:rsidR="00266E72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% pour la «</w:t>
      </w:r>
      <w:r w:rsidR="00266E72">
        <w:rPr>
          <w:rFonts w:ascii="Arial" w:hAnsi="Arial" w:cs="Arial"/>
          <w:lang w:bidi="ar-MA"/>
        </w:rPr>
        <w:t>Santé</w:t>
      </w:r>
      <w:r w:rsidRPr="004B513F">
        <w:rPr>
          <w:rFonts w:ascii="Arial" w:hAnsi="Arial" w:cs="Arial"/>
          <w:lang w:bidi="ar-MA"/>
        </w:rPr>
        <w:t xml:space="preserve">» à </w:t>
      </w:r>
      <w:r w:rsidR="00266E72">
        <w:rPr>
          <w:rFonts w:ascii="Arial" w:hAnsi="Arial" w:cs="Arial"/>
          <w:lang w:bidi="ar-MA"/>
        </w:rPr>
        <w:t>1</w:t>
      </w:r>
      <w:r w:rsidR="00A03D04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>,</w:t>
      </w:r>
      <w:r w:rsidR="00A03D04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% pour  le «Transport».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E02633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de </w:t>
      </w:r>
      <w:r w:rsidR="00CD4E56">
        <w:rPr>
          <w:rFonts w:ascii="Arial" w:hAnsi="Arial" w:cs="Arial"/>
          <w:lang w:bidi="ar-MA"/>
        </w:rPr>
        <w:t xml:space="preserve">juillet </w:t>
      </w:r>
      <w:r w:rsidRPr="004B513F">
        <w:rPr>
          <w:rFonts w:ascii="Arial" w:hAnsi="Arial" w:cs="Arial"/>
          <w:lang w:bidi="ar-MA"/>
        </w:rPr>
        <w:t xml:space="preserve"> 2022 une hausse de </w:t>
      </w:r>
      <w:r w:rsidR="005050C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E02633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>% par rapport au mois d</w:t>
      </w:r>
      <w:r w:rsidR="00E02C7B">
        <w:rPr>
          <w:rFonts w:ascii="Arial" w:hAnsi="Arial" w:cs="Arial"/>
          <w:lang w:bidi="ar-MA"/>
        </w:rPr>
        <w:t xml:space="preserve">e </w:t>
      </w:r>
      <w:r w:rsidR="00CD4E56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2022 et de </w:t>
      </w:r>
      <w:r w:rsidR="005050C3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>,</w:t>
      </w:r>
      <w:r w:rsidR="00E02633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 xml:space="preserve">% par rapport au mois de </w:t>
      </w:r>
      <w:r w:rsidR="00CD4E56">
        <w:rPr>
          <w:rFonts w:ascii="Arial" w:hAnsi="Arial" w:cs="Arial"/>
          <w:lang w:bidi="ar-MA"/>
        </w:rPr>
        <w:t xml:space="preserve">juillet </w:t>
      </w:r>
      <w:r w:rsidRPr="004B513F">
        <w:rPr>
          <w:rFonts w:ascii="Arial" w:hAnsi="Arial" w:cs="Arial"/>
          <w:lang w:bidi="ar-MA"/>
        </w:rPr>
        <w:t xml:space="preserve"> 2021.</w:t>
      </w: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A03D04" w:rsidRDefault="00A03D04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1F6847" w:rsidRDefault="001F6847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2959F6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8"/>
          <w:lang w:bidi="ar-MA"/>
        </w:rPr>
      </w:pPr>
      <w:r w:rsidRPr="0045660F">
        <w:rPr>
          <w:b/>
          <w:i/>
          <w:color w:val="E36C0A"/>
          <w:spacing w:val="-3"/>
          <w:sz w:val="48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  <w:r w:rsidR="004B513F">
              <w:rPr>
                <w:b/>
                <w:bCs/>
                <w:lang w:bidi="ar-MA"/>
              </w:rPr>
              <w:t xml:space="preserve"> 2022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Juillet </w:t>
            </w:r>
            <w:r w:rsidR="004B513F">
              <w:rPr>
                <w:b/>
                <w:bCs/>
                <w:lang w:bidi="ar-MA"/>
              </w:rPr>
              <w:t xml:space="preserve"> 2022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CD4E56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CD4E56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CD4E56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D4E56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CD4E56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D4E56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D4E56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CD4E56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D4E56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D4E56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D4E56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D4E56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D4E56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D4E56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D4E56" w:rsidRPr="00402008" w:rsidTr="005050C3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359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062"/>
        <w:gridCol w:w="1062"/>
        <w:gridCol w:w="840"/>
        <w:gridCol w:w="1063"/>
        <w:gridCol w:w="1108"/>
        <w:gridCol w:w="840"/>
      </w:tblGrid>
      <w:tr w:rsidR="002959F6" w:rsidRPr="00402008" w:rsidTr="004B513F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296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CD4E56">
              <w:rPr>
                <w:b/>
                <w:bCs/>
                <w:lang w:bidi="ar-MA"/>
              </w:rPr>
              <w:t>sept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4B513F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Juillet </w:t>
            </w:r>
          </w:p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2021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Juillet </w:t>
            </w:r>
          </w:p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2021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CD4E56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8,5</w:t>
            </w:r>
          </w:p>
        </w:tc>
      </w:tr>
      <w:tr w:rsidR="00CD4E56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8,7</w:t>
            </w:r>
          </w:p>
        </w:tc>
      </w:tr>
      <w:tr w:rsidR="00CD4E56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CD4E56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3,7</w:t>
            </w:r>
          </w:p>
        </w:tc>
      </w:tr>
      <w:tr w:rsidR="00CD4E56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</w:tr>
      <w:tr w:rsidR="00CD4E56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D4E56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</w:tr>
      <w:tr w:rsidR="00CD4E56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D4E56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11,8</w:t>
            </w:r>
          </w:p>
        </w:tc>
      </w:tr>
      <w:tr w:rsidR="00CD4E56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D4E56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CD4E56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D4E56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CD4E56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</w:tr>
      <w:tr w:rsidR="00CD4E56" w:rsidRPr="00402008" w:rsidTr="004B513F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5,5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CD4E56">
              <w:rPr>
                <w:b/>
                <w:bCs/>
                <w:lang w:bidi="ar-MA"/>
              </w:rPr>
              <w:t>sept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  <w:r w:rsidR="004B513F">
              <w:rPr>
                <w:b/>
                <w:bCs/>
                <w:lang w:bidi="ar-MA"/>
              </w:rPr>
              <w:t xml:space="preserve">  </w:t>
            </w:r>
          </w:p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Juillet </w:t>
            </w:r>
          </w:p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CD4E56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</w:tr>
      <w:tr w:rsidR="00CD4E5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CD4E5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CD4E5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6,6</w:t>
            </w:r>
          </w:p>
        </w:tc>
      </w:tr>
      <w:tr w:rsidR="00CD4E5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</w:tr>
      <w:tr w:rsidR="00CD4E5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</w:tr>
      <w:tr w:rsidR="00CD4E5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</w:tr>
      <w:tr w:rsidR="00CD4E5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</w:tr>
      <w:tr w:rsidR="00CD4E5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</w:tr>
      <w:tr w:rsidR="00CD4E5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</w:tr>
      <w:tr w:rsidR="00CD4E5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CD4E5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CD4E5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</w:tr>
      <w:tr w:rsidR="00CD4E5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</w:tr>
      <w:tr w:rsidR="00CD4E5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</w:tr>
      <w:tr w:rsidR="00CD4E5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6,6</w:t>
            </w:r>
          </w:p>
        </w:tc>
      </w:tr>
      <w:tr w:rsidR="00CD4E5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</w:tr>
      <w:tr w:rsidR="00CD4E56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CD4E56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D4E56" w:rsidRPr="00402008" w:rsidRDefault="00CD4E56" w:rsidP="005050C3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D4E56" w:rsidRDefault="00CD4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5,5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</w:t>
      </w:r>
      <w:bookmarkStart w:id="0" w:name="_GoBack"/>
      <w:bookmarkEnd w:id="0"/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5CC" w:rsidRDefault="00C575CC">
      <w:r>
        <w:separator/>
      </w:r>
    </w:p>
  </w:endnote>
  <w:endnote w:type="continuationSeparator" w:id="0">
    <w:p w:rsidR="00C575CC" w:rsidRDefault="00C575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997361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997361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1C7D26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1C7D26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997361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5CC" w:rsidRDefault="00C575CC">
      <w:r>
        <w:separator/>
      </w:r>
    </w:p>
  </w:footnote>
  <w:footnote w:type="continuationSeparator" w:id="0">
    <w:p w:rsidR="00C575CC" w:rsidRDefault="00C575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801"/>
    <w:rsid w:val="000B6EA6"/>
    <w:rsid w:val="000C5E54"/>
    <w:rsid w:val="000C7682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C7D26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603C8"/>
    <w:rsid w:val="002605BE"/>
    <w:rsid w:val="00262AA7"/>
    <w:rsid w:val="00264343"/>
    <w:rsid w:val="00264D30"/>
    <w:rsid w:val="00264E77"/>
    <w:rsid w:val="00266E72"/>
    <w:rsid w:val="00271922"/>
    <w:rsid w:val="0028585A"/>
    <w:rsid w:val="00286F23"/>
    <w:rsid w:val="002872EF"/>
    <w:rsid w:val="0028779F"/>
    <w:rsid w:val="00290B88"/>
    <w:rsid w:val="00293855"/>
    <w:rsid w:val="002959F6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23B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61967"/>
    <w:rsid w:val="0047170E"/>
    <w:rsid w:val="004744FF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78FE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F2BBD"/>
    <w:rsid w:val="00604836"/>
    <w:rsid w:val="00610ADF"/>
    <w:rsid w:val="00611B94"/>
    <w:rsid w:val="00613BEE"/>
    <w:rsid w:val="0061442D"/>
    <w:rsid w:val="006206D6"/>
    <w:rsid w:val="00621F5D"/>
    <w:rsid w:val="00630E13"/>
    <w:rsid w:val="0063123E"/>
    <w:rsid w:val="00633846"/>
    <w:rsid w:val="00633BBA"/>
    <w:rsid w:val="00635AEC"/>
    <w:rsid w:val="006418B5"/>
    <w:rsid w:val="00650FBE"/>
    <w:rsid w:val="00654378"/>
    <w:rsid w:val="00654498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5727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97361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5CC"/>
    <w:rsid w:val="00C57DE2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E01"/>
    <w:rsid w:val="00CC289A"/>
    <w:rsid w:val="00CC5A17"/>
    <w:rsid w:val="00CC5F3B"/>
    <w:rsid w:val="00CD4E56"/>
    <w:rsid w:val="00CD6E99"/>
    <w:rsid w:val="00CD7C5C"/>
    <w:rsid w:val="00CE08CE"/>
    <w:rsid w:val="00CE3DCB"/>
    <w:rsid w:val="00CE718A"/>
    <w:rsid w:val="00CE7B14"/>
    <w:rsid w:val="00CE7BB5"/>
    <w:rsid w:val="00CF0A38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84D76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E022E3"/>
    <w:rsid w:val="00E02633"/>
    <w:rsid w:val="00E02C7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D0198"/>
    <w:rsid w:val="00EE0046"/>
    <w:rsid w:val="00EE265A"/>
    <w:rsid w:val="00EE549F"/>
    <w:rsid w:val="00EE5D39"/>
    <w:rsid w:val="00EE66A3"/>
    <w:rsid w:val="00EF11E3"/>
    <w:rsid w:val="00EF13CA"/>
    <w:rsid w:val="00EF2E82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3</Pages>
  <Words>814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9</cp:revision>
  <cp:lastPrinted>2022-07-19T11:02:00Z</cp:lastPrinted>
  <dcterms:created xsi:type="dcterms:W3CDTF">2022-08-09T10:50:00Z</dcterms:created>
  <dcterms:modified xsi:type="dcterms:W3CDTF">2022-08-18T21:30:00Z</dcterms:modified>
</cp:coreProperties>
</file>