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8345E9" w:rsidRDefault="008345E9" w:rsidP="002959F6">
      <w:pPr>
        <w:rPr>
          <w:rFonts w:ascii="Arial" w:hAnsi="Arial" w:cs="Arial"/>
          <w:lang w:bidi="ar-MA"/>
        </w:rPr>
      </w:pPr>
    </w:p>
    <w:p w:rsidR="008345E9" w:rsidRPr="004671FE" w:rsidRDefault="00FF001C" w:rsidP="002959F6">
      <w:pPr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D’INFORMATION 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A</w:t>
      </w:r>
      <w:r w:rsidRPr="007B23C5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L’INDICE DES PRIX A LA PRODUCTION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INDUSTRIELLE, ENERGETIQUE ET MINIERE</w:t>
      </w:r>
    </w:p>
    <w:p w:rsidR="007B23C5" w:rsidRPr="007B23C5" w:rsidRDefault="007B23C5" w:rsidP="00AC393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DE </w:t>
      </w:r>
      <w:r w:rsidR="00AC3932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JUILLET</w:t>
      </w:r>
      <w:r w:rsidRPr="007B23C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2022</w:t>
      </w:r>
    </w:p>
    <w:p w:rsidR="007B23C5" w:rsidRPr="00637B14" w:rsidRDefault="007B23C5" w:rsidP="008A2180">
      <w:pPr>
        <w:pStyle w:val="Titre5"/>
        <w:spacing w:line="440" w:lineRule="exact"/>
        <w:jc w:val="both"/>
        <w:rPr>
          <w:b/>
          <w:bCs/>
          <w:color w:val="0000FF"/>
        </w:rPr>
      </w:pPr>
      <w:r>
        <w:tab/>
      </w:r>
      <w:r>
        <w:tab/>
      </w:r>
      <w:r>
        <w:tab/>
      </w:r>
      <w:r w:rsidR="00D73501">
        <w:t xml:space="preserve">     </w:t>
      </w:r>
      <w:r w:rsidR="00294EFC">
        <w:t xml:space="preserve">    </w:t>
      </w:r>
    </w:p>
    <w:p w:rsidR="007B23C5" w:rsidRPr="00945F55" w:rsidRDefault="007B23C5" w:rsidP="007B23C5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7B23C5" w:rsidRPr="007B23C5" w:rsidRDefault="007B23C5" w:rsidP="00ED38A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FD36E0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>» a enregistré une hausse de 0,3</w:t>
      </w:r>
      <w:r w:rsidRPr="007B23C5">
        <w:rPr>
          <w:rFonts w:ascii="Arial" w:hAnsi="Arial" w:cs="Arial"/>
          <w:lang w:bidi="ar-MA"/>
        </w:rPr>
        <w:t xml:space="preserve">% au cours du mois de </w:t>
      </w:r>
      <w:r w:rsidR="00AC3932">
        <w:rPr>
          <w:rFonts w:ascii="Arial" w:hAnsi="Arial" w:cs="Arial"/>
          <w:lang w:bidi="ar-MA"/>
        </w:rPr>
        <w:t>juillet</w:t>
      </w:r>
      <w:r w:rsidRPr="007B23C5">
        <w:rPr>
          <w:rFonts w:ascii="Arial" w:hAnsi="Arial" w:cs="Arial"/>
          <w:lang w:bidi="ar-MA"/>
        </w:rPr>
        <w:t xml:space="preserve"> 2022 par rapport au mois </w:t>
      </w:r>
      <w:r w:rsidR="003C5A61">
        <w:rPr>
          <w:rFonts w:ascii="Arial" w:hAnsi="Arial" w:cs="Arial"/>
          <w:lang w:bidi="ar-MA"/>
        </w:rPr>
        <w:t xml:space="preserve">de </w:t>
      </w:r>
      <w:r w:rsidR="00AC3932">
        <w:rPr>
          <w:rFonts w:ascii="Arial" w:hAnsi="Arial" w:cs="Arial"/>
          <w:lang w:bidi="ar-MA"/>
        </w:rPr>
        <w:t>juin</w:t>
      </w:r>
      <w:r w:rsidRPr="007B23C5">
        <w:rPr>
          <w:rFonts w:ascii="Arial" w:hAnsi="Arial" w:cs="Arial"/>
          <w:lang w:bidi="ar-MA"/>
        </w:rPr>
        <w:t xml:space="preserve"> 2022. Cette hausse est la résultante de:</w:t>
      </w:r>
    </w:p>
    <w:p w:rsidR="007B23C5" w:rsidRPr="007B23C5" w:rsidRDefault="007B23C5" w:rsidP="00FF001C">
      <w:pPr>
        <w:tabs>
          <w:tab w:val="left" w:pos="-720"/>
          <w:tab w:val="left" w:pos="720"/>
          <w:tab w:val="left" w:pos="9000"/>
        </w:tabs>
        <w:ind w:right="74"/>
        <w:jc w:val="lowKashida"/>
        <w:rPr>
          <w:rFonts w:ascii="Arial" w:hAnsi="Arial" w:cs="Arial"/>
          <w:lang w:bidi="ar-MA"/>
        </w:rPr>
      </w:pPr>
    </w:p>
    <w:p w:rsidR="007B23C5" w:rsidRDefault="00A016AF" w:rsidP="00ED38A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- L</w:t>
      </w:r>
      <w:r w:rsidR="00A665F3">
        <w:rPr>
          <w:rFonts w:ascii="Arial" w:hAnsi="Arial" w:cs="Arial"/>
          <w:lang w:bidi="ar-MA"/>
        </w:rPr>
        <w:t>a hausse de 1</w:t>
      </w:r>
      <w:r w:rsidR="002B6D1E">
        <w:rPr>
          <w:rFonts w:ascii="Arial" w:hAnsi="Arial" w:cs="Arial"/>
          <w:lang w:bidi="ar-MA"/>
        </w:rPr>
        <w:t>,3</w:t>
      </w:r>
      <w:r w:rsidR="007B23C5" w:rsidRPr="007B23C5">
        <w:rPr>
          <w:rFonts w:ascii="Arial" w:hAnsi="Arial" w:cs="Arial"/>
          <w:lang w:bidi="ar-MA"/>
        </w:rPr>
        <w:t xml:space="preserve">% des prix </w:t>
      </w:r>
      <w:r w:rsidR="00564AA5">
        <w:rPr>
          <w:rFonts w:ascii="Arial" w:hAnsi="Arial" w:cs="Arial"/>
          <w:lang w:bidi="ar-MA"/>
        </w:rPr>
        <w:t>de l’</w:t>
      </w:r>
      <w:r w:rsidR="009E4C5A" w:rsidRPr="007B23C5">
        <w:rPr>
          <w:rFonts w:ascii="Arial" w:hAnsi="Arial" w:cs="Arial"/>
          <w:lang w:bidi="ar-MA"/>
        </w:rPr>
        <w:t>«</w:t>
      </w:r>
      <w:r w:rsidR="00564AA5">
        <w:rPr>
          <w:rFonts w:ascii="Arial" w:hAnsi="Arial" w:cs="Arial"/>
          <w:lang w:bidi="ar-MA"/>
        </w:rPr>
        <w:t>Industrie</w:t>
      </w:r>
      <w:r w:rsidR="00252D23">
        <w:rPr>
          <w:rFonts w:ascii="Arial" w:hAnsi="Arial" w:cs="Arial"/>
          <w:lang w:bidi="ar-MA"/>
        </w:rPr>
        <w:t xml:space="preserve"> </w:t>
      </w:r>
      <w:r w:rsidR="00C80D19">
        <w:rPr>
          <w:rFonts w:ascii="Arial" w:hAnsi="Arial" w:cs="Arial"/>
          <w:lang w:bidi="ar-MA"/>
        </w:rPr>
        <w:t>automobile</w:t>
      </w:r>
      <w:r w:rsidR="00356A76">
        <w:rPr>
          <w:rFonts w:ascii="Arial" w:hAnsi="Arial" w:cs="Arial"/>
          <w:lang w:bidi="ar-MA"/>
        </w:rPr>
        <w:t>»,</w:t>
      </w:r>
      <w:r w:rsidR="00BC5186" w:rsidRPr="00BC5186">
        <w:rPr>
          <w:rFonts w:ascii="Arial" w:hAnsi="Arial" w:cs="Arial"/>
          <w:lang w:bidi="ar-MA"/>
        </w:rPr>
        <w:t xml:space="preserve"> </w:t>
      </w:r>
      <w:r w:rsidR="00BC5186" w:rsidRPr="007B23C5">
        <w:rPr>
          <w:rFonts w:ascii="Arial" w:hAnsi="Arial" w:cs="Arial"/>
          <w:lang w:bidi="ar-MA"/>
        </w:rPr>
        <w:t xml:space="preserve">de </w:t>
      </w:r>
      <w:r w:rsidR="00BC5186">
        <w:rPr>
          <w:rFonts w:ascii="Arial" w:hAnsi="Arial" w:cs="Arial"/>
          <w:lang w:bidi="ar-MA"/>
        </w:rPr>
        <w:t>4</w:t>
      </w:r>
      <w:r w:rsidR="00BC5186" w:rsidRPr="007B23C5">
        <w:rPr>
          <w:rFonts w:ascii="Arial" w:hAnsi="Arial" w:cs="Arial"/>
          <w:lang w:bidi="ar-MA"/>
        </w:rPr>
        <w:t>,</w:t>
      </w:r>
      <w:r w:rsidR="00BC5186">
        <w:rPr>
          <w:rFonts w:ascii="Arial" w:hAnsi="Arial" w:cs="Arial"/>
          <w:lang w:bidi="ar-MA"/>
        </w:rPr>
        <w:t>2</w:t>
      </w:r>
      <w:r w:rsidR="00BC5186" w:rsidRPr="007B23C5">
        <w:rPr>
          <w:rFonts w:ascii="Arial" w:hAnsi="Arial" w:cs="Arial"/>
          <w:lang w:bidi="ar-MA"/>
        </w:rPr>
        <w:t xml:space="preserve">% de l’«Industrie </w:t>
      </w:r>
      <w:r w:rsidR="00BC5186">
        <w:rPr>
          <w:rFonts w:ascii="Arial" w:hAnsi="Arial" w:cs="Arial"/>
          <w:lang w:bidi="ar-MA"/>
        </w:rPr>
        <w:t>du papier et carton</w:t>
      </w:r>
      <w:r w:rsidR="00BC5186" w:rsidRPr="007B23C5">
        <w:rPr>
          <w:rFonts w:ascii="Arial" w:hAnsi="Arial" w:cs="Arial"/>
          <w:lang w:bidi="ar-MA"/>
        </w:rPr>
        <w:t>»,</w:t>
      </w:r>
      <w:r w:rsidR="00BC5186">
        <w:rPr>
          <w:rFonts w:ascii="Arial" w:hAnsi="Arial" w:cs="Arial"/>
          <w:lang w:bidi="ar-MA"/>
        </w:rPr>
        <w:t xml:space="preserve"> </w:t>
      </w:r>
      <w:r w:rsidR="00252D23" w:rsidRPr="007B23C5">
        <w:rPr>
          <w:rFonts w:ascii="Arial" w:hAnsi="Arial" w:cs="Arial"/>
          <w:lang w:bidi="ar-MA"/>
        </w:rPr>
        <w:t>de 0,</w:t>
      </w:r>
      <w:r w:rsidR="00252D23">
        <w:rPr>
          <w:rFonts w:ascii="Arial" w:hAnsi="Arial" w:cs="Arial"/>
          <w:lang w:bidi="ar-MA"/>
        </w:rPr>
        <w:t xml:space="preserve">8% </w:t>
      </w:r>
      <w:r w:rsidR="00C80D19">
        <w:rPr>
          <w:rFonts w:ascii="Arial" w:hAnsi="Arial" w:cs="Arial"/>
          <w:lang w:bidi="ar-MA"/>
        </w:rPr>
        <w:t xml:space="preserve">de la </w:t>
      </w:r>
      <w:r w:rsidR="00C80D19" w:rsidRPr="007B23C5">
        <w:rPr>
          <w:rFonts w:ascii="Arial" w:hAnsi="Arial" w:cs="Arial"/>
          <w:lang w:bidi="ar-MA"/>
        </w:rPr>
        <w:t>«Fabrication</w:t>
      </w:r>
      <w:r w:rsidR="00C80D19">
        <w:rPr>
          <w:rFonts w:ascii="Arial" w:hAnsi="Arial" w:cs="Arial"/>
          <w:lang w:bidi="ar-MA"/>
        </w:rPr>
        <w:t xml:space="preserve"> d’équipement</w:t>
      </w:r>
      <w:r w:rsidR="00496907">
        <w:rPr>
          <w:rFonts w:ascii="Arial" w:hAnsi="Arial" w:cs="Arial"/>
          <w:lang w:bidi="ar-MA"/>
        </w:rPr>
        <w:t>s</w:t>
      </w:r>
      <w:r w:rsidR="00C80D19">
        <w:rPr>
          <w:rFonts w:ascii="Arial" w:hAnsi="Arial" w:cs="Arial"/>
          <w:lang w:bidi="ar-MA"/>
        </w:rPr>
        <w:t xml:space="preserve"> électriques</w:t>
      </w:r>
      <w:r w:rsidR="00C80D19" w:rsidRPr="007B23C5">
        <w:rPr>
          <w:rFonts w:ascii="Arial" w:hAnsi="Arial" w:cs="Arial"/>
          <w:lang w:bidi="ar-MA"/>
        </w:rPr>
        <w:t>»</w:t>
      </w:r>
      <w:r w:rsidR="00421FE6" w:rsidRPr="007B23C5">
        <w:rPr>
          <w:rFonts w:ascii="Arial" w:hAnsi="Arial" w:cs="Arial"/>
          <w:lang w:bidi="ar-MA"/>
        </w:rPr>
        <w:t xml:space="preserve">, </w:t>
      </w:r>
      <w:r w:rsidR="007B23C5" w:rsidRPr="007B23C5">
        <w:rPr>
          <w:rFonts w:ascii="Arial" w:hAnsi="Arial" w:cs="Arial"/>
          <w:lang w:bidi="ar-MA"/>
        </w:rPr>
        <w:t xml:space="preserve">de </w:t>
      </w:r>
      <w:r w:rsidR="00C80D19">
        <w:rPr>
          <w:rFonts w:ascii="Arial" w:hAnsi="Arial" w:cs="Arial"/>
          <w:lang w:bidi="ar-MA"/>
        </w:rPr>
        <w:t>0</w:t>
      </w:r>
      <w:r w:rsidR="00252D23">
        <w:rPr>
          <w:rFonts w:ascii="Arial" w:hAnsi="Arial" w:cs="Arial"/>
          <w:lang w:bidi="ar-MA"/>
        </w:rPr>
        <w:t>,</w:t>
      </w:r>
      <w:r w:rsidR="00C80D19">
        <w:rPr>
          <w:rFonts w:ascii="Arial" w:hAnsi="Arial" w:cs="Arial"/>
          <w:lang w:bidi="ar-MA"/>
        </w:rPr>
        <w:t>1% de l’</w:t>
      </w:r>
      <w:r w:rsidR="007B23C5" w:rsidRPr="007B23C5">
        <w:rPr>
          <w:rFonts w:ascii="Arial" w:hAnsi="Arial" w:cs="Arial"/>
          <w:lang w:bidi="ar-MA"/>
        </w:rPr>
        <w:t>«</w:t>
      </w:r>
      <w:r w:rsidR="00C80D19">
        <w:rPr>
          <w:rFonts w:ascii="Arial" w:hAnsi="Arial" w:cs="Arial"/>
          <w:lang w:bidi="ar-MA"/>
        </w:rPr>
        <w:t>Industrie alimentaire</w:t>
      </w:r>
      <w:r w:rsidR="007B23C5" w:rsidRPr="007B23C5">
        <w:rPr>
          <w:rFonts w:ascii="Arial" w:hAnsi="Arial" w:cs="Arial"/>
          <w:lang w:bidi="ar-MA"/>
        </w:rPr>
        <w:t>»</w:t>
      </w:r>
      <w:r w:rsidR="00356A76">
        <w:rPr>
          <w:rFonts w:ascii="Arial" w:hAnsi="Arial" w:cs="Arial"/>
          <w:lang w:bidi="ar-MA"/>
        </w:rPr>
        <w:t xml:space="preserve">, </w:t>
      </w:r>
      <w:r w:rsidR="00EF7577">
        <w:rPr>
          <w:rFonts w:ascii="Arial" w:hAnsi="Arial" w:cs="Arial"/>
          <w:lang w:bidi="ar-MA"/>
        </w:rPr>
        <w:t xml:space="preserve">l’«Industrie chimique» et </w:t>
      </w:r>
      <w:r w:rsidR="00EF7577" w:rsidRPr="00B95FA8">
        <w:rPr>
          <w:rFonts w:ascii="Arial" w:hAnsi="Arial" w:cs="Arial"/>
          <w:lang w:bidi="ar-MA"/>
        </w:rPr>
        <w:t>la</w:t>
      </w:r>
      <w:r w:rsidR="00ED38A8">
        <w:rPr>
          <w:rFonts w:ascii="Arial" w:hAnsi="Arial" w:cs="Arial"/>
          <w:lang w:bidi="ar-MA"/>
        </w:rPr>
        <w:t xml:space="preserve"> </w:t>
      </w:r>
      <w:r w:rsidR="00356A76">
        <w:rPr>
          <w:rFonts w:ascii="Arial" w:hAnsi="Arial" w:cs="Arial"/>
          <w:lang w:bidi="ar-MA"/>
        </w:rPr>
        <w:t>«</w:t>
      </w:r>
      <w:r w:rsidR="00EF7577" w:rsidRPr="00B95FA8">
        <w:rPr>
          <w:rFonts w:ascii="Arial" w:hAnsi="Arial" w:cs="Arial"/>
          <w:lang w:bidi="ar-MA"/>
        </w:rPr>
        <w:t>Fabrication des produits en caoutchouc et en plastique»</w:t>
      </w:r>
      <w:r w:rsidR="007B23C5" w:rsidRPr="007B23C5">
        <w:rPr>
          <w:rFonts w:ascii="Arial" w:hAnsi="Arial" w:cs="Arial"/>
          <w:lang w:bidi="ar-MA"/>
        </w:rPr>
        <w:t xml:space="preserve">, </w:t>
      </w:r>
      <w:r w:rsidR="00252D23">
        <w:rPr>
          <w:rFonts w:ascii="Arial" w:hAnsi="Arial" w:cs="Arial"/>
          <w:lang w:bidi="ar-MA"/>
        </w:rPr>
        <w:t>de 0,</w:t>
      </w:r>
      <w:r w:rsidR="00C80D19">
        <w:rPr>
          <w:rFonts w:ascii="Arial" w:hAnsi="Arial" w:cs="Arial"/>
          <w:lang w:bidi="ar-MA"/>
        </w:rPr>
        <w:t>9% de l’</w:t>
      </w:r>
      <w:r w:rsidR="007B23C5" w:rsidRPr="007B23C5">
        <w:rPr>
          <w:rFonts w:ascii="Arial" w:hAnsi="Arial" w:cs="Arial"/>
          <w:lang w:bidi="ar-MA"/>
        </w:rPr>
        <w:t>«</w:t>
      </w:r>
      <w:r w:rsidR="00C80D19">
        <w:rPr>
          <w:rFonts w:ascii="Arial" w:hAnsi="Arial" w:cs="Arial"/>
          <w:lang w:bidi="ar-MA"/>
        </w:rPr>
        <w:t>Industrie de textile</w:t>
      </w:r>
      <w:r w:rsidR="00E802EC" w:rsidRPr="00B95FA8">
        <w:rPr>
          <w:rFonts w:ascii="Arial" w:hAnsi="Arial" w:cs="Arial"/>
          <w:lang w:bidi="ar-MA"/>
        </w:rPr>
        <w:t xml:space="preserve">», </w:t>
      </w:r>
      <w:r w:rsidRPr="00B95FA8">
        <w:rPr>
          <w:rFonts w:ascii="Arial" w:hAnsi="Arial" w:cs="Arial"/>
          <w:lang w:bidi="ar-MA"/>
        </w:rPr>
        <w:t>de 0,</w:t>
      </w:r>
      <w:r w:rsidR="00B95FA8" w:rsidRPr="00B95FA8">
        <w:rPr>
          <w:rFonts w:ascii="Arial" w:hAnsi="Arial" w:cs="Arial"/>
          <w:lang w:bidi="ar-MA"/>
        </w:rPr>
        <w:t xml:space="preserve">6% du </w:t>
      </w:r>
      <w:r w:rsidRPr="00B95FA8">
        <w:rPr>
          <w:rFonts w:ascii="Arial" w:hAnsi="Arial" w:cs="Arial"/>
          <w:lang w:bidi="ar-MA"/>
        </w:rPr>
        <w:t>«</w:t>
      </w:r>
      <w:r w:rsidR="00421FE6">
        <w:rPr>
          <w:rFonts w:ascii="Arial" w:hAnsi="Arial" w:cs="Arial"/>
          <w:lang w:bidi="ar-MA"/>
        </w:rPr>
        <w:t>T</w:t>
      </w:r>
      <w:r w:rsidR="00B95FA8" w:rsidRPr="00B95FA8">
        <w:rPr>
          <w:rFonts w:ascii="Arial" w:hAnsi="Arial" w:cs="Arial"/>
          <w:lang w:bidi="ar-MA"/>
        </w:rPr>
        <w:t>ravail du bois</w:t>
      </w:r>
      <w:r w:rsidRPr="00B95FA8">
        <w:rPr>
          <w:rFonts w:ascii="Arial" w:hAnsi="Arial" w:cs="Arial"/>
          <w:lang w:bidi="ar-MA"/>
        </w:rPr>
        <w:t xml:space="preserve">», </w:t>
      </w:r>
      <w:r w:rsidR="00B95FA8" w:rsidRPr="00B95FA8">
        <w:rPr>
          <w:rFonts w:ascii="Arial" w:hAnsi="Arial" w:cs="Arial"/>
          <w:lang w:bidi="ar-MA"/>
        </w:rPr>
        <w:t>de 0,</w:t>
      </w:r>
      <w:r w:rsidR="000E1233">
        <w:rPr>
          <w:rFonts w:ascii="Arial" w:hAnsi="Arial" w:cs="Arial"/>
          <w:lang w:bidi="ar-MA"/>
        </w:rPr>
        <w:t xml:space="preserve">5% </w:t>
      </w:r>
      <w:r w:rsidR="00B95FA8">
        <w:rPr>
          <w:rFonts w:ascii="Arial" w:hAnsi="Arial" w:cs="Arial"/>
          <w:lang w:bidi="ar-MA"/>
        </w:rPr>
        <w:t>de la</w:t>
      </w:r>
      <w:r w:rsidR="00B95FA8" w:rsidRPr="00B95FA8">
        <w:rPr>
          <w:rFonts w:ascii="Arial" w:hAnsi="Arial" w:cs="Arial"/>
          <w:lang w:bidi="ar-MA"/>
        </w:rPr>
        <w:t xml:space="preserve"> «</w:t>
      </w:r>
      <w:r w:rsidR="00B95FA8">
        <w:rPr>
          <w:rFonts w:ascii="Arial" w:hAnsi="Arial" w:cs="Arial"/>
          <w:lang w:bidi="ar-MA"/>
        </w:rPr>
        <w:t xml:space="preserve">Fabrication des </w:t>
      </w:r>
      <w:r w:rsidR="00EF7577">
        <w:rPr>
          <w:rFonts w:ascii="Arial" w:hAnsi="Arial" w:cs="Arial"/>
          <w:lang w:bidi="ar-MA"/>
        </w:rPr>
        <w:t xml:space="preserve">meubles» </w:t>
      </w:r>
      <w:r w:rsidRPr="00B95FA8">
        <w:rPr>
          <w:rFonts w:ascii="Arial" w:hAnsi="Arial" w:cs="Arial"/>
          <w:lang w:bidi="ar-MA"/>
        </w:rPr>
        <w:t xml:space="preserve">et </w:t>
      </w:r>
      <w:r w:rsidR="00B95FA8" w:rsidRPr="00B95FA8">
        <w:rPr>
          <w:rFonts w:ascii="Arial" w:hAnsi="Arial" w:cs="Arial"/>
          <w:lang w:bidi="ar-MA"/>
        </w:rPr>
        <w:t xml:space="preserve">de 0,4% </w:t>
      </w:r>
      <w:r w:rsidRPr="00B95FA8">
        <w:rPr>
          <w:rFonts w:ascii="Arial" w:hAnsi="Arial" w:cs="Arial"/>
          <w:lang w:bidi="ar-MA"/>
        </w:rPr>
        <w:t xml:space="preserve">de </w:t>
      </w:r>
      <w:r w:rsidR="00EE3BA7" w:rsidRPr="00B95FA8">
        <w:rPr>
          <w:rFonts w:ascii="Arial" w:hAnsi="Arial" w:cs="Arial"/>
          <w:lang w:bidi="ar-MA"/>
        </w:rPr>
        <w:t xml:space="preserve">la </w:t>
      </w:r>
      <w:r w:rsidRPr="00B95FA8">
        <w:rPr>
          <w:rFonts w:ascii="Arial" w:hAnsi="Arial" w:cs="Arial"/>
          <w:lang w:bidi="ar-MA"/>
        </w:rPr>
        <w:t>«</w:t>
      </w:r>
      <w:r w:rsidR="00EE3BA7" w:rsidRPr="00B95FA8">
        <w:rPr>
          <w:rFonts w:ascii="Arial" w:hAnsi="Arial" w:cs="Arial"/>
          <w:lang w:bidi="ar-MA"/>
        </w:rPr>
        <w:t xml:space="preserve">Fabrication </w:t>
      </w:r>
      <w:r w:rsidRPr="00B95FA8">
        <w:rPr>
          <w:rFonts w:ascii="Arial" w:hAnsi="Arial" w:cs="Arial"/>
          <w:lang w:bidi="ar-MA"/>
        </w:rPr>
        <w:t xml:space="preserve">des </w:t>
      </w:r>
      <w:r w:rsidR="00B95FA8" w:rsidRPr="00B95FA8">
        <w:rPr>
          <w:rFonts w:ascii="Arial" w:hAnsi="Arial" w:cs="Arial"/>
          <w:lang w:bidi="ar-MA"/>
        </w:rPr>
        <w:t>machines et équipements</w:t>
      </w:r>
      <w:r w:rsidRPr="00B95FA8">
        <w:rPr>
          <w:rFonts w:ascii="Arial" w:hAnsi="Arial" w:cs="Arial"/>
          <w:lang w:bidi="ar-MA"/>
        </w:rPr>
        <w:t>»</w:t>
      </w:r>
      <w:r w:rsidR="00EE3BA7" w:rsidRPr="00B95FA8">
        <w:rPr>
          <w:rFonts w:ascii="Arial" w:hAnsi="Arial" w:cs="Arial"/>
          <w:lang w:bidi="ar-MA"/>
        </w:rPr>
        <w:t>;</w:t>
      </w:r>
    </w:p>
    <w:p w:rsidR="00B95FA8" w:rsidRDefault="00B95FA8" w:rsidP="0015208C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- L</w:t>
      </w:r>
      <w:r w:rsidRPr="00340236">
        <w:rPr>
          <w:rFonts w:ascii="Arial" w:hAnsi="Arial" w:cs="Arial"/>
          <w:lang w:bidi="ar-MA"/>
        </w:rPr>
        <w:t xml:space="preserve">a baisse de </w:t>
      </w:r>
      <w:r>
        <w:rPr>
          <w:rFonts w:ascii="Arial" w:hAnsi="Arial" w:cs="Arial"/>
          <w:lang w:bidi="ar-MA"/>
        </w:rPr>
        <w:t>0</w:t>
      </w:r>
      <w:r w:rsidRPr="0034023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8</w:t>
      </w:r>
      <w:r w:rsidRPr="00340236">
        <w:rPr>
          <w:rFonts w:ascii="Arial" w:hAnsi="Arial" w:cs="Arial"/>
          <w:lang w:bidi="ar-MA"/>
        </w:rPr>
        <w:t>% des prix de la «Métallurgie»</w:t>
      </w:r>
      <w:r>
        <w:rPr>
          <w:rFonts w:ascii="Arial" w:hAnsi="Arial" w:cs="Arial"/>
          <w:lang w:bidi="ar-MA"/>
        </w:rPr>
        <w:t xml:space="preserve"> et de 0,2% de l’«Industrie d’habillement»</w:t>
      </w:r>
      <w:r w:rsidRPr="00340236">
        <w:rPr>
          <w:rFonts w:ascii="Arial" w:hAnsi="Arial" w:cs="Arial"/>
          <w:lang w:bidi="ar-MA"/>
        </w:rPr>
        <w:t>.</w:t>
      </w:r>
    </w:p>
    <w:p w:rsidR="008345E9" w:rsidRDefault="008345E9" w:rsidP="00FF001C">
      <w:pPr>
        <w:tabs>
          <w:tab w:val="left" w:pos="-720"/>
          <w:tab w:val="left" w:pos="720"/>
          <w:tab w:val="left" w:pos="9000"/>
        </w:tabs>
        <w:ind w:right="74"/>
        <w:jc w:val="lowKashida"/>
        <w:rPr>
          <w:rFonts w:ascii="Arial" w:hAnsi="Arial" w:cs="Arial"/>
          <w:lang w:bidi="ar-MA"/>
        </w:rPr>
      </w:pPr>
    </w:p>
    <w:p w:rsidR="00E804E9" w:rsidRPr="007B23C5" w:rsidRDefault="00E804E9" w:rsidP="0027589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Par ailleurs, les indices des prix à l</w:t>
      </w:r>
      <w:r w:rsidR="008D60C3">
        <w:rPr>
          <w:rFonts w:ascii="Arial" w:hAnsi="Arial" w:cs="Arial"/>
          <w:lang w:bidi="ar-MA"/>
        </w:rPr>
        <w:t>a production des secteurs des «I</w:t>
      </w:r>
      <w:r>
        <w:rPr>
          <w:rFonts w:ascii="Arial" w:hAnsi="Arial" w:cs="Arial"/>
          <w:lang w:bidi="ar-MA"/>
        </w:rPr>
        <w:t xml:space="preserve">ndustries extractives», de la </w:t>
      </w:r>
      <w:r w:rsidR="00275893">
        <w:rPr>
          <w:rFonts w:ascii="Arial" w:hAnsi="Arial" w:cs="Arial"/>
          <w:lang w:bidi="ar-MA"/>
        </w:rPr>
        <w:t>«</w:t>
      </w:r>
      <w:r w:rsidR="00421E6B">
        <w:rPr>
          <w:rFonts w:ascii="Arial" w:hAnsi="Arial" w:cs="Arial"/>
          <w:lang w:bidi="ar-MA"/>
        </w:rPr>
        <w:t>P</w:t>
      </w:r>
      <w:r>
        <w:rPr>
          <w:rFonts w:ascii="Arial" w:hAnsi="Arial" w:cs="Arial"/>
          <w:lang w:bidi="ar-MA"/>
        </w:rPr>
        <w:t xml:space="preserve">roduction et distribution d’électricité» et de la </w:t>
      </w:r>
      <w:r w:rsidR="00275893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Production et distribution d’eau» ont connu une stagnation au cours du mois de juillet 2022.</w:t>
      </w:r>
    </w:p>
    <w:p w:rsidR="00340236" w:rsidRDefault="00340236" w:rsidP="00E802EC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FF001C" w:rsidRPr="007B23C5" w:rsidRDefault="00FF001C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59" w:type="dxa"/>
        <w:jc w:val="center"/>
        <w:tblInd w:w="-383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796"/>
        <w:gridCol w:w="834"/>
        <w:gridCol w:w="869"/>
        <w:gridCol w:w="820"/>
      </w:tblGrid>
      <w:tr w:rsidR="00EC1020" w:rsidRPr="00BE6079" w:rsidTr="00447FBE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8A2180" w:rsidRPr="00BE6079" w:rsidRDefault="008A2180" w:rsidP="00B4753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796" w:type="dxa"/>
            <w:vAlign w:val="center"/>
          </w:tcPr>
          <w:p w:rsidR="008A2180" w:rsidRPr="00BE6079" w:rsidRDefault="008A2180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4" w:type="dxa"/>
            <w:vAlign w:val="center"/>
          </w:tcPr>
          <w:p w:rsidR="00AC3932" w:rsidRPr="00447FBE" w:rsidRDefault="00AC3932" w:rsidP="00AC393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69" w:type="dxa"/>
            <w:vAlign w:val="center"/>
          </w:tcPr>
          <w:p w:rsidR="008A2180" w:rsidRPr="00447FBE" w:rsidRDefault="00AC3932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juillet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525579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extractives</w:t>
            </w:r>
          </w:p>
        </w:tc>
        <w:tc>
          <w:tcPr>
            <w:tcW w:w="834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d’hydrocarbures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100,0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100,0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de minerais métalliques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100,0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100,0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extractives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100,2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100,2</w:t>
            </w:r>
            <w:r w:rsidRPr="00E802EC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manufacturières hors raffinage de pétrole</w:t>
            </w:r>
          </w:p>
        </w:tc>
        <w:tc>
          <w:tcPr>
            <w:tcW w:w="834" w:type="dxa"/>
            <w:vAlign w:val="center"/>
          </w:tcPr>
          <w:p w:rsidR="00B12AB5" w:rsidRPr="00B12AB5" w:rsidRDefault="00B12AB5" w:rsidP="007A191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11</w:t>
            </w:r>
            <w:r w:rsidR="007A191A">
              <w:rPr>
                <w:rFonts w:asciiTheme="minorBidi" w:hAnsiTheme="minorBidi" w:cstheme="minorBidi"/>
                <w:b/>
                <w:bCs/>
                <w:lang w:bidi="ar-MA"/>
              </w:rPr>
              <w:t>8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,</w:t>
            </w:r>
            <w:r w:rsidR="007A191A">
              <w:rPr>
                <w:rFonts w:asciiTheme="minorBidi" w:hAnsiTheme="minorBidi" w:cstheme="minorBidi"/>
                <w:b/>
                <w:bCs/>
                <w:lang w:bidi="ar-MA"/>
              </w:rPr>
              <w:t>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118,</w:t>
            </w:r>
            <w:r w:rsidR="007A191A">
              <w:rPr>
                <w:rFonts w:asciiTheme="minorBidi" w:hAnsiTheme="minorBidi" w:cstheme="minorBidi"/>
                <w:b/>
                <w:bCs/>
                <w:lang w:bidi="ar-MA"/>
              </w:rPr>
              <w:t>3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0,</w:t>
            </w:r>
            <w:r w:rsidR="00B75322">
              <w:rPr>
                <w:rFonts w:asciiTheme="minorBidi" w:hAnsiTheme="minorBidi" w:cstheme="minorBidi"/>
                <w:b/>
                <w:bCs/>
                <w:lang w:bidi="ar-MA"/>
              </w:rPr>
              <w:t>3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Industries alimentaires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125,5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125,6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boissons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à base de tabac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textiles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112,8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113,8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0,9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d’habillement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105,7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-0,2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cuir et de la chaussure (à l’exception de l’habillement en cuir)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</w:rPr>
              <w:t>iège, à l’exception des meubles</w:t>
            </w:r>
            <w:r w:rsidRPr="008A2180">
              <w:rPr>
                <w:rFonts w:asciiTheme="majorBidi" w:hAnsiTheme="majorBidi" w:cstheme="majorBidi"/>
              </w:rPr>
              <w:t>; fabrication d’articles en vannerie et sparterie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117,7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0,6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papier et du carton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104,2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108,6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4,2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Imprimerie et reproduction d’enregistrements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chimique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143,1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143,2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pharmaceutique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en caoutchouc et en plastique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101,6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101,7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produits minéraux non métalliques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104,2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104,3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Métallurgie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132,9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131,8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-0,8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métalliques, à l’exclusion des machines et des équipements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informatiques, électroniques et optiques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d’équipements électriques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113,4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0,8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machines et équipements n.c.a.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100,6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101,0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0,4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automobile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104,0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1,3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matériels de transport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meubles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0,5</w:t>
            </w:r>
          </w:p>
        </w:tc>
      </w:tr>
      <w:tr w:rsidR="00B12AB5" w:rsidRPr="00BE6079" w:rsidTr="00B12AB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ED38A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manufactur</w:t>
            </w:r>
            <w:r w:rsidR="00ED38A8">
              <w:rPr>
                <w:rFonts w:asciiTheme="majorBidi" w:hAnsiTheme="majorBidi" w:cstheme="majorBidi"/>
              </w:rPr>
              <w:t>ière</w:t>
            </w:r>
            <w:r w:rsidRPr="008A218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B12AB5" w:rsidRPr="00DD6C01" w:rsidRDefault="00B12AB5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B12AB5" w:rsidRPr="00BE6079" w:rsidTr="00B12AB5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B12AB5" w:rsidRPr="00537C21" w:rsidRDefault="00B12AB5" w:rsidP="00B47538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796" w:type="dxa"/>
            <w:vAlign w:val="center"/>
          </w:tcPr>
          <w:p w:rsidR="00B12AB5" w:rsidRPr="008A2180" w:rsidRDefault="00B12AB5" w:rsidP="00B47538">
            <w:pPr>
              <w:rPr>
                <w:rFonts w:ascii="Arial" w:hAnsi="Arial" w:cs="Arial"/>
              </w:rPr>
            </w:pPr>
            <w:r w:rsidRPr="008A2180">
              <w:rPr>
                <w:rFonts w:asciiTheme="majorBidi" w:hAnsiTheme="majorBidi" w:cstheme="majorBidi"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B12AB5" w:rsidRPr="00D81C19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D81C1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B12AB5" w:rsidRPr="00B12AB5" w:rsidRDefault="00B12AB5" w:rsidP="00B12AB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B12AB5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F1" w:rsidRDefault="004142F1">
      <w:r>
        <w:separator/>
      </w:r>
    </w:p>
  </w:endnote>
  <w:endnote w:type="continuationSeparator" w:id="0">
    <w:p w:rsidR="004142F1" w:rsidRDefault="0041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25B4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925B4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F001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F001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25B4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F1" w:rsidRDefault="004142F1">
      <w:r>
        <w:separator/>
      </w:r>
    </w:p>
  </w:footnote>
  <w:footnote w:type="continuationSeparator" w:id="0">
    <w:p w:rsidR="004142F1" w:rsidRDefault="00414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388B"/>
    <w:rsid w:val="00024095"/>
    <w:rsid w:val="00026D19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87303"/>
    <w:rsid w:val="00093519"/>
    <w:rsid w:val="000A3BE9"/>
    <w:rsid w:val="000A4F68"/>
    <w:rsid w:val="000B2A3E"/>
    <w:rsid w:val="000B6EA6"/>
    <w:rsid w:val="000C5E54"/>
    <w:rsid w:val="000C7682"/>
    <w:rsid w:val="000D25AF"/>
    <w:rsid w:val="000E1233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A0E7C"/>
    <w:rsid w:val="001A1A9C"/>
    <w:rsid w:val="001A282E"/>
    <w:rsid w:val="001A7093"/>
    <w:rsid w:val="001B4AB1"/>
    <w:rsid w:val="001C3920"/>
    <w:rsid w:val="001C43FA"/>
    <w:rsid w:val="001C4709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2D23"/>
    <w:rsid w:val="00256291"/>
    <w:rsid w:val="002603C8"/>
    <w:rsid w:val="00262AA7"/>
    <w:rsid w:val="00264343"/>
    <w:rsid w:val="00264D30"/>
    <w:rsid w:val="00264E77"/>
    <w:rsid w:val="00271922"/>
    <w:rsid w:val="00275893"/>
    <w:rsid w:val="0028585A"/>
    <w:rsid w:val="00285936"/>
    <w:rsid w:val="00286F23"/>
    <w:rsid w:val="002872EF"/>
    <w:rsid w:val="0028779F"/>
    <w:rsid w:val="00290B88"/>
    <w:rsid w:val="00294EFC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5FEB"/>
    <w:rsid w:val="0030605C"/>
    <w:rsid w:val="003121A0"/>
    <w:rsid w:val="00314191"/>
    <w:rsid w:val="003151E9"/>
    <w:rsid w:val="00316A57"/>
    <w:rsid w:val="0031735D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57D2"/>
    <w:rsid w:val="00356A76"/>
    <w:rsid w:val="00360101"/>
    <w:rsid w:val="00361B0E"/>
    <w:rsid w:val="003671BE"/>
    <w:rsid w:val="00376048"/>
    <w:rsid w:val="00376C2C"/>
    <w:rsid w:val="00376C4A"/>
    <w:rsid w:val="00385013"/>
    <w:rsid w:val="0039063A"/>
    <w:rsid w:val="00393469"/>
    <w:rsid w:val="00393B90"/>
    <w:rsid w:val="00393EF8"/>
    <w:rsid w:val="003A0BAE"/>
    <w:rsid w:val="003A14B5"/>
    <w:rsid w:val="003A31B3"/>
    <w:rsid w:val="003A3FFE"/>
    <w:rsid w:val="003A5CB2"/>
    <w:rsid w:val="003B7C9A"/>
    <w:rsid w:val="003C104F"/>
    <w:rsid w:val="003C131B"/>
    <w:rsid w:val="003C357A"/>
    <w:rsid w:val="003C5A61"/>
    <w:rsid w:val="003E5DDB"/>
    <w:rsid w:val="003F28EA"/>
    <w:rsid w:val="003F445E"/>
    <w:rsid w:val="00401D3E"/>
    <w:rsid w:val="00403A20"/>
    <w:rsid w:val="004142F1"/>
    <w:rsid w:val="0041796D"/>
    <w:rsid w:val="00421E6B"/>
    <w:rsid w:val="00421FE6"/>
    <w:rsid w:val="004275D6"/>
    <w:rsid w:val="00444521"/>
    <w:rsid w:val="00446DB7"/>
    <w:rsid w:val="00447FBC"/>
    <w:rsid w:val="00447FBE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96907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6A66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3890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55F7"/>
    <w:rsid w:val="00604836"/>
    <w:rsid w:val="00610ADF"/>
    <w:rsid w:val="00611B94"/>
    <w:rsid w:val="00613BEE"/>
    <w:rsid w:val="0061442D"/>
    <w:rsid w:val="006168E8"/>
    <w:rsid w:val="00621F5D"/>
    <w:rsid w:val="00630E13"/>
    <w:rsid w:val="0063123E"/>
    <w:rsid w:val="00633846"/>
    <w:rsid w:val="00633BBA"/>
    <w:rsid w:val="00635AEC"/>
    <w:rsid w:val="006418B5"/>
    <w:rsid w:val="00646C9A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45E9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180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25B4F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F3563"/>
    <w:rsid w:val="009F5937"/>
    <w:rsid w:val="00A016AF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322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5FA8"/>
    <w:rsid w:val="00BA5F9D"/>
    <w:rsid w:val="00BB27CA"/>
    <w:rsid w:val="00BB3BD2"/>
    <w:rsid w:val="00BB55C0"/>
    <w:rsid w:val="00BC035F"/>
    <w:rsid w:val="00BC2E39"/>
    <w:rsid w:val="00BC2EE7"/>
    <w:rsid w:val="00BC49B4"/>
    <w:rsid w:val="00BC5186"/>
    <w:rsid w:val="00BD05AA"/>
    <w:rsid w:val="00BD3618"/>
    <w:rsid w:val="00BD611F"/>
    <w:rsid w:val="00BD7B29"/>
    <w:rsid w:val="00BE12C8"/>
    <w:rsid w:val="00BE28B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33A0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7CEB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36BC"/>
    <w:rsid w:val="00D46A93"/>
    <w:rsid w:val="00D4763E"/>
    <w:rsid w:val="00D52D12"/>
    <w:rsid w:val="00D60382"/>
    <w:rsid w:val="00D71FF6"/>
    <w:rsid w:val="00D73501"/>
    <w:rsid w:val="00D75D8B"/>
    <w:rsid w:val="00D81C19"/>
    <w:rsid w:val="00D820EB"/>
    <w:rsid w:val="00D82174"/>
    <w:rsid w:val="00DA3007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124D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4C34"/>
    <w:rsid w:val="00EA5644"/>
    <w:rsid w:val="00EB537F"/>
    <w:rsid w:val="00EB5AC5"/>
    <w:rsid w:val="00EB7741"/>
    <w:rsid w:val="00EC1020"/>
    <w:rsid w:val="00EC23C9"/>
    <w:rsid w:val="00EC6140"/>
    <w:rsid w:val="00ED38A8"/>
    <w:rsid w:val="00EE0046"/>
    <w:rsid w:val="00EE3BA7"/>
    <w:rsid w:val="00EE549F"/>
    <w:rsid w:val="00EE5D39"/>
    <w:rsid w:val="00EF11E3"/>
    <w:rsid w:val="00EF1321"/>
    <w:rsid w:val="00EF13CA"/>
    <w:rsid w:val="00EF2E82"/>
    <w:rsid w:val="00EF7577"/>
    <w:rsid w:val="00F07FD1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E3F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36E0"/>
    <w:rsid w:val="00FD4E57"/>
    <w:rsid w:val="00FD63AB"/>
    <w:rsid w:val="00FE18C9"/>
    <w:rsid w:val="00FE1FC9"/>
    <w:rsid w:val="00FE5DD9"/>
    <w:rsid w:val="00FE619F"/>
    <w:rsid w:val="00FE6E69"/>
    <w:rsid w:val="00FF001C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7B2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B23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BF954-6996-477C-904D-7B2F6F2F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23</cp:revision>
  <cp:lastPrinted>2022-08-25T13:27:00Z</cp:lastPrinted>
  <dcterms:created xsi:type="dcterms:W3CDTF">2022-08-24T11:56:00Z</dcterms:created>
  <dcterms:modified xsi:type="dcterms:W3CDTF">2022-08-31T00:43:00Z</dcterms:modified>
</cp:coreProperties>
</file>