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20" w:rsidRDefault="00F56D20" w:rsidP="00E7041A">
      <w:pPr>
        <w:pStyle w:val="MMTitle"/>
        <w:ind w:left="-180"/>
        <w:jc w:val="center"/>
        <w:outlineLvl w:val="0"/>
        <w:rPr>
          <w:rFonts w:ascii="Book Antiqua" w:hAnsi="Book Antiqua" w:cstheme="majorHAnsi"/>
          <w:b/>
          <w:bCs/>
          <w:color w:val="4472C4" w:themeColor="accent1"/>
          <w:sz w:val="28"/>
          <w:szCs w:val="28"/>
          <w:lang w:val="fr-FR"/>
        </w:rPr>
      </w:pPr>
    </w:p>
    <w:p w:rsidR="00F56D20" w:rsidRDefault="00F56D20" w:rsidP="00E7041A">
      <w:pPr>
        <w:pStyle w:val="MMTitle"/>
        <w:ind w:left="-180"/>
        <w:jc w:val="center"/>
        <w:outlineLvl w:val="0"/>
        <w:rPr>
          <w:rFonts w:ascii="Book Antiqua" w:hAnsi="Book Antiqua" w:cstheme="majorHAnsi"/>
          <w:b/>
          <w:bCs/>
          <w:color w:val="4472C4" w:themeColor="accent1"/>
          <w:sz w:val="28"/>
          <w:szCs w:val="28"/>
          <w:lang w:val="fr-FR"/>
        </w:rPr>
      </w:pPr>
    </w:p>
    <w:p w:rsidR="00AE2445" w:rsidRDefault="00AE2445" w:rsidP="00E7041A">
      <w:pPr>
        <w:pStyle w:val="MMTitle"/>
        <w:ind w:left="-180"/>
        <w:jc w:val="center"/>
        <w:outlineLvl w:val="0"/>
        <w:rPr>
          <w:rFonts w:ascii="Book Antiqua" w:hAnsi="Book Antiqua" w:cstheme="majorHAnsi"/>
          <w:b/>
          <w:bCs/>
          <w:color w:val="4472C4" w:themeColor="accent1"/>
          <w:sz w:val="28"/>
          <w:szCs w:val="28"/>
          <w:lang w:val="fr-FR"/>
        </w:rPr>
      </w:pPr>
    </w:p>
    <w:p w:rsidR="00F56D20" w:rsidRDefault="00F56D20" w:rsidP="00E7041A">
      <w:pPr>
        <w:pStyle w:val="MMTitle"/>
        <w:ind w:left="-180"/>
        <w:jc w:val="center"/>
        <w:outlineLvl w:val="0"/>
        <w:rPr>
          <w:rFonts w:ascii="Book Antiqua" w:hAnsi="Book Antiqua" w:cstheme="majorHAnsi"/>
          <w:b/>
          <w:bCs/>
          <w:color w:val="4472C4" w:themeColor="accent1"/>
          <w:sz w:val="28"/>
          <w:szCs w:val="28"/>
          <w:lang w:val="fr-FR"/>
        </w:rPr>
      </w:pPr>
    </w:p>
    <w:p w:rsidR="001112BC" w:rsidRDefault="00E7041A" w:rsidP="00AE2445">
      <w:pPr>
        <w:pStyle w:val="MMTitle"/>
        <w:spacing w:line="312" w:lineRule="auto"/>
        <w:ind w:left="-181"/>
        <w:jc w:val="center"/>
        <w:outlineLvl w:val="0"/>
        <w:rPr>
          <w:rFonts w:ascii="Book Antiqua" w:hAnsi="Book Antiqua" w:cstheme="majorHAnsi"/>
          <w:b/>
          <w:bCs/>
          <w:shadow/>
          <w:color w:val="4472C4" w:themeColor="accent1"/>
          <w:sz w:val="24"/>
          <w:szCs w:val="24"/>
          <w:lang w:val="fr-FR"/>
        </w:rPr>
      </w:pPr>
      <w:r w:rsidRPr="00AE2445">
        <w:rPr>
          <w:rFonts w:ascii="Book Antiqua" w:hAnsi="Book Antiqua" w:cstheme="majorHAnsi"/>
          <w:b/>
          <w:bCs/>
          <w:shadow/>
          <w:color w:val="4472C4" w:themeColor="accent1"/>
          <w:sz w:val="24"/>
          <w:szCs w:val="24"/>
          <w:lang w:val="fr-FR"/>
        </w:rPr>
        <w:t xml:space="preserve">NOTE D’INFORMATION DU HAUT-COMMISSARIAT AU PLAN </w:t>
      </w:r>
    </w:p>
    <w:p w:rsidR="00AE2445" w:rsidRPr="00AE2445" w:rsidRDefault="00E7041A" w:rsidP="00AE2445">
      <w:pPr>
        <w:pStyle w:val="MMTitle"/>
        <w:spacing w:line="312" w:lineRule="auto"/>
        <w:ind w:left="-181"/>
        <w:jc w:val="center"/>
        <w:outlineLvl w:val="0"/>
        <w:rPr>
          <w:rFonts w:ascii="Book Antiqua" w:hAnsi="Book Antiqua" w:cstheme="majorHAnsi"/>
          <w:b/>
          <w:bCs/>
          <w:shadow/>
          <w:color w:val="4472C4" w:themeColor="accent1"/>
          <w:sz w:val="24"/>
          <w:szCs w:val="24"/>
          <w:lang w:val="fr-FR"/>
        </w:rPr>
      </w:pPr>
      <w:r w:rsidRPr="00AE2445">
        <w:rPr>
          <w:rFonts w:ascii="Book Antiqua" w:hAnsi="Book Antiqua" w:cstheme="majorHAnsi"/>
          <w:b/>
          <w:bCs/>
          <w:shadow/>
          <w:color w:val="4472C4" w:themeColor="accent1"/>
          <w:sz w:val="24"/>
          <w:szCs w:val="24"/>
          <w:lang w:val="fr-FR"/>
        </w:rPr>
        <w:t xml:space="preserve">RELATIVE A LA SITUATION DU MARCHE DU TRAVAIL </w:t>
      </w:r>
    </w:p>
    <w:p w:rsidR="00E7041A" w:rsidRPr="00AE2445" w:rsidRDefault="00E7041A" w:rsidP="00AE2445">
      <w:pPr>
        <w:pStyle w:val="MMTitle"/>
        <w:spacing w:line="312" w:lineRule="auto"/>
        <w:ind w:left="-181"/>
        <w:jc w:val="center"/>
        <w:outlineLvl w:val="0"/>
        <w:rPr>
          <w:rFonts w:ascii="Book Antiqua" w:hAnsi="Book Antiqua" w:cstheme="majorHAnsi"/>
          <w:b/>
          <w:bCs/>
          <w:shadow/>
          <w:color w:val="4472C4" w:themeColor="accent1"/>
          <w:sz w:val="28"/>
          <w:szCs w:val="28"/>
          <w:lang w:val="fr-FR"/>
        </w:rPr>
      </w:pPr>
      <w:r w:rsidRPr="00AE2445">
        <w:rPr>
          <w:rFonts w:ascii="Book Antiqua" w:hAnsi="Book Antiqua" w:cstheme="majorHAnsi"/>
          <w:b/>
          <w:bCs/>
          <w:shadow/>
          <w:color w:val="4472C4" w:themeColor="accent1"/>
          <w:sz w:val="24"/>
          <w:szCs w:val="24"/>
          <w:lang w:val="fr-FR"/>
        </w:rPr>
        <w:t>AU TROISIEME</w:t>
      </w:r>
      <w:r w:rsidR="00BB3948" w:rsidRPr="00AE2445">
        <w:rPr>
          <w:rFonts w:ascii="Book Antiqua" w:hAnsi="Book Antiqua" w:cstheme="majorHAnsi"/>
          <w:b/>
          <w:bCs/>
          <w:shadow/>
          <w:color w:val="4472C4" w:themeColor="accent1"/>
          <w:sz w:val="24"/>
          <w:szCs w:val="24"/>
          <w:lang w:val="fr-FR"/>
        </w:rPr>
        <w:t xml:space="preserve"> TRIMESTRE DE 2022</w:t>
      </w:r>
    </w:p>
    <w:p w:rsidR="00061642" w:rsidRDefault="009978DC" w:rsidP="00061642">
      <w:pPr>
        <w:spacing w:before="120" w:after="120" w:line="312" w:lineRule="auto"/>
        <w:jc w:val="both"/>
        <w:rPr>
          <w:rFonts w:ascii="Book Antiqua" w:eastAsia="Book Antiqua" w:hAnsi="Book Antiqua" w:cs="Book Antiqua"/>
          <w:b/>
          <w:color w:val="4472C4"/>
        </w:rPr>
      </w:pPr>
      <w:bookmarkStart w:id="0" w:name="_GoBack"/>
      <w:bookmarkEnd w:id="0"/>
      <w:r>
        <w:rPr>
          <w:rFonts w:ascii="Book Antiqua" w:eastAsia="Book Antiqua" w:hAnsi="Book Antiqua" w:cs="Book Antiqua"/>
          <w:b/>
          <w:color w:val="4472C4"/>
        </w:rPr>
        <w:t xml:space="preserve">  </w:t>
      </w:r>
    </w:p>
    <w:p w:rsidR="00061642" w:rsidRDefault="00061642" w:rsidP="00AC0A5D">
      <w:pPr>
        <w:pBdr>
          <w:top w:val="nil"/>
          <w:left w:val="nil"/>
          <w:bottom w:val="nil"/>
          <w:right w:val="nil"/>
          <w:between w:val="nil"/>
        </w:pBdr>
        <w:spacing w:before="240" w:after="240" w:line="312" w:lineRule="auto"/>
        <w:jc w:val="both"/>
        <w:rPr>
          <w:rFonts w:ascii="Book Antiqua" w:eastAsia="Book Antiqua" w:hAnsi="Book Antiqua" w:cs="Book Antiqua"/>
          <w:color w:val="0070C0"/>
          <w:sz w:val="26"/>
          <w:szCs w:val="26"/>
        </w:rPr>
      </w:pPr>
      <w:r w:rsidRPr="00AC0A5D">
        <w:rPr>
          <w:rFonts w:ascii="Book Antiqua" w:eastAsia="Book Antiqua" w:hAnsi="Book Antiqua" w:cs="Book Antiqua"/>
          <w:color w:val="0070C0"/>
          <w:sz w:val="26"/>
          <w:szCs w:val="26"/>
        </w:rPr>
        <w:t>Entre le troisième trimest</w:t>
      </w:r>
      <w:r w:rsidR="00270C80">
        <w:rPr>
          <w:rFonts w:ascii="Book Antiqua" w:eastAsia="Book Antiqua" w:hAnsi="Book Antiqua" w:cs="Book Antiqua"/>
          <w:color w:val="0070C0"/>
          <w:sz w:val="26"/>
          <w:szCs w:val="26"/>
        </w:rPr>
        <w:t xml:space="preserve">re de 2021 et celui de 2022, </w:t>
      </w:r>
      <w:r w:rsidRPr="00AC0A5D">
        <w:rPr>
          <w:rFonts w:ascii="Book Antiqua" w:eastAsia="Book Antiqua" w:hAnsi="Book Antiqua" w:cs="Book Antiqua"/>
          <w:color w:val="0070C0"/>
          <w:sz w:val="26"/>
          <w:szCs w:val="26"/>
        </w:rPr>
        <w:t>avec une création de 136.000 postes en milieu urbain et d’une perte de 194.000 en milieu rural, l’économie nationale a perdu 58 000 postes d’emploi au niveau national.</w:t>
      </w:r>
    </w:p>
    <w:p w:rsidR="00061642" w:rsidRPr="006F4738" w:rsidRDefault="00061642" w:rsidP="0019201C">
      <w:pPr>
        <w:pBdr>
          <w:top w:val="nil"/>
          <w:left w:val="nil"/>
          <w:bottom w:val="nil"/>
          <w:right w:val="nil"/>
          <w:between w:val="nil"/>
        </w:pBdr>
        <w:spacing w:before="240" w:after="240" w:line="312" w:lineRule="auto"/>
        <w:jc w:val="both"/>
        <w:rPr>
          <w:rFonts w:ascii="Book Antiqua" w:eastAsia="Book Antiqua" w:hAnsi="Book Antiqua" w:cs="Book Antiqua"/>
          <w:color w:val="0070C0"/>
          <w:sz w:val="26"/>
          <w:szCs w:val="26"/>
        </w:rPr>
      </w:pPr>
      <w:r w:rsidRPr="00CD7E16">
        <w:rPr>
          <w:rFonts w:ascii="Book Antiqua" w:eastAsia="Book Antiqua" w:hAnsi="Book Antiqua" w:cs="Book Antiqua"/>
          <w:color w:val="0070C0"/>
          <w:sz w:val="26"/>
          <w:szCs w:val="26"/>
        </w:rPr>
        <w:t xml:space="preserve">Le secteur des services a créé </w:t>
      </w:r>
      <w:r w:rsidRPr="00AC0A5D">
        <w:rPr>
          <w:rFonts w:ascii="Book Antiqua" w:eastAsia="Book Antiqua" w:hAnsi="Book Antiqua" w:cs="Book Antiqua"/>
          <w:color w:val="0070C0"/>
          <w:sz w:val="26"/>
          <w:szCs w:val="26"/>
        </w:rPr>
        <w:t>189</w:t>
      </w:r>
      <w:r w:rsidRPr="00CD7E16">
        <w:rPr>
          <w:rFonts w:ascii="Book Antiqua" w:eastAsia="Book Antiqua" w:hAnsi="Book Antiqua" w:cs="Book Antiqua"/>
          <w:color w:val="0070C0"/>
          <w:sz w:val="26"/>
          <w:szCs w:val="26"/>
        </w:rPr>
        <w:t xml:space="preserve">.000 postes, celui de </w:t>
      </w:r>
      <w:r w:rsidR="0019201C">
        <w:rPr>
          <w:rFonts w:ascii="Book Antiqua" w:eastAsia="Book Antiqua" w:hAnsi="Book Antiqua" w:cs="Book Antiqua"/>
          <w:color w:val="0070C0"/>
          <w:sz w:val="26"/>
          <w:szCs w:val="26"/>
        </w:rPr>
        <w:t>l’</w:t>
      </w:r>
      <w:r w:rsidR="0019201C" w:rsidRPr="00AC0A5D">
        <w:rPr>
          <w:rFonts w:ascii="Book Antiqua" w:eastAsia="Book Antiqua" w:hAnsi="Book Antiqua" w:cs="Book Antiqua"/>
          <w:color w:val="0070C0"/>
          <w:sz w:val="26"/>
          <w:szCs w:val="26"/>
        </w:rPr>
        <w:t>"</w:t>
      </w:r>
      <w:r w:rsidR="0019201C">
        <w:rPr>
          <w:rFonts w:ascii="Book Antiqua" w:eastAsia="Book Antiqua" w:hAnsi="Book Antiqua" w:cs="Book Antiqua"/>
          <w:color w:val="0070C0"/>
          <w:sz w:val="26"/>
          <w:szCs w:val="26"/>
        </w:rPr>
        <w:t>industrie</w:t>
      </w:r>
      <w:r w:rsidRPr="00AC0A5D">
        <w:rPr>
          <w:rFonts w:ascii="Book Antiqua" w:eastAsia="Book Antiqua" w:hAnsi="Book Antiqua" w:cs="Book Antiqua"/>
          <w:color w:val="0070C0"/>
          <w:sz w:val="26"/>
          <w:szCs w:val="26"/>
        </w:rPr>
        <w:t>"</w:t>
      </w:r>
      <w:r w:rsidR="0019201C">
        <w:rPr>
          <w:rFonts w:ascii="Book Antiqua" w:eastAsia="Book Antiqua" w:hAnsi="Book Antiqua" w:cs="Book Antiqua"/>
          <w:color w:val="0070C0"/>
          <w:sz w:val="26"/>
          <w:szCs w:val="26"/>
        </w:rPr>
        <w:t xml:space="preserve"> </w:t>
      </w:r>
      <w:r w:rsidRPr="00AC0A5D">
        <w:rPr>
          <w:rFonts w:ascii="Book Antiqua" w:eastAsia="Book Antiqua" w:hAnsi="Book Antiqua" w:cs="Book Antiqua"/>
          <w:color w:val="0070C0"/>
          <w:sz w:val="26"/>
          <w:szCs w:val="26"/>
        </w:rPr>
        <w:t>29.000 postes</w:t>
      </w:r>
      <w:r w:rsidRPr="00CD7E16">
        <w:rPr>
          <w:rFonts w:ascii="Book Antiqua" w:eastAsia="Book Antiqua" w:hAnsi="Book Antiqua" w:cs="Book Antiqua"/>
          <w:color w:val="0070C0"/>
          <w:sz w:val="26"/>
          <w:szCs w:val="26"/>
        </w:rPr>
        <w:t xml:space="preserve">, alors que </w:t>
      </w:r>
      <w:r w:rsidR="00EE5B8A">
        <w:rPr>
          <w:rFonts w:ascii="Book Antiqua" w:eastAsia="Book Antiqua" w:hAnsi="Book Antiqua" w:cs="Book Antiqua"/>
          <w:color w:val="0070C0"/>
          <w:sz w:val="26"/>
          <w:szCs w:val="26"/>
        </w:rPr>
        <w:t xml:space="preserve">le secteur de </w:t>
      </w:r>
      <w:r w:rsidRPr="00AC0A5D">
        <w:rPr>
          <w:rFonts w:ascii="Book Antiqua" w:eastAsia="Book Antiqua" w:hAnsi="Book Antiqua" w:cs="Book Antiqua"/>
          <w:color w:val="0070C0"/>
          <w:sz w:val="26"/>
          <w:szCs w:val="26"/>
        </w:rPr>
        <w:t xml:space="preserve">l’"agriculture forêt et pêche" </w:t>
      </w:r>
      <w:r w:rsidRPr="00CD7E16">
        <w:rPr>
          <w:rFonts w:ascii="Book Antiqua" w:eastAsia="Book Antiqua" w:hAnsi="Book Antiqua" w:cs="Book Antiqua"/>
          <w:color w:val="0070C0"/>
          <w:sz w:val="26"/>
          <w:szCs w:val="26"/>
        </w:rPr>
        <w:t>a en perdu 2</w:t>
      </w:r>
      <w:r w:rsidRPr="00AC0A5D">
        <w:rPr>
          <w:rFonts w:ascii="Book Antiqua" w:eastAsia="Book Antiqua" w:hAnsi="Book Antiqua" w:cs="Book Antiqua"/>
          <w:color w:val="0070C0"/>
          <w:sz w:val="26"/>
          <w:szCs w:val="26"/>
        </w:rPr>
        <w:t>37</w:t>
      </w:r>
      <w:r w:rsidRPr="00CD7E16">
        <w:rPr>
          <w:rFonts w:ascii="Book Antiqua" w:eastAsia="Book Antiqua" w:hAnsi="Book Antiqua" w:cs="Book Antiqua"/>
          <w:color w:val="0070C0"/>
          <w:sz w:val="26"/>
          <w:szCs w:val="26"/>
        </w:rPr>
        <w:t>.000</w:t>
      </w:r>
      <w:r w:rsidRPr="00AC0A5D">
        <w:rPr>
          <w:rFonts w:ascii="Book Antiqua" w:eastAsia="Book Antiqua" w:hAnsi="Book Antiqua" w:cs="Book Antiqua"/>
          <w:color w:val="0070C0"/>
          <w:sz w:val="26"/>
          <w:szCs w:val="26"/>
        </w:rPr>
        <w:t xml:space="preserve"> et </w:t>
      </w:r>
      <w:r w:rsidR="00EE5B8A">
        <w:rPr>
          <w:rFonts w:ascii="Book Antiqua" w:eastAsia="Book Antiqua" w:hAnsi="Book Antiqua" w:cs="Book Antiqua"/>
          <w:color w:val="0070C0"/>
          <w:sz w:val="26"/>
          <w:szCs w:val="26"/>
        </w:rPr>
        <w:t xml:space="preserve">celui </w:t>
      </w:r>
      <w:r w:rsidRPr="00AC0A5D">
        <w:rPr>
          <w:rFonts w:ascii="Book Antiqua" w:eastAsia="Book Antiqua" w:hAnsi="Book Antiqua" w:cs="Book Antiqua"/>
          <w:color w:val="0070C0"/>
          <w:sz w:val="26"/>
          <w:szCs w:val="26"/>
        </w:rPr>
        <w:t>des BTP 38.000 postes</w:t>
      </w:r>
      <w:r w:rsidRPr="00CD7E16">
        <w:rPr>
          <w:rFonts w:ascii="Book Antiqua" w:eastAsia="Book Antiqua" w:hAnsi="Book Antiqua" w:cs="Book Antiqua"/>
          <w:color w:val="0070C0"/>
          <w:sz w:val="26"/>
          <w:szCs w:val="26"/>
        </w:rPr>
        <w:t>.</w:t>
      </w:r>
    </w:p>
    <w:p w:rsidR="00061642" w:rsidRPr="006F4738" w:rsidRDefault="00061642" w:rsidP="0056284A">
      <w:pPr>
        <w:pBdr>
          <w:top w:val="nil"/>
          <w:left w:val="nil"/>
          <w:bottom w:val="nil"/>
          <w:right w:val="nil"/>
          <w:between w:val="nil"/>
        </w:pBdr>
        <w:spacing w:before="240" w:after="240" w:line="312" w:lineRule="auto"/>
        <w:jc w:val="both"/>
        <w:rPr>
          <w:rFonts w:ascii="Book Antiqua" w:eastAsia="Book Antiqua" w:hAnsi="Book Antiqua" w:cs="Book Antiqua"/>
          <w:color w:val="0070C0"/>
          <w:sz w:val="26"/>
          <w:szCs w:val="26"/>
        </w:rPr>
      </w:pPr>
      <w:r w:rsidRPr="006F4738">
        <w:rPr>
          <w:rFonts w:ascii="Book Antiqua" w:eastAsia="Book Antiqua" w:hAnsi="Book Antiqua" w:cs="Book Antiqua"/>
          <w:color w:val="0070C0"/>
          <w:sz w:val="26"/>
          <w:szCs w:val="26"/>
        </w:rPr>
        <w:t xml:space="preserve">Avec une </w:t>
      </w:r>
      <w:r w:rsidR="00E5640D">
        <w:rPr>
          <w:rFonts w:ascii="Book Antiqua" w:eastAsia="Book Antiqua" w:hAnsi="Book Antiqua" w:cs="Book Antiqua"/>
          <w:color w:val="0070C0"/>
          <w:sz w:val="26"/>
          <w:szCs w:val="26"/>
        </w:rPr>
        <w:t>baisse</w:t>
      </w:r>
      <w:r w:rsidRPr="006F4738">
        <w:rPr>
          <w:rFonts w:ascii="Book Antiqua" w:eastAsia="Book Antiqua" w:hAnsi="Book Antiqua" w:cs="Book Antiqua"/>
          <w:color w:val="0070C0"/>
          <w:sz w:val="26"/>
          <w:szCs w:val="26"/>
        </w:rPr>
        <w:t xml:space="preserve"> de</w:t>
      </w:r>
      <w:r>
        <w:rPr>
          <w:rFonts w:ascii="Book Antiqua" w:eastAsia="Book Antiqua" w:hAnsi="Book Antiqua" w:cs="Book Antiqua"/>
          <w:color w:val="0070C0"/>
          <w:sz w:val="26"/>
          <w:szCs w:val="26"/>
        </w:rPr>
        <w:t xml:space="preserve"> </w:t>
      </w:r>
      <w:r w:rsidR="00E5640D">
        <w:rPr>
          <w:rFonts w:ascii="Book Antiqua" w:eastAsia="Book Antiqua" w:hAnsi="Book Antiqua" w:cs="Book Antiqua"/>
          <w:color w:val="0070C0"/>
          <w:sz w:val="26"/>
          <w:szCs w:val="26"/>
        </w:rPr>
        <w:t>70</w:t>
      </w:r>
      <w:r w:rsidRPr="006F4738">
        <w:rPr>
          <w:rFonts w:ascii="Book Antiqua" w:eastAsia="Book Antiqua" w:hAnsi="Book Antiqua" w:cs="Book Antiqua"/>
          <w:color w:val="0070C0"/>
          <w:sz w:val="26"/>
          <w:szCs w:val="26"/>
        </w:rPr>
        <w:t xml:space="preserve">.000, dont </w:t>
      </w:r>
      <w:r w:rsidR="0056284A">
        <w:rPr>
          <w:rFonts w:ascii="Book Antiqua" w:eastAsia="Book Antiqua" w:hAnsi="Book Antiqua" w:cs="Book Antiqua"/>
          <w:color w:val="0070C0"/>
          <w:sz w:val="26"/>
          <w:szCs w:val="26"/>
        </w:rPr>
        <w:t>62</w:t>
      </w:r>
      <w:r w:rsidRPr="006F4738">
        <w:rPr>
          <w:rFonts w:ascii="Book Antiqua" w:eastAsia="Book Antiqua" w:hAnsi="Book Antiqua" w:cs="Book Antiqua"/>
          <w:color w:val="0070C0"/>
          <w:sz w:val="26"/>
          <w:szCs w:val="26"/>
        </w:rPr>
        <w:t xml:space="preserve">.000 en milieu urbain et </w:t>
      </w:r>
      <w:r w:rsidR="0056284A">
        <w:rPr>
          <w:rFonts w:ascii="Book Antiqua" w:eastAsia="Book Antiqua" w:hAnsi="Book Antiqua" w:cs="Book Antiqua"/>
          <w:color w:val="0070C0"/>
          <w:sz w:val="26"/>
          <w:szCs w:val="26"/>
        </w:rPr>
        <w:t>8</w:t>
      </w:r>
      <w:r w:rsidRPr="006F4738">
        <w:rPr>
          <w:rFonts w:ascii="Book Antiqua" w:eastAsia="Book Antiqua" w:hAnsi="Book Antiqua" w:cs="Book Antiqua"/>
          <w:color w:val="0070C0"/>
          <w:sz w:val="26"/>
          <w:szCs w:val="26"/>
        </w:rPr>
        <w:t>.000 en milieu rural, le volume du chômage a atteint 1.</w:t>
      </w:r>
      <w:r w:rsidR="0056284A">
        <w:rPr>
          <w:rFonts w:ascii="Book Antiqua" w:eastAsia="Book Antiqua" w:hAnsi="Book Antiqua" w:cs="Book Antiqua"/>
          <w:color w:val="0070C0"/>
          <w:sz w:val="26"/>
          <w:szCs w:val="26"/>
        </w:rPr>
        <w:t>378</w:t>
      </w:r>
      <w:r w:rsidRPr="006F4738">
        <w:rPr>
          <w:rFonts w:ascii="Book Antiqua" w:eastAsia="Book Antiqua" w:hAnsi="Book Antiqua" w:cs="Book Antiqua"/>
          <w:color w:val="0070C0"/>
          <w:sz w:val="26"/>
          <w:szCs w:val="26"/>
        </w:rPr>
        <w:t>.000 personnes au niveau national.</w:t>
      </w:r>
    </w:p>
    <w:p w:rsidR="00061642" w:rsidRPr="00AC0A5D" w:rsidRDefault="00061642" w:rsidP="00937D58">
      <w:pPr>
        <w:spacing w:before="240" w:after="240" w:line="312" w:lineRule="auto"/>
        <w:jc w:val="both"/>
        <w:rPr>
          <w:rFonts w:ascii="Book Antiqua" w:eastAsia="Book Antiqua" w:hAnsi="Book Antiqua" w:cs="Book Antiqua"/>
          <w:color w:val="0070C0"/>
          <w:sz w:val="26"/>
          <w:szCs w:val="26"/>
        </w:rPr>
      </w:pPr>
      <w:r w:rsidRPr="00EE5B8A">
        <w:rPr>
          <w:rFonts w:ascii="Book Antiqua" w:eastAsia="Book Antiqua" w:hAnsi="Book Antiqua" w:cs="Book Antiqua"/>
          <w:color w:val="0070C0"/>
          <w:sz w:val="26"/>
          <w:szCs w:val="26"/>
        </w:rPr>
        <w:t>Le taux de chômage est passé de 1</w:t>
      </w:r>
      <w:r w:rsidR="0056284A" w:rsidRPr="00EE5B8A">
        <w:rPr>
          <w:rFonts w:ascii="Book Antiqua" w:eastAsia="Book Antiqua" w:hAnsi="Book Antiqua" w:cs="Book Antiqua"/>
          <w:color w:val="0070C0"/>
          <w:sz w:val="26"/>
          <w:szCs w:val="26"/>
        </w:rPr>
        <w:t>1</w:t>
      </w:r>
      <w:r w:rsidRPr="00EE5B8A">
        <w:rPr>
          <w:rFonts w:ascii="Book Antiqua" w:eastAsia="Book Antiqua" w:hAnsi="Book Antiqua" w:cs="Book Antiqua"/>
          <w:color w:val="0070C0"/>
          <w:sz w:val="26"/>
          <w:szCs w:val="26"/>
        </w:rPr>
        <w:t>,</w:t>
      </w:r>
      <w:r w:rsidR="0056284A" w:rsidRPr="00EE5B8A">
        <w:rPr>
          <w:rFonts w:ascii="Book Antiqua" w:eastAsia="Book Antiqua" w:hAnsi="Book Antiqua" w:cs="Book Antiqua"/>
          <w:color w:val="0070C0"/>
          <w:sz w:val="26"/>
          <w:szCs w:val="26"/>
        </w:rPr>
        <w:t>8</w:t>
      </w:r>
      <w:r w:rsidRPr="00EE5B8A">
        <w:rPr>
          <w:rFonts w:ascii="Book Antiqua" w:eastAsia="Book Antiqua" w:hAnsi="Book Antiqua" w:cs="Book Antiqua"/>
          <w:color w:val="0070C0"/>
          <w:sz w:val="26"/>
          <w:szCs w:val="26"/>
        </w:rPr>
        <w:t>% à 1</w:t>
      </w:r>
      <w:r w:rsidR="0056284A" w:rsidRPr="00EE5B8A">
        <w:rPr>
          <w:rFonts w:ascii="Book Antiqua" w:eastAsia="Book Antiqua" w:hAnsi="Book Antiqua" w:cs="Book Antiqua"/>
          <w:color w:val="0070C0"/>
          <w:sz w:val="26"/>
          <w:szCs w:val="26"/>
        </w:rPr>
        <w:t>1</w:t>
      </w:r>
      <w:r w:rsidRPr="00EE5B8A">
        <w:rPr>
          <w:rFonts w:ascii="Book Antiqua" w:eastAsia="Book Antiqua" w:hAnsi="Book Antiqua" w:cs="Book Antiqua"/>
          <w:color w:val="0070C0"/>
          <w:sz w:val="26"/>
          <w:szCs w:val="26"/>
        </w:rPr>
        <w:t>,</w:t>
      </w:r>
      <w:r w:rsidR="0056284A" w:rsidRPr="00EE5B8A">
        <w:rPr>
          <w:rFonts w:ascii="Book Antiqua" w:eastAsia="Book Antiqua" w:hAnsi="Book Antiqua" w:cs="Book Antiqua"/>
          <w:color w:val="0070C0"/>
          <w:sz w:val="26"/>
          <w:szCs w:val="26"/>
        </w:rPr>
        <w:t>4</w:t>
      </w:r>
      <w:r w:rsidR="00937D58">
        <w:rPr>
          <w:rFonts w:ascii="Book Antiqua" w:eastAsia="Book Antiqua" w:hAnsi="Book Antiqua" w:cs="Book Antiqua"/>
          <w:color w:val="0070C0"/>
          <w:sz w:val="26"/>
          <w:szCs w:val="26"/>
        </w:rPr>
        <w:t>% au niveau national, passant d</w:t>
      </w:r>
      <w:r w:rsidRPr="00EE5B8A">
        <w:rPr>
          <w:rFonts w:ascii="Book Antiqua" w:eastAsia="Book Antiqua" w:hAnsi="Book Antiqua" w:cs="Book Antiqua"/>
          <w:color w:val="0070C0"/>
          <w:sz w:val="26"/>
          <w:szCs w:val="26"/>
        </w:rPr>
        <w:t>e</w:t>
      </w:r>
      <w:r w:rsidRPr="006F4738">
        <w:rPr>
          <w:rFonts w:ascii="Book Antiqua" w:eastAsia="Book Antiqua" w:hAnsi="Book Antiqua" w:cs="Book Antiqua"/>
          <w:color w:val="0070C0"/>
          <w:sz w:val="26"/>
          <w:szCs w:val="26"/>
        </w:rPr>
        <w:t xml:space="preserve"> 1</w:t>
      </w:r>
      <w:r w:rsidR="0056284A">
        <w:rPr>
          <w:rFonts w:ascii="Book Antiqua" w:eastAsia="Book Antiqua" w:hAnsi="Book Antiqua" w:cs="Book Antiqua"/>
          <w:color w:val="0070C0"/>
          <w:sz w:val="26"/>
          <w:szCs w:val="26"/>
        </w:rPr>
        <w:t>6</w:t>
      </w:r>
      <w:r w:rsidRPr="006F4738">
        <w:rPr>
          <w:rFonts w:ascii="Book Antiqua" w:eastAsia="Book Antiqua" w:hAnsi="Book Antiqua" w:cs="Book Antiqua"/>
          <w:color w:val="0070C0"/>
          <w:sz w:val="26"/>
          <w:szCs w:val="26"/>
        </w:rPr>
        <w:t>% à 1</w:t>
      </w:r>
      <w:r w:rsidR="0056284A">
        <w:rPr>
          <w:rFonts w:ascii="Book Antiqua" w:eastAsia="Book Antiqua" w:hAnsi="Book Antiqua" w:cs="Book Antiqua"/>
          <w:color w:val="0070C0"/>
          <w:sz w:val="26"/>
          <w:szCs w:val="26"/>
        </w:rPr>
        <w:t>5</w:t>
      </w:r>
      <w:r w:rsidRPr="006F4738">
        <w:rPr>
          <w:rFonts w:ascii="Book Antiqua" w:eastAsia="Book Antiqua" w:hAnsi="Book Antiqua" w:cs="Book Antiqua"/>
          <w:color w:val="0070C0"/>
          <w:sz w:val="26"/>
          <w:szCs w:val="26"/>
        </w:rPr>
        <w:t xml:space="preserve">% en milieu urbain et </w:t>
      </w:r>
      <w:r w:rsidR="00937D58">
        <w:rPr>
          <w:rFonts w:ascii="Book Antiqua" w:eastAsia="Book Antiqua" w:hAnsi="Book Antiqua" w:cs="Book Antiqua"/>
          <w:color w:val="0070C0"/>
          <w:sz w:val="26"/>
          <w:szCs w:val="26"/>
        </w:rPr>
        <w:t>stagnant</w:t>
      </w:r>
      <w:r w:rsidR="00EE5B8A">
        <w:rPr>
          <w:rFonts w:ascii="Book Antiqua" w:eastAsia="Book Antiqua" w:hAnsi="Book Antiqua" w:cs="Book Antiqua"/>
          <w:color w:val="0070C0"/>
          <w:sz w:val="26"/>
          <w:szCs w:val="26"/>
        </w:rPr>
        <w:t xml:space="preserve"> à 5,2% </w:t>
      </w:r>
      <w:r w:rsidRPr="006F4738">
        <w:rPr>
          <w:rFonts w:ascii="Book Antiqua" w:eastAsia="Book Antiqua" w:hAnsi="Book Antiqua" w:cs="Book Antiqua"/>
          <w:color w:val="0070C0"/>
          <w:sz w:val="26"/>
          <w:szCs w:val="26"/>
        </w:rPr>
        <w:t>en milieu rural.</w:t>
      </w:r>
      <w:r w:rsidR="00EE5B8A">
        <w:rPr>
          <w:rFonts w:ascii="Book Antiqua" w:eastAsia="Book Antiqua" w:hAnsi="Book Antiqua" w:cs="Book Antiqua"/>
          <w:color w:val="0070C0"/>
          <w:sz w:val="26"/>
          <w:szCs w:val="26"/>
        </w:rPr>
        <w:t xml:space="preserve"> </w:t>
      </w:r>
      <w:r w:rsidRPr="002E6D3D">
        <w:rPr>
          <w:rFonts w:ascii="Book Antiqua" w:eastAsia="Book Antiqua" w:hAnsi="Book Antiqua" w:cs="Book Antiqua"/>
          <w:color w:val="0070C0"/>
          <w:sz w:val="26"/>
          <w:szCs w:val="26"/>
        </w:rPr>
        <w:t xml:space="preserve">Il a enregistré une </w:t>
      </w:r>
      <w:r w:rsidR="002E6D3D" w:rsidRPr="002E6D3D">
        <w:rPr>
          <w:rFonts w:ascii="Book Antiqua" w:eastAsia="Book Antiqua" w:hAnsi="Book Antiqua" w:cs="Book Antiqua"/>
          <w:color w:val="0070C0"/>
          <w:sz w:val="26"/>
          <w:szCs w:val="26"/>
        </w:rPr>
        <w:t>hausse parmi les femmes, de</w:t>
      </w:r>
      <w:r w:rsidRPr="002E6D3D">
        <w:rPr>
          <w:rFonts w:ascii="Book Antiqua" w:eastAsia="Book Antiqua" w:hAnsi="Book Antiqua" w:cs="Book Antiqua"/>
          <w:color w:val="0070C0"/>
          <w:sz w:val="26"/>
          <w:szCs w:val="26"/>
        </w:rPr>
        <w:t xml:space="preserve"> 1</w:t>
      </w:r>
      <w:r w:rsidR="002E6D3D" w:rsidRPr="002E6D3D">
        <w:rPr>
          <w:rFonts w:ascii="Book Antiqua" w:eastAsia="Book Antiqua" w:hAnsi="Book Antiqua" w:cs="Book Antiqua"/>
          <w:color w:val="0070C0"/>
          <w:sz w:val="26"/>
          <w:szCs w:val="26"/>
        </w:rPr>
        <w:t>6</w:t>
      </w:r>
      <w:r w:rsidRPr="002E6D3D">
        <w:rPr>
          <w:rFonts w:ascii="Book Antiqua" w:eastAsia="Book Antiqua" w:hAnsi="Book Antiqua" w:cs="Book Antiqua"/>
          <w:color w:val="0070C0"/>
          <w:sz w:val="26"/>
          <w:szCs w:val="26"/>
        </w:rPr>
        <w:t>,5%</w:t>
      </w:r>
      <w:r w:rsidR="002E6D3D" w:rsidRPr="002E6D3D">
        <w:rPr>
          <w:rFonts w:ascii="Book Antiqua" w:eastAsia="Book Antiqua" w:hAnsi="Book Antiqua" w:cs="Book Antiqua"/>
          <w:color w:val="0070C0"/>
          <w:sz w:val="26"/>
          <w:szCs w:val="26"/>
        </w:rPr>
        <w:t xml:space="preserve"> à 17,8%</w:t>
      </w:r>
      <w:r w:rsidRPr="002E6D3D">
        <w:rPr>
          <w:rFonts w:ascii="Book Antiqua" w:eastAsia="Book Antiqua" w:hAnsi="Book Antiqua" w:cs="Book Antiqua"/>
          <w:color w:val="0070C0"/>
          <w:sz w:val="26"/>
          <w:szCs w:val="26"/>
        </w:rPr>
        <w:t>,</w:t>
      </w:r>
      <w:r w:rsidRPr="00AC0A5D">
        <w:rPr>
          <w:rFonts w:ascii="Book Antiqua" w:eastAsia="Book Antiqua" w:hAnsi="Book Antiqua" w:cs="Book Antiqua"/>
          <w:color w:val="0070C0"/>
          <w:sz w:val="26"/>
          <w:szCs w:val="26"/>
        </w:rPr>
        <w:t xml:space="preserve"> parmi les jeunes âgés de 15 à 24 ans, de </w:t>
      </w:r>
      <w:r w:rsidR="002E6D3D" w:rsidRPr="00AC0A5D">
        <w:rPr>
          <w:rFonts w:ascii="Book Antiqua" w:eastAsia="Book Antiqua" w:hAnsi="Book Antiqua" w:cs="Book Antiqua"/>
          <w:color w:val="0070C0"/>
          <w:sz w:val="26"/>
          <w:szCs w:val="26"/>
        </w:rPr>
        <w:t>31,0</w:t>
      </w:r>
      <w:r w:rsidRPr="00AC0A5D">
        <w:rPr>
          <w:rFonts w:ascii="Book Antiqua" w:eastAsia="Book Antiqua" w:hAnsi="Book Antiqua" w:cs="Book Antiqua"/>
          <w:color w:val="0070C0"/>
          <w:sz w:val="26"/>
          <w:szCs w:val="26"/>
        </w:rPr>
        <w:t>% à 3</w:t>
      </w:r>
      <w:r w:rsidR="002E6D3D" w:rsidRPr="00AC0A5D">
        <w:rPr>
          <w:rFonts w:ascii="Book Antiqua" w:eastAsia="Book Antiqua" w:hAnsi="Book Antiqua" w:cs="Book Antiqua"/>
          <w:color w:val="0070C0"/>
          <w:sz w:val="26"/>
          <w:szCs w:val="26"/>
        </w:rPr>
        <w:t>1</w:t>
      </w:r>
      <w:r w:rsidRPr="00AC0A5D">
        <w:rPr>
          <w:rFonts w:ascii="Book Antiqua" w:eastAsia="Book Antiqua" w:hAnsi="Book Antiqua" w:cs="Book Antiqua"/>
          <w:color w:val="0070C0"/>
          <w:sz w:val="26"/>
          <w:szCs w:val="26"/>
        </w:rPr>
        <w:t>,</w:t>
      </w:r>
      <w:r w:rsidR="002E6D3D" w:rsidRPr="00AC0A5D">
        <w:rPr>
          <w:rFonts w:ascii="Book Antiqua" w:eastAsia="Book Antiqua" w:hAnsi="Book Antiqua" w:cs="Book Antiqua"/>
          <w:color w:val="0070C0"/>
          <w:sz w:val="26"/>
          <w:szCs w:val="26"/>
        </w:rPr>
        <w:t>7</w:t>
      </w:r>
      <w:r w:rsidRPr="00AC0A5D">
        <w:rPr>
          <w:rFonts w:ascii="Book Antiqua" w:eastAsia="Book Antiqua" w:hAnsi="Book Antiqua" w:cs="Book Antiqua"/>
          <w:color w:val="0070C0"/>
          <w:sz w:val="26"/>
          <w:szCs w:val="26"/>
        </w:rPr>
        <w:t xml:space="preserve">%, et </w:t>
      </w:r>
      <w:r w:rsidR="00EE5B8A">
        <w:rPr>
          <w:rFonts w:ascii="Book Antiqua" w:eastAsia="Book Antiqua" w:hAnsi="Book Antiqua" w:cs="Book Antiqua"/>
          <w:color w:val="0070C0"/>
          <w:sz w:val="26"/>
          <w:szCs w:val="26"/>
        </w:rPr>
        <w:t xml:space="preserve">une baisse </w:t>
      </w:r>
      <w:r w:rsidRPr="00AC0A5D">
        <w:rPr>
          <w:rFonts w:ascii="Book Antiqua" w:eastAsia="Book Antiqua" w:hAnsi="Book Antiqua" w:cs="Book Antiqua"/>
          <w:color w:val="0070C0"/>
          <w:sz w:val="26"/>
          <w:szCs w:val="26"/>
        </w:rPr>
        <w:t xml:space="preserve">parmi les diplômés, de </w:t>
      </w:r>
      <w:r w:rsidR="002E6D3D" w:rsidRPr="00AC0A5D">
        <w:rPr>
          <w:rFonts w:ascii="Book Antiqua" w:eastAsia="Book Antiqua" w:hAnsi="Book Antiqua" w:cs="Book Antiqua"/>
          <w:color w:val="0070C0"/>
          <w:sz w:val="26"/>
          <w:szCs w:val="26"/>
        </w:rPr>
        <w:t>18,7</w:t>
      </w:r>
      <w:r w:rsidRPr="00AC0A5D">
        <w:rPr>
          <w:rFonts w:ascii="Book Antiqua" w:eastAsia="Book Antiqua" w:hAnsi="Book Antiqua" w:cs="Book Antiqua"/>
          <w:color w:val="0070C0"/>
          <w:sz w:val="26"/>
          <w:szCs w:val="26"/>
        </w:rPr>
        <w:t>% à 1</w:t>
      </w:r>
      <w:r w:rsidR="002E6D3D" w:rsidRPr="00AC0A5D">
        <w:rPr>
          <w:rFonts w:ascii="Book Antiqua" w:eastAsia="Book Antiqua" w:hAnsi="Book Antiqua" w:cs="Book Antiqua"/>
          <w:color w:val="0070C0"/>
          <w:sz w:val="26"/>
          <w:szCs w:val="26"/>
        </w:rPr>
        <w:t>7</w:t>
      </w:r>
      <w:r w:rsidRPr="00AC0A5D">
        <w:rPr>
          <w:rFonts w:ascii="Book Antiqua" w:eastAsia="Book Antiqua" w:hAnsi="Book Antiqua" w:cs="Book Antiqua"/>
          <w:color w:val="0070C0"/>
          <w:sz w:val="26"/>
          <w:szCs w:val="26"/>
        </w:rPr>
        <w:t>,</w:t>
      </w:r>
      <w:r w:rsidR="002E6D3D" w:rsidRPr="00AC0A5D">
        <w:rPr>
          <w:rFonts w:ascii="Book Antiqua" w:eastAsia="Book Antiqua" w:hAnsi="Book Antiqua" w:cs="Book Antiqua"/>
          <w:color w:val="0070C0"/>
          <w:sz w:val="26"/>
          <w:szCs w:val="26"/>
        </w:rPr>
        <w:t>7</w:t>
      </w:r>
      <w:r w:rsidRPr="00AC0A5D">
        <w:rPr>
          <w:rFonts w:ascii="Book Antiqua" w:eastAsia="Book Antiqua" w:hAnsi="Book Antiqua" w:cs="Book Antiqua"/>
          <w:color w:val="0070C0"/>
          <w:sz w:val="26"/>
          <w:szCs w:val="26"/>
        </w:rPr>
        <w:t>%.</w:t>
      </w:r>
    </w:p>
    <w:p w:rsidR="00061642" w:rsidRPr="006F4738" w:rsidRDefault="00061642" w:rsidP="00AC0A5D">
      <w:pPr>
        <w:spacing w:before="240" w:after="240" w:line="312" w:lineRule="auto"/>
        <w:jc w:val="both"/>
        <w:rPr>
          <w:rFonts w:ascii="Book Antiqua" w:eastAsia="Book Antiqua" w:hAnsi="Book Antiqua" w:cs="Book Antiqua"/>
          <w:color w:val="0070C0"/>
          <w:sz w:val="26"/>
          <w:szCs w:val="26"/>
        </w:rPr>
      </w:pPr>
      <w:r w:rsidRPr="00AC0A5D">
        <w:rPr>
          <w:rFonts w:ascii="Book Antiqua" w:eastAsia="Book Antiqua" w:hAnsi="Book Antiqua" w:cs="Book Antiqua"/>
          <w:color w:val="0070C0"/>
          <w:sz w:val="26"/>
          <w:szCs w:val="26"/>
        </w:rPr>
        <w:t xml:space="preserve">La population active occupée en situation de sous-emploi a atteint </w:t>
      </w:r>
      <w:r w:rsidR="00AC0A5D" w:rsidRPr="00AC0A5D">
        <w:rPr>
          <w:rFonts w:ascii="Book Antiqua" w:eastAsia="Book Antiqua" w:hAnsi="Book Antiqua" w:cs="Book Antiqua"/>
          <w:color w:val="0070C0"/>
          <w:sz w:val="26"/>
          <w:szCs w:val="26"/>
        </w:rPr>
        <w:t>911</w:t>
      </w:r>
      <w:r w:rsidRPr="00AC0A5D">
        <w:rPr>
          <w:rFonts w:ascii="Book Antiqua" w:eastAsia="Book Antiqua" w:hAnsi="Book Antiqua" w:cs="Book Antiqua"/>
          <w:color w:val="0070C0"/>
          <w:sz w:val="26"/>
          <w:szCs w:val="26"/>
        </w:rPr>
        <w:t>.000</w:t>
      </w:r>
      <w:r w:rsidR="0056284A" w:rsidRPr="00AC0A5D">
        <w:rPr>
          <w:rFonts w:ascii="Book Antiqua" w:eastAsia="Book Antiqua" w:hAnsi="Book Antiqua" w:cs="Book Antiqua"/>
          <w:color w:val="0070C0"/>
          <w:sz w:val="26"/>
          <w:szCs w:val="26"/>
        </w:rPr>
        <w:t xml:space="preserve"> </w:t>
      </w:r>
      <w:r w:rsidRPr="00AC0A5D">
        <w:rPr>
          <w:rFonts w:ascii="Book Antiqua" w:eastAsia="Book Antiqua" w:hAnsi="Book Antiqua" w:cs="Book Antiqua"/>
          <w:color w:val="0070C0"/>
          <w:sz w:val="26"/>
          <w:szCs w:val="26"/>
        </w:rPr>
        <w:t xml:space="preserve">personnes. Le taux de sous-emploi est passé de </w:t>
      </w:r>
      <w:r w:rsidR="00AC0A5D" w:rsidRPr="00AC0A5D">
        <w:rPr>
          <w:rFonts w:ascii="Book Antiqua" w:eastAsia="Book Antiqua" w:hAnsi="Book Antiqua" w:cs="Book Antiqua"/>
          <w:color w:val="0070C0"/>
          <w:sz w:val="26"/>
          <w:szCs w:val="26"/>
        </w:rPr>
        <w:t>9,5</w:t>
      </w:r>
      <w:r w:rsidRPr="00AC0A5D">
        <w:rPr>
          <w:rFonts w:ascii="Book Antiqua" w:eastAsia="Book Antiqua" w:hAnsi="Book Antiqua" w:cs="Book Antiqua"/>
          <w:color w:val="0070C0"/>
          <w:sz w:val="26"/>
          <w:szCs w:val="26"/>
        </w:rPr>
        <w:t xml:space="preserve">% à </w:t>
      </w:r>
      <w:r w:rsidR="00AC0A5D" w:rsidRPr="00AC0A5D">
        <w:rPr>
          <w:rFonts w:ascii="Book Antiqua" w:eastAsia="Book Antiqua" w:hAnsi="Book Antiqua" w:cs="Book Antiqua"/>
          <w:color w:val="0070C0"/>
          <w:sz w:val="26"/>
          <w:szCs w:val="26"/>
        </w:rPr>
        <w:t>8,5</w:t>
      </w:r>
      <w:r w:rsidRPr="00AC0A5D">
        <w:rPr>
          <w:rFonts w:ascii="Book Antiqua" w:eastAsia="Book Antiqua" w:hAnsi="Book Antiqua" w:cs="Book Antiqua"/>
          <w:color w:val="0070C0"/>
          <w:sz w:val="26"/>
          <w:szCs w:val="26"/>
        </w:rPr>
        <w:t>%, au niveau</w:t>
      </w:r>
      <w:r w:rsidR="002E6D3D" w:rsidRPr="00AC0A5D">
        <w:rPr>
          <w:rFonts w:ascii="Book Antiqua" w:eastAsia="Book Antiqua" w:hAnsi="Book Antiqua" w:cs="Book Antiqua"/>
          <w:color w:val="0070C0"/>
          <w:sz w:val="26"/>
          <w:szCs w:val="26"/>
        </w:rPr>
        <w:t xml:space="preserve"> </w:t>
      </w:r>
      <w:r w:rsidRPr="00AC0A5D">
        <w:rPr>
          <w:rFonts w:ascii="Book Antiqua" w:eastAsia="Book Antiqua" w:hAnsi="Book Antiqua" w:cs="Book Antiqua"/>
          <w:color w:val="0070C0"/>
          <w:sz w:val="26"/>
          <w:szCs w:val="26"/>
        </w:rPr>
        <w:t>national, de 8,</w:t>
      </w:r>
      <w:r w:rsidR="00AC0A5D" w:rsidRPr="00AC0A5D">
        <w:rPr>
          <w:rFonts w:ascii="Book Antiqua" w:eastAsia="Book Antiqua" w:hAnsi="Book Antiqua" w:cs="Book Antiqua"/>
          <w:color w:val="0070C0"/>
          <w:sz w:val="26"/>
          <w:szCs w:val="26"/>
        </w:rPr>
        <w:t>6</w:t>
      </w:r>
      <w:r w:rsidRPr="00AC0A5D">
        <w:rPr>
          <w:rFonts w:ascii="Book Antiqua" w:eastAsia="Book Antiqua" w:hAnsi="Book Antiqua" w:cs="Book Antiqua"/>
          <w:color w:val="0070C0"/>
          <w:sz w:val="26"/>
          <w:szCs w:val="26"/>
        </w:rPr>
        <w:t xml:space="preserve">% à </w:t>
      </w:r>
      <w:r w:rsidR="00AC0A5D" w:rsidRPr="00AC0A5D">
        <w:rPr>
          <w:rFonts w:ascii="Book Antiqua" w:eastAsia="Book Antiqua" w:hAnsi="Book Antiqua" w:cs="Book Antiqua"/>
          <w:color w:val="0070C0"/>
          <w:sz w:val="26"/>
          <w:szCs w:val="26"/>
        </w:rPr>
        <w:t>7,5</w:t>
      </w:r>
      <w:r w:rsidRPr="00AC0A5D">
        <w:rPr>
          <w:rFonts w:ascii="Book Antiqua" w:eastAsia="Book Antiqua" w:hAnsi="Book Antiqua" w:cs="Book Antiqua"/>
          <w:color w:val="0070C0"/>
          <w:sz w:val="26"/>
          <w:szCs w:val="26"/>
        </w:rPr>
        <w:t xml:space="preserve">%en milieu urbain et de </w:t>
      </w:r>
      <w:r w:rsidR="00AC0A5D" w:rsidRPr="00AC0A5D">
        <w:rPr>
          <w:rFonts w:ascii="Book Antiqua" w:eastAsia="Book Antiqua" w:hAnsi="Book Antiqua" w:cs="Book Antiqua"/>
          <w:color w:val="0070C0"/>
          <w:sz w:val="26"/>
          <w:szCs w:val="26"/>
        </w:rPr>
        <w:t>10,8</w:t>
      </w:r>
      <w:r w:rsidRPr="00AC0A5D">
        <w:rPr>
          <w:rFonts w:ascii="Book Antiqua" w:eastAsia="Book Antiqua" w:hAnsi="Book Antiqua" w:cs="Book Antiqua"/>
          <w:color w:val="0070C0"/>
          <w:sz w:val="26"/>
          <w:szCs w:val="26"/>
        </w:rPr>
        <w:t>% à 9,</w:t>
      </w:r>
      <w:r w:rsidR="00AC0A5D" w:rsidRPr="00AC0A5D">
        <w:rPr>
          <w:rFonts w:ascii="Book Antiqua" w:eastAsia="Book Antiqua" w:hAnsi="Book Antiqua" w:cs="Book Antiqua"/>
          <w:color w:val="0070C0"/>
          <w:sz w:val="26"/>
          <w:szCs w:val="26"/>
        </w:rPr>
        <w:t>9</w:t>
      </w:r>
      <w:r w:rsidRPr="00AC0A5D">
        <w:rPr>
          <w:rFonts w:ascii="Book Antiqua" w:eastAsia="Book Antiqua" w:hAnsi="Book Antiqua" w:cs="Book Antiqua"/>
          <w:color w:val="0070C0"/>
          <w:sz w:val="26"/>
          <w:szCs w:val="26"/>
        </w:rPr>
        <w:t>% en milieu rural.</w:t>
      </w:r>
    </w:p>
    <w:p w:rsidR="00061642" w:rsidRPr="003D03B0" w:rsidRDefault="00061642" w:rsidP="00AC0A5D">
      <w:pPr>
        <w:spacing w:before="240" w:after="240" w:line="312" w:lineRule="auto"/>
        <w:jc w:val="both"/>
        <w:rPr>
          <w:rFonts w:ascii="Book Antiqua" w:eastAsia="Book Antiqua" w:hAnsi="Book Antiqua" w:cs="Book Antiqua"/>
          <w:b/>
          <w:bCs/>
          <w:color w:val="0070C0"/>
          <w:sz w:val="26"/>
          <w:szCs w:val="26"/>
        </w:rPr>
      </w:pPr>
      <w:r w:rsidRPr="00AC0A5D">
        <w:rPr>
          <w:rFonts w:ascii="Book Antiqua" w:eastAsia="Book Antiqua" w:hAnsi="Book Antiqua" w:cs="Book Antiqua"/>
          <w:color w:val="0070C0"/>
          <w:sz w:val="26"/>
          <w:szCs w:val="26"/>
        </w:rPr>
        <w:br w:type="page"/>
      </w:r>
      <w:r w:rsidRPr="003C56CF">
        <w:rPr>
          <w:rFonts w:ascii="Book Antiqua" w:eastAsia="Book Antiqua" w:hAnsi="Book Antiqua" w:cs="Book Antiqua"/>
          <w:b/>
          <w:bCs/>
          <w:color w:val="0070C0"/>
        </w:rPr>
        <w:lastRenderedPageBreak/>
        <w:t>I.  Activité et emploi</w:t>
      </w:r>
    </w:p>
    <w:p w:rsidR="00061642" w:rsidRPr="00AC0A5D" w:rsidRDefault="00061642" w:rsidP="00061642">
      <w:pPr>
        <w:spacing w:before="240" w:after="240" w:line="312" w:lineRule="auto"/>
        <w:rPr>
          <w:rFonts w:ascii="Book Antiqua" w:eastAsia="Book Antiqua" w:hAnsi="Book Antiqua" w:cs="Book Antiqua"/>
          <w:b/>
          <w:bCs/>
          <w:i/>
          <w:iCs/>
          <w:color w:val="0070C0"/>
          <w:sz w:val="26"/>
          <w:szCs w:val="26"/>
        </w:rPr>
      </w:pPr>
      <w:r w:rsidRPr="00AC0A5D">
        <w:rPr>
          <w:rFonts w:ascii="Book Antiqua" w:eastAsia="Book Antiqua" w:hAnsi="Book Antiqua" w:cs="Book Antiqua"/>
          <w:b/>
          <w:bCs/>
          <w:i/>
          <w:iCs/>
          <w:color w:val="0070C0"/>
          <w:sz w:val="26"/>
          <w:szCs w:val="26"/>
        </w:rPr>
        <w:t>Baisse de</w:t>
      </w:r>
      <w:r w:rsidR="00AC0A5D" w:rsidRPr="00AC0A5D">
        <w:rPr>
          <w:rFonts w:ascii="Book Antiqua" w:eastAsia="Book Antiqua" w:hAnsi="Book Antiqua" w:cs="Book Antiqua"/>
          <w:b/>
          <w:bCs/>
          <w:i/>
          <w:iCs/>
          <w:color w:val="0070C0"/>
          <w:sz w:val="26"/>
          <w:szCs w:val="26"/>
        </w:rPr>
        <w:t xml:space="preserve"> </w:t>
      </w:r>
      <w:r w:rsidRPr="00AC0A5D">
        <w:rPr>
          <w:rFonts w:ascii="Book Antiqua" w:eastAsia="Book Antiqua" w:hAnsi="Book Antiqua" w:cs="Book Antiqua"/>
          <w:b/>
          <w:bCs/>
          <w:i/>
          <w:iCs/>
          <w:color w:val="0070C0"/>
          <w:sz w:val="26"/>
          <w:szCs w:val="26"/>
        </w:rPr>
        <w:t>l’activité et de l’emploi</w:t>
      </w:r>
    </w:p>
    <w:p w:rsidR="00061642" w:rsidRPr="00AC0A5D" w:rsidRDefault="00061642" w:rsidP="00061642">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Entre le troisième trimestre de 2021 et la même période de 2022, le taux d’activité a baissé, au niveau national, de 45,1% à 44%. Il a baissé de 50,3% à 48,1% en milieu rural et</w:t>
      </w:r>
      <w:r w:rsidR="00EE5B8A">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de</w:t>
      </w:r>
      <w:r w:rsidR="00EE5B8A">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42,4% à 41,9% en milieu urbain. L’écart entre hommes et femmes a atteint 50,2 points, avec des taux d’activité respectifs de 69,5% et de 19,3%.</w:t>
      </w:r>
    </w:p>
    <w:p w:rsidR="00061642" w:rsidRPr="00E871CE" w:rsidRDefault="00EE5B8A" w:rsidP="00EE5B8A">
      <w:pPr>
        <w:spacing w:before="240" w:after="240" w:line="312" w:lineRule="auto"/>
        <w:jc w:val="center"/>
        <w:rPr>
          <w:rFonts w:ascii="Book Antiqua" w:eastAsia="Book Antiqua" w:hAnsi="Book Antiqua" w:cs="Book Antiqua"/>
          <w:b/>
          <w:color w:val="0070C0"/>
          <w:sz w:val="20"/>
          <w:szCs w:val="20"/>
        </w:rPr>
      </w:pPr>
      <w:r w:rsidRPr="00E871CE">
        <w:rPr>
          <w:rFonts w:ascii="Book Antiqua" w:eastAsia="Book Antiqua" w:hAnsi="Book Antiqua" w:cs="Book Antiqua"/>
          <w:b/>
          <w:color w:val="0070C0"/>
          <w:sz w:val="20"/>
          <w:szCs w:val="20"/>
        </w:rPr>
        <w:t xml:space="preserve">Graphique </w:t>
      </w:r>
      <w:r w:rsidR="00061642" w:rsidRPr="00E871CE">
        <w:rPr>
          <w:rFonts w:ascii="Book Antiqua" w:eastAsia="Book Antiqua" w:hAnsi="Book Antiqua" w:cs="Book Antiqua"/>
          <w:b/>
          <w:color w:val="0070C0"/>
          <w:sz w:val="20"/>
          <w:szCs w:val="20"/>
        </w:rPr>
        <w:t>1 : Evolution du taux d’activité</w:t>
      </w:r>
      <w:r w:rsidR="002C5DF4">
        <w:rPr>
          <w:rFonts w:ascii="Book Antiqua" w:eastAsia="Book Antiqua" w:hAnsi="Book Antiqua" w:cs="Book Antiqua"/>
          <w:b/>
          <w:color w:val="0070C0"/>
          <w:sz w:val="20"/>
          <w:szCs w:val="20"/>
        </w:rPr>
        <w:t xml:space="preserve"> selon le milieu de résidence </w:t>
      </w:r>
      <w:r w:rsidR="00061642" w:rsidRPr="00E871CE">
        <w:rPr>
          <w:rFonts w:ascii="Book Antiqua" w:eastAsia="Book Antiqua" w:hAnsi="Book Antiqua" w:cs="Book Antiqua"/>
          <w:b/>
          <w:color w:val="0070C0"/>
          <w:sz w:val="20"/>
          <w:szCs w:val="20"/>
        </w:rPr>
        <w:t xml:space="preserve"> aux troisièmes trimes</w:t>
      </w:r>
      <w:r w:rsidR="00E871CE">
        <w:rPr>
          <w:rFonts w:ascii="Book Antiqua" w:eastAsia="Book Antiqua" w:hAnsi="Book Antiqua" w:cs="Book Antiqua"/>
          <w:b/>
          <w:color w:val="0070C0"/>
          <w:sz w:val="20"/>
          <w:szCs w:val="20"/>
        </w:rPr>
        <w:t>tres depuis l’année 2017 (en %)</w:t>
      </w:r>
    </w:p>
    <w:p w:rsidR="00061642" w:rsidRPr="00AC0A5D" w:rsidRDefault="00061642" w:rsidP="00061642">
      <w:pPr>
        <w:spacing w:before="240" w:after="240" w:line="312" w:lineRule="auto"/>
        <w:jc w:val="both"/>
        <w:rPr>
          <w:rFonts w:ascii="Book Antiqua" w:eastAsia="Book Antiqua" w:hAnsi="Book Antiqua" w:cs="Book Antiqua"/>
          <w:b/>
          <w:color w:val="0070C0"/>
          <w:sz w:val="20"/>
          <w:szCs w:val="20"/>
        </w:rPr>
      </w:pPr>
      <w:r w:rsidRPr="00AC0A5D">
        <w:rPr>
          <w:rFonts w:ascii="Book Antiqua" w:eastAsia="Book Antiqua" w:hAnsi="Book Antiqua" w:cs="Book Antiqua"/>
          <w:b/>
          <w:noProof/>
          <w:color w:val="0070C0"/>
          <w:sz w:val="20"/>
          <w:szCs w:val="20"/>
          <w:lang w:eastAsia="fr-FR"/>
        </w:rPr>
        <w:drawing>
          <wp:inline distT="0" distB="0" distL="0" distR="0">
            <wp:extent cx="5915025" cy="2438400"/>
            <wp:effectExtent l="0" t="0" r="0" b="0"/>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1642" w:rsidRPr="00AC0A5D" w:rsidRDefault="00061642" w:rsidP="00061642">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De son côté, le taux d’emploi a baissé de 39,8% à 39% au niveau national. Ce taux a connu une légère hausse de 0,1 point en milieu urbain (de 35,6% à 35,7%)</w:t>
      </w:r>
      <w:r w:rsidRPr="00AC0A5D">
        <w:rPr>
          <w:rFonts w:ascii="Book Antiqua" w:eastAsia="Book Antiqua" w:hAnsi="Book Antiqua" w:cs="Times New Roman"/>
          <w:sz w:val="24"/>
          <w:szCs w:val="24"/>
        </w:rPr>
        <w:t>, alors qu’il a perdu</w:t>
      </w:r>
      <w:r w:rsidRPr="00AC0A5D">
        <w:rPr>
          <w:rFonts w:ascii="Book Antiqua" w:eastAsia="Book Antiqua" w:hAnsi="Book Antiqua" w:cs="Book Antiqua"/>
          <w:sz w:val="24"/>
          <w:szCs w:val="24"/>
        </w:rPr>
        <w:t xml:space="preserve"> 2,2 points en milieu rural (de 47,7% à 45,5%). L'écart entre hommes et femmes a atteint 47 points avec des taux d'emploi respectifs de 62,9% et de 15,9%.</w:t>
      </w:r>
      <w:r w:rsidR="00EE5B8A">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Ces taux étaient de 63,1% et de 17,1%, une année auparavant.</w:t>
      </w:r>
    </w:p>
    <w:p w:rsidR="00061642" w:rsidRPr="00AC0A5D" w:rsidRDefault="00061642" w:rsidP="00061642">
      <w:pPr>
        <w:spacing w:before="240" w:after="240" w:line="312" w:lineRule="auto"/>
        <w:jc w:val="both"/>
        <w:rPr>
          <w:rFonts w:ascii="Book Antiqua" w:eastAsia="Book Antiqua" w:hAnsi="Book Antiqua" w:cs="Book Antiqua"/>
          <w:b/>
          <w:bCs/>
          <w:i/>
          <w:iCs/>
          <w:color w:val="0070C0"/>
          <w:sz w:val="26"/>
          <w:szCs w:val="26"/>
        </w:rPr>
      </w:pPr>
      <w:r w:rsidRPr="00AC0A5D">
        <w:rPr>
          <w:rFonts w:ascii="Book Antiqua" w:eastAsia="Book Antiqua" w:hAnsi="Book Antiqua" w:cs="Book Antiqua"/>
          <w:b/>
          <w:bCs/>
          <w:i/>
          <w:iCs/>
          <w:color w:val="0070C0"/>
          <w:sz w:val="26"/>
          <w:szCs w:val="26"/>
        </w:rPr>
        <w:t>Perte de postes d’emploi, essentiellement de type non rémunérés</w:t>
      </w:r>
    </w:p>
    <w:p w:rsidR="00061642" w:rsidRPr="00AC0A5D" w:rsidRDefault="00061642" w:rsidP="00EE5B8A">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Le volume de l’emploi a baissé de 58.000</w:t>
      </w:r>
      <w:r w:rsidR="00EE5B8A">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postes</w:t>
      </w:r>
      <w:r w:rsidR="00795A99">
        <w:rPr>
          <w:rFonts w:ascii="Book Antiqua" w:eastAsia="Book Antiqua" w:hAnsi="Book Antiqua" w:cs="Book Antiqua"/>
          <w:sz w:val="24"/>
          <w:szCs w:val="24"/>
        </w:rPr>
        <w:t xml:space="preserve"> au troisième trimestre de 2022</w:t>
      </w:r>
      <w:r w:rsidRPr="00AC0A5D">
        <w:rPr>
          <w:rFonts w:ascii="Book Antiqua" w:eastAsia="Book Antiqua" w:hAnsi="Book Antiqua" w:cs="Book Antiqua"/>
          <w:sz w:val="24"/>
          <w:szCs w:val="24"/>
        </w:rPr>
        <w:t xml:space="preserve">, suite à une perte de 194.000 postes en milieu rural et une création de 136.000 postes en milieu urbain. Par type d’emploi, 210.000 emplois non rémunérés ont été perdus, résultat d’une perte de 212.000 en milieu rural et une création de 2.000 en milieu urbain. L’emploi rémunéré s’est accru de 152.000 postes, conséquence d'une création </w:t>
      </w:r>
      <w:r w:rsidR="00EE5B8A" w:rsidRPr="00AC0A5D">
        <w:rPr>
          <w:rFonts w:ascii="Book Antiqua" w:eastAsia="Book Antiqua" w:hAnsi="Book Antiqua" w:cs="Book Antiqua"/>
          <w:sz w:val="24"/>
          <w:szCs w:val="24"/>
        </w:rPr>
        <w:t xml:space="preserve">de 134.000 emplois en zones urbaines </w:t>
      </w:r>
      <w:r w:rsidR="00EE5B8A">
        <w:rPr>
          <w:rFonts w:ascii="Book Antiqua" w:eastAsia="Book Antiqua" w:hAnsi="Book Antiqua" w:cs="Book Antiqua"/>
          <w:sz w:val="24"/>
          <w:szCs w:val="24"/>
        </w:rPr>
        <w:t>et de 18.000 en zones rurales.</w:t>
      </w:r>
    </w:p>
    <w:p w:rsidR="00EE5B8A" w:rsidRDefault="00EE5B8A">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061642" w:rsidRPr="00AC0A5D" w:rsidRDefault="00EE5B8A" w:rsidP="00EE5B8A">
      <w:pPr>
        <w:spacing w:before="240" w:after="240" w:line="312"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Graphique</w:t>
      </w:r>
      <w:r w:rsidR="00061642" w:rsidRPr="00AC0A5D">
        <w:rPr>
          <w:rFonts w:ascii="Book Antiqua" w:eastAsia="Book Antiqua" w:hAnsi="Book Antiqua" w:cs="Book Antiqua"/>
          <w:b/>
          <w:color w:val="0070C0"/>
          <w:sz w:val="20"/>
          <w:szCs w:val="20"/>
        </w:rPr>
        <w:t xml:space="preserve"> 2 : Variation nette d’emploi entre le troisième trimestre de 2021 et celui de 2022 selon le type d’emploi et  le milieu de résidence</w:t>
      </w:r>
    </w:p>
    <w:p w:rsidR="00061642" w:rsidRPr="00AC0A5D" w:rsidRDefault="00061642" w:rsidP="00061642">
      <w:pPr>
        <w:spacing w:before="240" w:after="240" w:line="312" w:lineRule="auto"/>
        <w:jc w:val="center"/>
        <w:rPr>
          <w:rFonts w:ascii="Book Antiqua" w:eastAsia="Book Antiqua" w:hAnsi="Book Antiqua" w:cs="Book Antiqua"/>
          <w:b/>
          <w:color w:val="0070C0"/>
          <w:sz w:val="20"/>
          <w:szCs w:val="20"/>
        </w:rPr>
      </w:pPr>
      <w:r w:rsidRPr="00AC0A5D">
        <w:rPr>
          <w:rFonts w:ascii="Book Antiqua" w:eastAsia="Book Antiqua" w:hAnsi="Book Antiqua" w:cs="Book Antiqua"/>
          <w:b/>
          <w:noProof/>
          <w:color w:val="0070C0"/>
          <w:sz w:val="20"/>
          <w:szCs w:val="20"/>
          <w:lang w:eastAsia="fr-FR"/>
        </w:rPr>
        <w:drawing>
          <wp:inline distT="0" distB="0" distL="0" distR="0">
            <wp:extent cx="5733415" cy="2010901"/>
            <wp:effectExtent l="0" t="0" r="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1642" w:rsidRPr="00AC0A5D" w:rsidRDefault="00061642" w:rsidP="00061642">
      <w:pPr>
        <w:spacing w:before="240" w:after="240" w:line="312" w:lineRule="auto"/>
        <w:jc w:val="center"/>
        <w:rPr>
          <w:rFonts w:ascii="Book Antiqua" w:eastAsia="Book Antiqua" w:hAnsi="Book Antiqua" w:cs="Book Antiqua"/>
          <w:b/>
          <w:color w:val="0070C0"/>
          <w:sz w:val="20"/>
          <w:szCs w:val="20"/>
        </w:rPr>
      </w:pPr>
    </w:p>
    <w:p w:rsidR="00061642" w:rsidRPr="00AC0A5D" w:rsidRDefault="00270C80" w:rsidP="00270C80">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Perte</w:t>
      </w:r>
      <w:r w:rsidR="00061642" w:rsidRPr="00AC0A5D">
        <w:rPr>
          <w:rFonts w:ascii="Book Antiqua" w:eastAsia="Book Antiqua" w:hAnsi="Book Antiqua" w:cs="Book Antiqua"/>
          <w:b/>
          <w:bCs/>
          <w:i/>
          <w:iCs/>
          <w:color w:val="0070C0"/>
          <w:sz w:val="26"/>
          <w:szCs w:val="26"/>
        </w:rPr>
        <w:t xml:space="preserve"> de l’emploi dan</w:t>
      </w:r>
      <w:r w:rsidR="00EE5B8A">
        <w:rPr>
          <w:rFonts w:ascii="Book Antiqua" w:eastAsia="Book Antiqua" w:hAnsi="Book Antiqua" w:cs="Book Antiqua"/>
          <w:b/>
          <w:bCs/>
          <w:i/>
          <w:iCs/>
          <w:color w:val="0070C0"/>
          <w:sz w:val="26"/>
          <w:szCs w:val="26"/>
        </w:rPr>
        <w:t>s l’agriculture</w:t>
      </w:r>
      <w:r w:rsidR="00E45905">
        <w:rPr>
          <w:rFonts w:ascii="Book Antiqua" w:eastAsia="Book Antiqua" w:hAnsi="Book Antiqua" w:cs="Book Antiqua"/>
          <w:b/>
          <w:bCs/>
          <w:i/>
          <w:iCs/>
          <w:color w:val="0070C0"/>
          <w:sz w:val="26"/>
          <w:szCs w:val="26"/>
        </w:rPr>
        <w:t xml:space="preserve">, </w:t>
      </w:r>
      <w:r w:rsidR="00EE5B8A">
        <w:rPr>
          <w:rFonts w:ascii="Book Antiqua" w:eastAsia="Book Antiqua" w:hAnsi="Book Antiqua" w:cs="Book Antiqua"/>
          <w:b/>
          <w:bCs/>
          <w:i/>
          <w:iCs/>
          <w:color w:val="0070C0"/>
          <w:sz w:val="26"/>
          <w:szCs w:val="26"/>
        </w:rPr>
        <w:t xml:space="preserve">forêt et pêche et les </w:t>
      </w:r>
      <w:r w:rsidR="00061642" w:rsidRPr="00AC0A5D">
        <w:rPr>
          <w:rFonts w:ascii="Book Antiqua" w:eastAsia="Book Antiqua" w:hAnsi="Book Antiqua" w:cs="Book Antiqua"/>
          <w:b/>
          <w:bCs/>
          <w:i/>
          <w:iCs/>
          <w:color w:val="0070C0"/>
          <w:sz w:val="26"/>
          <w:szCs w:val="26"/>
        </w:rPr>
        <w:t xml:space="preserve">BTP contre </w:t>
      </w:r>
      <w:r>
        <w:rPr>
          <w:rFonts w:ascii="Book Antiqua" w:eastAsia="Book Antiqua" w:hAnsi="Book Antiqua" w:cs="Book Antiqua"/>
          <w:b/>
          <w:bCs/>
          <w:i/>
          <w:iCs/>
          <w:color w:val="0070C0"/>
          <w:sz w:val="26"/>
          <w:szCs w:val="26"/>
        </w:rPr>
        <w:t>création</w:t>
      </w:r>
      <w:r w:rsidR="00061642" w:rsidRPr="00AC0A5D">
        <w:rPr>
          <w:rFonts w:ascii="Book Antiqua" w:eastAsia="Book Antiqua" w:hAnsi="Book Antiqua" w:cs="Book Antiqua"/>
          <w:b/>
          <w:bCs/>
          <w:i/>
          <w:iCs/>
          <w:color w:val="0070C0"/>
          <w:sz w:val="26"/>
          <w:szCs w:val="26"/>
        </w:rPr>
        <w:t xml:space="preserve"> d</w:t>
      </w:r>
      <w:r w:rsidR="00EE5B8A">
        <w:rPr>
          <w:rFonts w:ascii="Book Antiqua" w:eastAsia="Book Antiqua" w:hAnsi="Book Antiqua" w:cs="Book Antiqua"/>
          <w:b/>
          <w:bCs/>
          <w:i/>
          <w:iCs/>
          <w:color w:val="0070C0"/>
          <w:sz w:val="26"/>
          <w:szCs w:val="26"/>
        </w:rPr>
        <w:t>ans les services et l’industrie</w:t>
      </w:r>
    </w:p>
    <w:p w:rsidR="00061642" w:rsidRPr="00AC0A5D" w:rsidRDefault="00061642" w:rsidP="00EE5B8A">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Entre le troisième trimestre de 2021 et celui de 2022, le secteur de l’"agriculture forêt et pêche" a perdu 237.000 postes d'emploi (-7%), résultat d’une baisse de 233.000 en milieu rural et de 4.000 en milieu urbain.</w:t>
      </w:r>
    </w:p>
    <w:p w:rsidR="00061642" w:rsidRPr="00AC0A5D" w:rsidRDefault="00061642" w:rsidP="00061642">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 xml:space="preserve">Le secteur des BTP a perdu 38.000 postes, 34.000 en milieu rural et 4.000 en milieu urbain, ce qui correspond à une baisse de 3% du volume de l'emploi dans ce secteur. </w:t>
      </w:r>
    </w:p>
    <w:p w:rsidR="00061642" w:rsidRPr="00AC0A5D" w:rsidRDefault="00061642" w:rsidP="00061642">
      <w:pPr>
        <w:spacing w:before="240" w:after="240" w:line="312" w:lineRule="auto"/>
        <w:jc w:val="both"/>
        <w:rPr>
          <w:rFonts w:ascii="Book Antiqua" w:eastAsia="Book Antiqua" w:hAnsi="Book Antiqua" w:cs="Book Antiqua"/>
          <w:sz w:val="24"/>
          <w:szCs w:val="24"/>
        </w:rPr>
      </w:pPr>
      <w:r w:rsidRPr="00AC0A5D">
        <w:rPr>
          <w:rFonts w:ascii="Book Antiqua" w:eastAsia="Book Antiqua" w:hAnsi="Book Antiqua" w:cs="Book Antiqua"/>
          <w:sz w:val="24"/>
          <w:szCs w:val="24"/>
        </w:rPr>
        <w:t xml:space="preserve">Le secteur des "services", quant à lui, a créé 189.000 postes d’emploi au niveau national (151.000 en milieu urbain et 37.000 en milieu rural), enregistrant une hausse de 4% de l’emploi dans ce secteur. </w:t>
      </w:r>
    </w:p>
    <w:p w:rsidR="00061642" w:rsidRPr="00AC0A5D" w:rsidRDefault="00EE5B8A" w:rsidP="00EE5B8A">
      <w:pPr>
        <w:spacing w:before="240" w:after="240" w:line="312" w:lineRule="auto"/>
        <w:jc w:val="both"/>
        <w:rPr>
          <w:rFonts w:ascii="Book Antiqua" w:eastAsia="Book Antiqua" w:hAnsi="Book Antiqua" w:cs="Book Antiqua"/>
          <w:sz w:val="24"/>
          <w:szCs w:val="24"/>
        </w:rPr>
      </w:pPr>
      <w:r>
        <w:rPr>
          <w:rFonts w:ascii="Book Antiqua" w:eastAsia="Book Antiqua" w:hAnsi="Book Antiqua" w:cs="Book Antiqua"/>
          <w:sz w:val="24"/>
          <w:szCs w:val="24"/>
        </w:rPr>
        <w:t>Le secteur de "l’industrie</w:t>
      </w:r>
      <w:r w:rsidR="00061642" w:rsidRPr="00AC0A5D">
        <w:rPr>
          <w:rFonts w:ascii="Book Antiqua" w:eastAsia="Book Antiqua" w:hAnsi="Book Antiqua" w:cs="Book Antiqua"/>
          <w:sz w:val="24"/>
          <w:szCs w:val="24"/>
        </w:rPr>
        <w:t>" a créé 29.000 postes d’emploi, résultat d’une création de 36.000 postes en milieu rural et d’une baisse de 6.000 en milieu urbain, enregistrant une hausse de 2% du volume d’emploi dans ce secteur.</w:t>
      </w:r>
    </w:p>
    <w:p w:rsidR="00EE5B8A" w:rsidRDefault="00EE5B8A">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061642" w:rsidRDefault="00EE5B8A" w:rsidP="00795A99">
      <w:pPr>
        <w:spacing w:before="240" w:after="240" w:line="312"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lastRenderedPageBreak/>
        <w:t>Graphique</w:t>
      </w:r>
      <w:r w:rsidR="00061642" w:rsidRPr="00AC0A5D">
        <w:rPr>
          <w:rFonts w:ascii="Book Antiqua" w:eastAsia="Book Antiqua" w:hAnsi="Book Antiqua" w:cs="Book Antiqua"/>
          <w:b/>
          <w:color w:val="0070C0"/>
          <w:sz w:val="20"/>
          <w:szCs w:val="20"/>
        </w:rPr>
        <w:t xml:space="preserve"> 3 : Variation nette d’emploi entre le troisième trimestre de 2021 et celui de 2022 par secteur d’activité économique et milieu de résidence</w:t>
      </w:r>
      <w:r>
        <w:rPr>
          <w:rFonts w:ascii="Book Antiqua" w:eastAsia="Book Antiqua" w:hAnsi="Book Antiqua" w:cs="Book Antiqua"/>
          <w:b/>
          <w:color w:val="0070C0"/>
          <w:sz w:val="20"/>
          <w:szCs w:val="20"/>
        </w:rPr>
        <w:t xml:space="preserve"> </w:t>
      </w:r>
    </w:p>
    <w:p w:rsidR="00EC469C" w:rsidRPr="00AC0A5D" w:rsidRDefault="00EC469C" w:rsidP="00EC469C">
      <w:pPr>
        <w:spacing w:before="240" w:after="240" w:line="312" w:lineRule="auto"/>
        <w:rPr>
          <w:rFonts w:ascii="Book Antiqua" w:eastAsia="Book Antiqua" w:hAnsi="Book Antiqua" w:cs="Book Antiqua"/>
          <w:b/>
          <w:color w:val="0070C0"/>
          <w:sz w:val="20"/>
          <w:szCs w:val="20"/>
        </w:rPr>
      </w:pPr>
      <w:r w:rsidRPr="00EC469C">
        <w:rPr>
          <w:rFonts w:ascii="Book Antiqua" w:eastAsia="Book Antiqua" w:hAnsi="Book Antiqua" w:cs="Book Antiqua"/>
          <w:b/>
          <w:noProof/>
          <w:color w:val="0070C0"/>
          <w:sz w:val="20"/>
          <w:szCs w:val="20"/>
          <w:lang w:eastAsia="fr-FR"/>
        </w:rPr>
        <w:drawing>
          <wp:inline distT="0" distB="0" distL="0" distR="0">
            <wp:extent cx="5756745" cy="2361538"/>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469C" w:rsidRDefault="00EC469C" w:rsidP="00E45905">
      <w:pPr>
        <w:spacing w:before="100" w:beforeAutospacing="1" w:after="100" w:afterAutospacing="1" w:line="312" w:lineRule="auto"/>
        <w:jc w:val="both"/>
        <w:rPr>
          <w:rFonts w:ascii="Book Antiqua" w:hAnsi="Book Antiqua" w:cstheme="majorHAnsi"/>
          <w:b/>
          <w:bCs/>
          <w:color w:val="1F3864" w:themeColor="accent1" w:themeShade="80"/>
          <w:spacing w:val="-10"/>
          <w:kern w:val="28"/>
        </w:rPr>
      </w:pPr>
    </w:p>
    <w:p w:rsidR="00AF47AC" w:rsidRPr="00AC0A5D" w:rsidRDefault="00AF47AC" w:rsidP="00AF47AC">
      <w:pPr>
        <w:spacing w:before="100" w:beforeAutospacing="1" w:after="100" w:afterAutospacing="1" w:line="312" w:lineRule="auto"/>
        <w:jc w:val="both"/>
        <w:rPr>
          <w:rFonts w:ascii="Book Antiqua" w:hAnsi="Book Antiqua" w:cstheme="majorHAnsi"/>
          <w:b/>
          <w:bCs/>
          <w:color w:val="1F3864" w:themeColor="accent1" w:themeShade="80"/>
          <w:spacing w:val="-10"/>
          <w:kern w:val="28"/>
        </w:rPr>
      </w:pPr>
      <w:r w:rsidRPr="00AC0A5D">
        <w:rPr>
          <w:rFonts w:ascii="Book Antiqua" w:hAnsi="Book Antiqua" w:cstheme="majorHAnsi"/>
          <w:b/>
          <w:bCs/>
          <w:color w:val="1F3864" w:themeColor="accent1" w:themeShade="80"/>
          <w:spacing w:val="-10"/>
          <w:kern w:val="28"/>
        </w:rPr>
        <w:t>II. Chômage et sous-emploi</w:t>
      </w:r>
    </w:p>
    <w:p w:rsidR="00AF47AC" w:rsidRPr="00AC0A5D" w:rsidRDefault="00AF47AC" w:rsidP="00AF47AC">
      <w:pPr>
        <w:spacing w:before="240" w:after="240" w:line="312" w:lineRule="auto"/>
        <w:jc w:val="both"/>
        <w:rPr>
          <w:rFonts w:ascii="Book Antiqua" w:eastAsia="Book Antiqua" w:hAnsi="Book Antiqua" w:cs="Book Antiqua"/>
          <w:b/>
          <w:bCs/>
          <w:i/>
          <w:iCs/>
          <w:color w:val="0070C0"/>
          <w:sz w:val="26"/>
          <w:szCs w:val="26"/>
        </w:rPr>
      </w:pPr>
      <w:r w:rsidRPr="00AC0A5D">
        <w:rPr>
          <w:rFonts w:ascii="Book Antiqua" w:eastAsia="Book Antiqua" w:hAnsi="Book Antiqua" w:cs="Book Antiqua"/>
          <w:b/>
          <w:bCs/>
          <w:i/>
          <w:iCs/>
          <w:color w:val="0070C0"/>
          <w:sz w:val="26"/>
          <w:szCs w:val="26"/>
        </w:rPr>
        <w:t>Baisse du chômage, principalement en milieu urbain</w:t>
      </w:r>
    </w:p>
    <w:p w:rsidR="00AF47AC" w:rsidRPr="00AC0A5D" w:rsidRDefault="00AF47AC" w:rsidP="00793F4D">
      <w:pPr>
        <w:spacing w:before="240" w:after="240" w:line="312" w:lineRule="auto"/>
        <w:jc w:val="both"/>
        <w:rPr>
          <w:rFonts w:ascii="Book Antiqua" w:hAnsi="Book Antiqua" w:cs="Times New Roman"/>
          <w:sz w:val="24"/>
          <w:szCs w:val="24"/>
        </w:rPr>
      </w:pPr>
      <w:r w:rsidRPr="00AC0A5D">
        <w:rPr>
          <w:rFonts w:ascii="Book Antiqua" w:hAnsi="Book Antiqua" w:cs="Times New Roman"/>
          <w:sz w:val="24"/>
          <w:szCs w:val="24"/>
        </w:rPr>
        <w:t>Entre le troisième trimestre de 2021 et celui de 2022, le nombre de</w:t>
      </w:r>
      <w:r w:rsidR="00EE5B8A">
        <w:rPr>
          <w:rFonts w:ascii="Book Antiqua" w:hAnsi="Book Antiqua" w:cs="Times New Roman"/>
          <w:sz w:val="24"/>
          <w:szCs w:val="24"/>
        </w:rPr>
        <w:t xml:space="preserve"> </w:t>
      </w:r>
      <w:r w:rsidRPr="00AC0A5D">
        <w:rPr>
          <w:rFonts w:ascii="Book Antiqua" w:hAnsi="Book Antiqua" w:cs="Times New Roman"/>
          <w:sz w:val="24"/>
          <w:szCs w:val="24"/>
        </w:rPr>
        <w:t>chômeurs a baissé de 70.000 personnes, passant de 1.447.000 à 1.3</w:t>
      </w:r>
      <w:r w:rsidR="00793F4D">
        <w:rPr>
          <w:rFonts w:ascii="Book Antiqua" w:hAnsi="Book Antiqua" w:cs="Times New Roman"/>
          <w:sz w:val="24"/>
          <w:szCs w:val="24"/>
        </w:rPr>
        <w:t>78</w:t>
      </w:r>
      <w:r w:rsidRPr="00AC0A5D">
        <w:rPr>
          <w:rFonts w:ascii="Book Antiqua" w:hAnsi="Book Antiqua" w:cs="Times New Roman"/>
          <w:sz w:val="24"/>
          <w:szCs w:val="24"/>
        </w:rPr>
        <w:t>.000 chômeurs, ce qui correspond à une baissé de 5%,</w:t>
      </w:r>
      <w:r w:rsidR="00EE5B8A">
        <w:rPr>
          <w:rFonts w:ascii="Book Antiqua" w:hAnsi="Book Antiqua" w:cs="Times New Roman"/>
          <w:sz w:val="24"/>
          <w:szCs w:val="24"/>
        </w:rPr>
        <w:t xml:space="preserve"> </w:t>
      </w:r>
      <w:r w:rsidRPr="00AC0A5D">
        <w:rPr>
          <w:rFonts w:ascii="Book Antiqua" w:hAnsi="Book Antiqua" w:cs="Times New Roman"/>
          <w:sz w:val="24"/>
          <w:szCs w:val="24"/>
        </w:rPr>
        <w:t>résultant d’une diminution de 62.000 chômeurs en milieu urbain et de 8.000 en milieu rural.</w:t>
      </w:r>
    </w:p>
    <w:p w:rsidR="00AF47AC" w:rsidRPr="00AC0A5D" w:rsidRDefault="00AF47AC" w:rsidP="00AF47AC">
      <w:pPr>
        <w:spacing w:before="240" w:after="240" w:line="312" w:lineRule="auto"/>
        <w:jc w:val="both"/>
        <w:rPr>
          <w:rFonts w:ascii="Book Antiqua" w:hAnsi="Book Antiqua" w:cs="Times New Roman"/>
          <w:sz w:val="24"/>
          <w:szCs w:val="24"/>
        </w:rPr>
      </w:pPr>
      <w:r w:rsidRPr="00AC0A5D">
        <w:rPr>
          <w:rFonts w:ascii="Book Antiqua" w:hAnsi="Book Antiqua" w:cs="Times New Roman"/>
          <w:sz w:val="24"/>
          <w:szCs w:val="24"/>
        </w:rPr>
        <w:t>Le taux de chômage est passé, entre les troisièmes trimestres de 2021 et de 2022, de 11,8% à 11,4% (-0,4</w:t>
      </w:r>
      <w:r w:rsidR="00E45905">
        <w:rPr>
          <w:rFonts w:ascii="Book Antiqua" w:hAnsi="Book Antiqua" w:cs="Times New Roman"/>
          <w:sz w:val="24"/>
          <w:szCs w:val="24"/>
        </w:rPr>
        <w:t xml:space="preserve"> </w:t>
      </w:r>
      <w:r w:rsidRPr="00AC0A5D">
        <w:rPr>
          <w:rFonts w:ascii="Book Antiqua" w:hAnsi="Book Antiqua" w:cs="Times New Roman"/>
          <w:sz w:val="24"/>
          <w:szCs w:val="24"/>
        </w:rPr>
        <w:t>point),</w:t>
      </w:r>
      <w:r w:rsidR="00EE5B8A">
        <w:rPr>
          <w:rFonts w:ascii="Book Antiqua" w:hAnsi="Book Antiqua" w:cs="Times New Roman"/>
          <w:sz w:val="24"/>
          <w:szCs w:val="24"/>
        </w:rPr>
        <w:t xml:space="preserve"> </w:t>
      </w:r>
      <w:r w:rsidRPr="00AC0A5D">
        <w:rPr>
          <w:rFonts w:ascii="Book Antiqua" w:hAnsi="Book Antiqua" w:cs="Times New Roman"/>
          <w:sz w:val="24"/>
          <w:szCs w:val="24"/>
        </w:rPr>
        <w:t>de 16 % à 15% en milieu urbain (-1 point</w:t>
      </w:r>
      <w:bookmarkStart w:id="1" w:name="_Hlk94175934"/>
      <w:r w:rsidR="00175477" w:rsidRPr="00AC0A5D">
        <w:rPr>
          <w:rFonts w:ascii="Book Antiqua" w:hAnsi="Book Antiqua" w:cs="Times New Roman"/>
          <w:sz w:val="24"/>
          <w:szCs w:val="24"/>
        </w:rPr>
        <w:t>)</w:t>
      </w:r>
      <w:r w:rsidR="00175477">
        <w:rPr>
          <w:rFonts w:ascii="Book Antiqua" w:hAnsi="Book Antiqua" w:cs="Times New Roman"/>
          <w:sz w:val="24"/>
          <w:szCs w:val="24"/>
        </w:rPr>
        <w:t xml:space="preserve">, </w:t>
      </w:r>
      <w:r w:rsidRPr="00AC0A5D">
        <w:rPr>
          <w:rFonts w:ascii="Book Antiqua" w:hAnsi="Book Antiqua" w:cs="Times New Roman"/>
          <w:sz w:val="24"/>
          <w:szCs w:val="24"/>
          <w:lang w:bidi="tzm-Arab-MA"/>
        </w:rPr>
        <w:t>et</w:t>
      </w:r>
      <w:r w:rsidR="00175477">
        <w:rPr>
          <w:rFonts w:ascii="Book Antiqua" w:hAnsi="Book Antiqua" w:cs="Times New Roman"/>
          <w:sz w:val="24"/>
          <w:szCs w:val="24"/>
          <w:lang w:bidi="tzm-Arab-MA"/>
        </w:rPr>
        <w:t xml:space="preserve"> il</w:t>
      </w:r>
      <w:r w:rsidRPr="00AC0A5D">
        <w:rPr>
          <w:rFonts w:ascii="Book Antiqua" w:hAnsi="Book Antiqua" w:cs="Times New Roman"/>
          <w:sz w:val="24"/>
          <w:szCs w:val="24"/>
          <w:lang w:bidi="tzm-Arab-MA"/>
        </w:rPr>
        <w:t xml:space="preserve"> a stagné à 5,2%</w:t>
      </w:r>
      <w:r w:rsidR="00EE5B8A">
        <w:rPr>
          <w:rFonts w:ascii="Book Antiqua" w:hAnsi="Book Antiqua" w:cs="Times New Roman"/>
          <w:sz w:val="24"/>
          <w:szCs w:val="24"/>
          <w:lang w:bidi="tzm-Arab-MA"/>
        </w:rPr>
        <w:t xml:space="preserve"> </w:t>
      </w:r>
      <w:r w:rsidRPr="00AC0A5D">
        <w:rPr>
          <w:rFonts w:ascii="Book Antiqua" w:hAnsi="Book Antiqua" w:cs="Times New Roman"/>
          <w:sz w:val="24"/>
          <w:szCs w:val="24"/>
        </w:rPr>
        <w:t>en milieu rural.</w:t>
      </w:r>
    </w:p>
    <w:p w:rsidR="00EE5B8A" w:rsidRDefault="00EE5B8A">
      <w:pPr>
        <w:spacing w:line="259" w:lineRule="auto"/>
        <w:rPr>
          <w:rFonts w:ascii="Book Antiqua" w:hAnsi="Book Antiqua" w:cs="Times New Roman"/>
          <w:b/>
          <w:bCs/>
          <w:sz w:val="20"/>
          <w:szCs w:val="20"/>
          <w:highlight w:val="yellow"/>
        </w:rPr>
      </w:pPr>
      <w:bookmarkStart w:id="2" w:name="OLE_LINK1"/>
      <w:bookmarkEnd w:id="1"/>
      <w:r>
        <w:rPr>
          <w:rFonts w:ascii="Book Antiqua" w:hAnsi="Book Antiqua" w:cs="Times New Roman"/>
          <w:b/>
          <w:bCs/>
          <w:sz w:val="20"/>
          <w:szCs w:val="20"/>
          <w:highlight w:val="yellow"/>
        </w:rPr>
        <w:br w:type="page"/>
      </w:r>
    </w:p>
    <w:p w:rsidR="00BF42EB" w:rsidRPr="00E871CE" w:rsidRDefault="00795A99" w:rsidP="00795A99">
      <w:pPr>
        <w:spacing w:before="240" w:after="240" w:line="312" w:lineRule="auto"/>
        <w:jc w:val="center"/>
        <w:rPr>
          <w:rFonts w:ascii="Book Antiqua" w:eastAsia="Book Antiqua" w:hAnsi="Book Antiqua" w:cs="Book Antiqua"/>
          <w:b/>
          <w:color w:val="0070C0"/>
          <w:sz w:val="20"/>
          <w:szCs w:val="20"/>
        </w:rPr>
      </w:pPr>
      <w:r>
        <w:rPr>
          <w:rFonts w:ascii="Book Antiqua" w:hAnsi="Book Antiqua" w:cs="Times New Roman"/>
          <w:b/>
          <w:bCs/>
          <w:color w:val="0070C0"/>
          <w:sz w:val="20"/>
          <w:szCs w:val="20"/>
        </w:rPr>
        <w:lastRenderedPageBreak/>
        <w:t>Graphique 4 :</w:t>
      </w:r>
      <w:r w:rsidR="00AF47AC" w:rsidRPr="00E871CE">
        <w:rPr>
          <w:rFonts w:ascii="Book Antiqua" w:hAnsi="Book Antiqua" w:cs="Times New Roman"/>
          <w:b/>
          <w:bCs/>
          <w:color w:val="0070C0"/>
          <w:sz w:val="20"/>
          <w:szCs w:val="20"/>
        </w:rPr>
        <w:t xml:space="preserve"> Evolution du taux de chômage </w:t>
      </w:r>
      <w:r w:rsidR="002C5DF4">
        <w:rPr>
          <w:rFonts w:ascii="Book Antiqua" w:eastAsia="Book Antiqua" w:hAnsi="Book Antiqua" w:cs="Book Antiqua"/>
          <w:b/>
          <w:color w:val="0070C0"/>
          <w:sz w:val="20"/>
          <w:szCs w:val="20"/>
        </w:rPr>
        <w:t xml:space="preserve">selon le milieu de résidence </w:t>
      </w:r>
      <w:r w:rsidR="00BF42EB" w:rsidRPr="00E871CE">
        <w:rPr>
          <w:rFonts w:ascii="Book Antiqua" w:eastAsia="Book Antiqua" w:hAnsi="Book Antiqua" w:cs="Book Antiqua"/>
          <w:b/>
          <w:color w:val="0070C0"/>
          <w:sz w:val="20"/>
          <w:szCs w:val="20"/>
        </w:rPr>
        <w:t>aux troisièmes trimes</w:t>
      </w:r>
      <w:r w:rsidR="00BF42EB">
        <w:rPr>
          <w:rFonts w:ascii="Book Antiqua" w:eastAsia="Book Antiqua" w:hAnsi="Book Antiqua" w:cs="Book Antiqua"/>
          <w:b/>
          <w:color w:val="0070C0"/>
          <w:sz w:val="20"/>
          <w:szCs w:val="20"/>
        </w:rPr>
        <w:t>tres depuis l’année 2017 (en %)</w:t>
      </w:r>
    </w:p>
    <w:p w:rsidR="00E871CE" w:rsidRPr="00AC0A5D" w:rsidRDefault="00E871CE" w:rsidP="00BF42EB">
      <w:pPr>
        <w:rPr>
          <w:rFonts w:ascii="Book Antiqua" w:hAnsi="Book Antiqua" w:cs="Times New Roman"/>
          <w:b/>
          <w:bCs/>
          <w:sz w:val="20"/>
          <w:szCs w:val="20"/>
        </w:rPr>
      </w:pPr>
      <w:r w:rsidRPr="00E871CE">
        <w:rPr>
          <w:rFonts w:ascii="Book Antiqua" w:hAnsi="Book Antiqua" w:cs="Times New Roman"/>
          <w:b/>
          <w:bCs/>
          <w:noProof/>
          <w:sz w:val="20"/>
          <w:szCs w:val="20"/>
          <w:lang w:eastAsia="fr-FR"/>
        </w:rPr>
        <w:drawing>
          <wp:inline distT="0" distB="0" distL="0" distR="0">
            <wp:extent cx="5760720" cy="2045588"/>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p w:rsidR="00E45905" w:rsidRDefault="00E45905" w:rsidP="00974D7C">
      <w:pPr>
        <w:spacing w:before="240" w:after="240" w:line="312" w:lineRule="auto"/>
        <w:jc w:val="both"/>
        <w:rPr>
          <w:rStyle w:val="Accentuation"/>
          <w:rFonts w:ascii="Arial" w:hAnsi="Arial" w:cs="Arial"/>
          <w:b/>
          <w:bCs/>
          <w:i w:val="0"/>
          <w:iCs w:val="0"/>
          <w:color w:val="5F6368"/>
          <w:sz w:val="18"/>
          <w:szCs w:val="18"/>
          <w:shd w:val="clear" w:color="auto" w:fill="FFFFFF"/>
        </w:rPr>
      </w:pPr>
      <w:r>
        <w:rPr>
          <w:rFonts w:ascii="Book Antiqua" w:hAnsi="Book Antiqua" w:cs="Times New Roman"/>
          <w:sz w:val="24"/>
          <w:szCs w:val="24"/>
        </w:rPr>
        <w:t>Le taux de chômage</w:t>
      </w:r>
      <w:r w:rsidR="00AF47AC" w:rsidRPr="00175477">
        <w:rPr>
          <w:rFonts w:ascii="Book Antiqua" w:hAnsi="Book Antiqua" w:cs="Times New Roman"/>
          <w:sz w:val="24"/>
          <w:szCs w:val="24"/>
        </w:rPr>
        <w:t xml:space="preserve"> a</w:t>
      </w:r>
      <w:r w:rsidR="00175477" w:rsidRPr="00175477">
        <w:rPr>
          <w:rFonts w:ascii="Book Antiqua" w:hAnsi="Book Antiqua" w:cs="Times New Roman"/>
          <w:sz w:val="24"/>
          <w:szCs w:val="24"/>
        </w:rPr>
        <w:t xml:space="preserve"> </w:t>
      </w:r>
      <w:r w:rsidR="00AF47AC" w:rsidRPr="00175477">
        <w:rPr>
          <w:rFonts w:ascii="Book Antiqua" w:hAnsi="Book Antiqua" w:cs="Times New Roman"/>
          <w:sz w:val="24"/>
          <w:szCs w:val="24"/>
        </w:rPr>
        <w:t>baissé de 0,9</w:t>
      </w:r>
      <w:r w:rsidR="0095703D" w:rsidRPr="00175477">
        <w:rPr>
          <w:rFonts w:ascii="Book Antiqua" w:hAnsi="Book Antiqua" w:cs="Times New Roman"/>
          <w:sz w:val="24"/>
          <w:szCs w:val="24"/>
        </w:rPr>
        <w:t xml:space="preserve"> </w:t>
      </w:r>
      <w:r w:rsidR="00AF47AC" w:rsidRPr="00175477">
        <w:rPr>
          <w:rFonts w:ascii="Book Antiqua" w:hAnsi="Book Antiqua" w:cs="Times New Roman"/>
          <w:sz w:val="24"/>
          <w:szCs w:val="24"/>
        </w:rPr>
        <w:t xml:space="preserve">point </w:t>
      </w:r>
      <w:r>
        <w:rPr>
          <w:rFonts w:ascii="Book Antiqua" w:hAnsi="Book Antiqua" w:cs="Times New Roman"/>
          <w:sz w:val="24"/>
          <w:szCs w:val="24"/>
        </w:rPr>
        <w:t>parmi</w:t>
      </w:r>
      <w:r w:rsidR="00AF47AC" w:rsidRPr="00175477">
        <w:rPr>
          <w:rFonts w:ascii="Book Antiqua" w:hAnsi="Book Antiqua" w:cs="Times New Roman"/>
          <w:sz w:val="24"/>
          <w:szCs w:val="24"/>
        </w:rPr>
        <w:t xml:space="preserve"> les hommes, passant de 10,4% à 9,5%, </w:t>
      </w:r>
      <w:r>
        <w:rPr>
          <w:rFonts w:ascii="Book Antiqua" w:hAnsi="Book Antiqua" w:cs="Times New Roman"/>
          <w:sz w:val="24"/>
          <w:szCs w:val="24"/>
        </w:rPr>
        <w:t>contre une augmentation parmi les femmes, passant de 16,5% à 17,8%</w:t>
      </w:r>
      <w:r w:rsidR="00974D7C">
        <w:rPr>
          <w:rFonts w:ascii="Book Antiqua" w:hAnsi="Book Antiqua" w:cs="Times New Roman"/>
          <w:sz w:val="24"/>
          <w:szCs w:val="24"/>
        </w:rPr>
        <w:t>.</w:t>
      </w:r>
      <w:r>
        <w:rPr>
          <w:rFonts w:ascii="Book Antiqua" w:hAnsi="Book Antiqua" w:cs="Times New Roman"/>
          <w:sz w:val="24"/>
          <w:szCs w:val="24"/>
        </w:rPr>
        <w:t xml:space="preserve"> I</w:t>
      </w:r>
      <w:r w:rsidR="00AF47AC" w:rsidRPr="00175477">
        <w:rPr>
          <w:rFonts w:ascii="Book Antiqua" w:hAnsi="Book Antiqua" w:cs="Times New Roman"/>
          <w:sz w:val="24"/>
          <w:szCs w:val="24"/>
        </w:rPr>
        <w:t xml:space="preserve">l a également enregistré </w:t>
      </w:r>
      <w:r w:rsidR="00974D7C">
        <w:rPr>
          <w:rFonts w:ascii="Book Antiqua" w:hAnsi="Book Antiqua" w:cs="Times New Roman"/>
          <w:sz w:val="24"/>
          <w:szCs w:val="24"/>
        </w:rPr>
        <w:t xml:space="preserve">une baisse </w:t>
      </w:r>
      <w:r w:rsidR="00AF47AC" w:rsidRPr="00175477">
        <w:rPr>
          <w:rFonts w:ascii="Book Antiqua" w:hAnsi="Book Antiqua" w:cs="Times New Roman"/>
          <w:sz w:val="24"/>
          <w:szCs w:val="24"/>
        </w:rPr>
        <w:t>parmi les dipl</w:t>
      </w:r>
      <w:r w:rsidR="00974D7C">
        <w:rPr>
          <w:rFonts w:ascii="Book Antiqua" w:hAnsi="Book Antiqua" w:cs="Times New Roman"/>
          <w:sz w:val="24"/>
          <w:szCs w:val="24"/>
        </w:rPr>
        <w:t xml:space="preserve">ômés, passant de 18,7% à 17,7%, </w:t>
      </w:r>
      <w:r w:rsidR="00AF47AC" w:rsidRPr="00175477">
        <w:rPr>
          <w:rFonts w:ascii="Book Antiqua" w:hAnsi="Book Antiqua" w:cs="Times New Roman"/>
          <w:sz w:val="24"/>
          <w:szCs w:val="24"/>
        </w:rPr>
        <w:t>l</w:t>
      </w:r>
      <w:r>
        <w:rPr>
          <w:rFonts w:ascii="Book Antiqua" w:hAnsi="Book Antiqua" w:cs="Times New Roman"/>
          <w:sz w:val="24"/>
          <w:szCs w:val="24"/>
        </w:rPr>
        <w:t>es non diplômés, de 4,4% à 4,1%, les personnes âgées de 45 ans et plus</w:t>
      </w:r>
      <w:r w:rsidR="00AF47AC" w:rsidRPr="00175477">
        <w:rPr>
          <w:rFonts w:ascii="Book Antiqua" w:hAnsi="Book Antiqua" w:cs="Times New Roman"/>
          <w:sz w:val="24"/>
          <w:szCs w:val="24"/>
        </w:rPr>
        <w:t>,</w:t>
      </w:r>
      <w:r w:rsidR="0095703D" w:rsidRPr="00175477">
        <w:rPr>
          <w:rFonts w:ascii="Book Antiqua" w:hAnsi="Book Antiqua" w:cs="Times New Roman"/>
          <w:sz w:val="24"/>
          <w:szCs w:val="24"/>
        </w:rPr>
        <w:t xml:space="preserve"> </w:t>
      </w:r>
      <w:r w:rsidR="00AF47AC" w:rsidRPr="00175477">
        <w:rPr>
          <w:rFonts w:ascii="Book Antiqua" w:hAnsi="Book Antiqua" w:cs="Times New Roman"/>
          <w:sz w:val="24"/>
          <w:szCs w:val="24"/>
        </w:rPr>
        <w:t>de 3,7% à 3,1%</w:t>
      </w:r>
      <w:r w:rsidR="00974D7C">
        <w:rPr>
          <w:rFonts w:ascii="Book Antiqua" w:hAnsi="Book Antiqua" w:cs="Times New Roman"/>
          <w:sz w:val="24"/>
          <w:szCs w:val="24"/>
        </w:rPr>
        <w:t>,</w:t>
      </w:r>
      <w:r w:rsidR="00270C80">
        <w:rPr>
          <w:rFonts w:ascii="Book Antiqua" w:hAnsi="Book Antiqua" w:cs="Times New Roman"/>
          <w:sz w:val="24"/>
          <w:szCs w:val="24"/>
        </w:rPr>
        <w:t xml:space="preserve"> et l</w:t>
      </w:r>
      <w:r w:rsidR="00AF47AC" w:rsidRPr="00175477">
        <w:rPr>
          <w:rFonts w:ascii="Book Antiqua" w:hAnsi="Book Antiqua" w:cs="Times New Roman"/>
          <w:sz w:val="24"/>
          <w:szCs w:val="24"/>
        </w:rPr>
        <w:t>es</w:t>
      </w:r>
      <w:r w:rsidR="00974D7C">
        <w:rPr>
          <w:rFonts w:ascii="Book Antiqua" w:hAnsi="Book Antiqua" w:cs="Times New Roman"/>
          <w:sz w:val="24"/>
          <w:szCs w:val="24"/>
        </w:rPr>
        <w:t xml:space="preserve"> personnes âgées de </w:t>
      </w:r>
      <w:r w:rsidR="00AF47AC" w:rsidRPr="00175477">
        <w:rPr>
          <w:rFonts w:ascii="Book Antiqua" w:hAnsi="Book Antiqua" w:cs="Times New Roman"/>
          <w:sz w:val="24"/>
          <w:szCs w:val="24"/>
        </w:rPr>
        <w:t>25</w:t>
      </w:r>
      <w:r w:rsidR="00974D7C">
        <w:rPr>
          <w:rFonts w:ascii="Book Antiqua" w:hAnsi="Book Antiqua" w:cs="Times New Roman"/>
          <w:sz w:val="24"/>
          <w:szCs w:val="24"/>
        </w:rPr>
        <w:t xml:space="preserve"> à </w:t>
      </w:r>
      <w:r w:rsidR="00AF47AC" w:rsidRPr="00175477">
        <w:rPr>
          <w:rFonts w:ascii="Book Antiqua" w:hAnsi="Book Antiqua" w:cs="Times New Roman"/>
          <w:sz w:val="24"/>
          <w:szCs w:val="24"/>
        </w:rPr>
        <w:t>34 ans</w:t>
      </w:r>
      <w:r>
        <w:rPr>
          <w:rFonts w:ascii="Book Antiqua" w:hAnsi="Book Antiqua" w:cs="Times New Roman"/>
          <w:sz w:val="24"/>
          <w:szCs w:val="24"/>
        </w:rPr>
        <w:t xml:space="preserve">, </w:t>
      </w:r>
      <w:r w:rsidR="00AF47AC" w:rsidRPr="00175477">
        <w:rPr>
          <w:rFonts w:ascii="Book Antiqua" w:hAnsi="Book Antiqua" w:cs="Times New Roman"/>
          <w:sz w:val="24"/>
          <w:szCs w:val="24"/>
        </w:rPr>
        <w:t>de 18,8% à 18,4%.</w:t>
      </w:r>
      <w:r>
        <w:rPr>
          <w:rFonts w:ascii="Book Antiqua" w:hAnsi="Book Antiqua" w:cs="Times New Roman"/>
          <w:sz w:val="24"/>
          <w:szCs w:val="24"/>
        </w:rPr>
        <w:t xml:space="preserve">  Les jeunes âgés de 15 à 24 ans ont</w:t>
      </w:r>
      <w:r w:rsidR="00974D7C">
        <w:rPr>
          <w:rFonts w:ascii="Book Antiqua" w:hAnsi="Book Antiqua" w:cs="Times New Roman"/>
          <w:sz w:val="24"/>
          <w:szCs w:val="24"/>
        </w:rPr>
        <w:t xml:space="preserve">, vu, par contre, </w:t>
      </w:r>
      <w:r>
        <w:rPr>
          <w:rFonts w:ascii="Book Antiqua" w:hAnsi="Book Antiqua" w:cs="Times New Roman"/>
          <w:sz w:val="24"/>
          <w:szCs w:val="24"/>
        </w:rPr>
        <w:t>leur taux de chômage augmenter</w:t>
      </w:r>
      <w:r w:rsidR="00974D7C">
        <w:rPr>
          <w:rFonts w:ascii="Book Antiqua" w:hAnsi="Book Antiqua" w:cs="Times New Roman"/>
          <w:sz w:val="24"/>
          <w:szCs w:val="24"/>
        </w:rPr>
        <w:t>,</w:t>
      </w:r>
      <w:r>
        <w:rPr>
          <w:rFonts w:ascii="Book Antiqua" w:hAnsi="Book Antiqua" w:cs="Times New Roman"/>
          <w:sz w:val="24"/>
          <w:szCs w:val="24"/>
        </w:rPr>
        <w:t xml:space="preserve"> </w:t>
      </w:r>
      <w:r w:rsidR="00974D7C">
        <w:rPr>
          <w:rFonts w:ascii="Book Antiqua" w:hAnsi="Book Antiqua" w:cs="Times New Roman"/>
          <w:sz w:val="24"/>
          <w:szCs w:val="24"/>
        </w:rPr>
        <w:t>passant de</w:t>
      </w:r>
      <w:r>
        <w:rPr>
          <w:rFonts w:ascii="Book Antiqua" w:hAnsi="Book Antiqua" w:cs="Times New Roman"/>
          <w:sz w:val="24"/>
          <w:szCs w:val="24"/>
        </w:rPr>
        <w:t xml:space="preserve"> 31% à 31,7%</w:t>
      </w:r>
      <w:r>
        <w:rPr>
          <w:rStyle w:val="Accentuation"/>
          <w:rFonts w:ascii="Arial" w:hAnsi="Arial" w:cs="Arial"/>
          <w:b/>
          <w:bCs/>
          <w:i w:val="0"/>
          <w:iCs w:val="0"/>
          <w:color w:val="5F6368"/>
          <w:sz w:val="18"/>
          <w:szCs w:val="18"/>
          <w:shd w:val="clear" w:color="auto" w:fill="FFFFFF"/>
        </w:rPr>
        <w:t>.</w:t>
      </w:r>
    </w:p>
    <w:p w:rsidR="00AF47AC" w:rsidRPr="00175477" w:rsidRDefault="00795A99" w:rsidP="00795A99">
      <w:pPr>
        <w:rPr>
          <w:rFonts w:ascii="Book Antiqua" w:hAnsi="Book Antiqua" w:cs="Times New Roman"/>
          <w:b/>
          <w:bCs/>
          <w:color w:val="0070C0"/>
          <w:sz w:val="20"/>
          <w:szCs w:val="20"/>
        </w:rPr>
      </w:pPr>
      <w:bookmarkStart w:id="3" w:name="_Hlk94175903"/>
      <w:r>
        <w:rPr>
          <w:rFonts w:ascii="Book Antiqua" w:hAnsi="Book Antiqua" w:cs="Times New Roman"/>
          <w:b/>
          <w:bCs/>
          <w:color w:val="0070C0"/>
          <w:sz w:val="20"/>
          <w:szCs w:val="20"/>
        </w:rPr>
        <w:t>Graphique 5 :</w:t>
      </w:r>
      <w:r w:rsidR="00AF47AC" w:rsidRPr="00175477">
        <w:rPr>
          <w:rFonts w:ascii="Book Antiqua" w:hAnsi="Book Antiqua" w:cs="Times New Roman"/>
          <w:b/>
          <w:bCs/>
          <w:color w:val="0070C0"/>
          <w:sz w:val="20"/>
          <w:szCs w:val="20"/>
        </w:rPr>
        <w:t xml:space="preserve"> Evolution du taux de chômage entre les troisièmes trimestres de 2021 et de 2022 pour certaines catégories de la population (en %)</w:t>
      </w:r>
    </w:p>
    <w:p w:rsidR="00AF47AC" w:rsidRPr="00AC0A5D" w:rsidRDefault="00AF47AC" w:rsidP="00AF47AC">
      <w:pPr>
        <w:jc w:val="center"/>
        <w:rPr>
          <w:rFonts w:ascii="Book Antiqua" w:eastAsia="Book Antiqua" w:hAnsi="Book Antiqua" w:cs="Book Antiqua"/>
          <w:b/>
          <w:color w:val="0D0D0D" w:themeColor="text1" w:themeTint="F2"/>
          <w:sz w:val="20"/>
          <w:szCs w:val="20"/>
        </w:rPr>
      </w:pPr>
      <w:r w:rsidRPr="00AC0A5D">
        <w:rPr>
          <w:noProof/>
          <w:lang w:eastAsia="fr-FR"/>
        </w:rPr>
        <w:drawing>
          <wp:inline distT="0" distB="0" distL="0" distR="0">
            <wp:extent cx="5760720" cy="268414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5B8A" w:rsidRDefault="00EE5B8A">
      <w:pPr>
        <w:spacing w:line="259" w:lineRule="auto"/>
        <w:rPr>
          <w:rFonts w:ascii="Book Antiqua" w:eastAsia="Book Antiqua" w:hAnsi="Book Antiqua" w:cs="Book Antiqua"/>
          <w:b/>
          <w:bCs/>
          <w:color w:val="8496B0" w:themeColor="text2" w:themeTint="99"/>
          <w:sz w:val="26"/>
          <w:szCs w:val="26"/>
        </w:rPr>
      </w:pPr>
      <w:r>
        <w:rPr>
          <w:rFonts w:ascii="Book Antiqua" w:eastAsia="Book Antiqua" w:hAnsi="Book Antiqua" w:cs="Book Antiqua"/>
          <w:b/>
          <w:bCs/>
          <w:color w:val="8496B0" w:themeColor="text2" w:themeTint="99"/>
          <w:sz w:val="26"/>
          <w:szCs w:val="26"/>
        </w:rPr>
        <w:br w:type="page"/>
      </w:r>
    </w:p>
    <w:p w:rsidR="00AF47AC" w:rsidRPr="0095703D" w:rsidRDefault="00AF47AC" w:rsidP="00AF47AC">
      <w:pPr>
        <w:spacing w:before="240" w:after="240" w:line="312" w:lineRule="auto"/>
        <w:rPr>
          <w:rFonts w:ascii="Book Antiqua" w:eastAsia="Book Antiqua" w:hAnsi="Book Antiqua" w:cs="Book Antiqua"/>
          <w:b/>
          <w:bCs/>
          <w:i/>
          <w:iCs/>
          <w:color w:val="0070C0"/>
          <w:sz w:val="26"/>
          <w:szCs w:val="26"/>
        </w:rPr>
      </w:pPr>
      <w:r w:rsidRPr="0095703D">
        <w:rPr>
          <w:rFonts w:ascii="Book Antiqua" w:eastAsia="Book Antiqua" w:hAnsi="Book Antiqua" w:cs="Book Antiqua"/>
          <w:b/>
          <w:bCs/>
          <w:i/>
          <w:iCs/>
          <w:color w:val="0070C0"/>
          <w:sz w:val="26"/>
          <w:szCs w:val="26"/>
        </w:rPr>
        <w:lastRenderedPageBreak/>
        <w:t>Baisse du sous-emploi</w:t>
      </w:r>
    </w:p>
    <w:bookmarkEnd w:id="3"/>
    <w:p w:rsidR="00AF47AC" w:rsidRPr="00AC0A5D" w:rsidRDefault="00AF47AC" w:rsidP="00AF47AC">
      <w:pPr>
        <w:spacing w:before="240" w:after="240" w:line="312" w:lineRule="auto"/>
        <w:jc w:val="both"/>
        <w:rPr>
          <w:rFonts w:ascii="Book Antiqua" w:eastAsia="Book Antiqua" w:hAnsi="Book Antiqua" w:cs="Book Antiqua"/>
          <w:b/>
          <w:color w:val="0D0D0D" w:themeColor="text1" w:themeTint="F2"/>
          <w:sz w:val="20"/>
          <w:szCs w:val="20"/>
        </w:rPr>
      </w:pPr>
      <w:r w:rsidRPr="00AC0A5D">
        <w:rPr>
          <w:rFonts w:ascii="Book Antiqua" w:eastAsia="Book Antiqua" w:hAnsi="Book Antiqua" w:cs="Book Antiqua"/>
          <w:sz w:val="24"/>
          <w:szCs w:val="24"/>
        </w:rPr>
        <w:t>Le volume du sous-emploi a connu une baisse, durant la même période, de 1.027.000 à 911.000 personnes, de 543.000 à 488.000 dans les villes et de 484.000 à 423.000</w:t>
      </w:r>
      <w:r w:rsidR="00974D7C">
        <w:rPr>
          <w:rFonts w:ascii="Book Antiqua" w:eastAsia="Book Antiqua" w:hAnsi="Book Antiqua" w:cs="Book Antiqua"/>
          <w:sz w:val="24"/>
          <w:szCs w:val="24"/>
        </w:rPr>
        <w:t xml:space="preserve"> </w:t>
      </w:r>
      <w:r w:rsidRPr="00AC0A5D">
        <w:rPr>
          <w:rFonts w:ascii="Book Antiqua" w:eastAsia="Book Antiqua" w:hAnsi="Book Antiqua" w:cs="Book Antiqua"/>
          <w:sz w:val="24"/>
          <w:szCs w:val="24"/>
        </w:rPr>
        <w:t>à la campagne. Le taux de sous-emploi est ainsi passé, au niveau national, de 9,5% à 8,5%, de 8,6% à 7,5% en milieu urbain et de 10,8% à 9,9% en milieu rural</w:t>
      </w:r>
      <w:r w:rsidRPr="00AC0A5D">
        <w:rPr>
          <w:rFonts w:ascii="Book Antiqua" w:eastAsia="Book Antiqua" w:hAnsi="Book Antiqua" w:cs="Book Antiqua"/>
          <w:b/>
          <w:color w:val="0D0D0D" w:themeColor="text1" w:themeTint="F2"/>
          <w:sz w:val="20"/>
          <w:szCs w:val="20"/>
        </w:rPr>
        <w:t>.</w:t>
      </w:r>
    </w:p>
    <w:p w:rsidR="00AF47AC" w:rsidRPr="00175477" w:rsidRDefault="00795A99" w:rsidP="00AF47AC">
      <w:pPr>
        <w:spacing w:line="259" w:lineRule="auto"/>
        <w:jc w:val="center"/>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 xml:space="preserve">Graphique 6 : </w:t>
      </w:r>
      <w:r w:rsidR="00AF47AC" w:rsidRPr="00175477">
        <w:rPr>
          <w:rFonts w:ascii="Book Antiqua" w:eastAsia="Book Antiqua" w:hAnsi="Book Antiqua" w:cs="Book Antiqua"/>
          <w:b/>
          <w:color w:val="0070C0"/>
          <w:sz w:val="20"/>
          <w:szCs w:val="20"/>
        </w:rPr>
        <w:t>Evolution du taux de sous-emploi entre les troisièmes trimestres de 2021 et de 2022 par milieu de résidence (en %)</w:t>
      </w:r>
    </w:p>
    <w:p w:rsidR="00AF47AC" w:rsidRPr="001119A1" w:rsidRDefault="00AF47AC" w:rsidP="00AF47AC">
      <w:pPr>
        <w:spacing w:line="259" w:lineRule="auto"/>
        <w:jc w:val="center"/>
        <w:rPr>
          <w:rFonts w:ascii="Book Antiqua" w:hAnsi="Book Antiqua" w:cs="Times New Roman"/>
          <w:b/>
          <w:bCs/>
          <w:sz w:val="20"/>
          <w:szCs w:val="20"/>
        </w:rPr>
      </w:pPr>
      <w:r>
        <w:rPr>
          <w:noProof/>
          <w:lang w:eastAsia="fr-FR"/>
        </w:rPr>
        <w:drawing>
          <wp:inline distT="0" distB="0" distL="0" distR="0">
            <wp:extent cx="5943600" cy="2400300"/>
            <wp:effectExtent l="0" t="0" r="0" b="0"/>
            <wp:docPr id="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47AC" w:rsidRDefault="00AF47AC" w:rsidP="00061642">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lang w:val="fr-FR"/>
        </w:rPr>
      </w:pPr>
    </w:p>
    <w:p w:rsidR="00061642" w:rsidRPr="00270C80" w:rsidRDefault="00061642" w:rsidP="00061642">
      <w:pPr>
        <w:pStyle w:val="MMTopic2"/>
        <w:numPr>
          <w:ilvl w:val="0"/>
          <w:numId w:val="0"/>
        </w:numPr>
        <w:spacing w:line="360" w:lineRule="auto"/>
        <w:jc w:val="both"/>
        <w:rPr>
          <w:rFonts w:ascii="Book Antiqua" w:eastAsiaTheme="minorHAnsi" w:hAnsi="Book Antiqua" w:cstheme="majorHAnsi"/>
          <w:b/>
          <w:bCs/>
          <w:color w:val="1F3864" w:themeColor="accent1" w:themeShade="80"/>
          <w:spacing w:val="-10"/>
          <w:kern w:val="28"/>
          <w:sz w:val="28"/>
          <w:szCs w:val="28"/>
          <w:lang w:val="fr-FR"/>
        </w:rPr>
      </w:pPr>
      <w:r w:rsidRPr="00270C80">
        <w:rPr>
          <w:rFonts w:ascii="Book Antiqua" w:eastAsiaTheme="minorHAnsi" w:hAnsi="Book Antiqua" w:cstheme="majorHAnsi"/>
          <w:b/>
          <w:bCs/>
          <w:color w:val="1F3864" w:themeColor="accent1" w:themeShade="80"/>
          <w:spacing w:val="-10"/>
          <w:kern w:val="28"/>
          <w:sz w:val="28"/>
          <w:szCs w:val="28"/>
          <w:lang w:val="fr-FR"/>
        </w:rPr>
        <w:t>III. Situation régionale du marché du travail</w:t>
      </w:r>
    </w:p>
    <w:p w:rsidR="00061642" w:rsidRPr="00175477" w:rsidRDefault="00061642" w:rsidP="00175477">
      <w:pPr>
        <w:spacing w:before="240" w:after="240" w:line="312" w:lineRule="auto"/>
        <w:jc w:val="both"/>
        <w:rPr>
          <w:rFonts w:ascii="Book Antiqua" w:eastAsia="Book Antiqua" w:hAnsi="Book Antiqua" w:cs="Book Antiqua"/>
          <w:sz w:val="24"/>
          <w:szCs w:val="24"/>
        </w:rPr>
      </w:pPr>
      <w:r w:rsidRPr="00175477">
        <w:rPr>
          <w:rFonts w:ascii="Book Antiqua" w:eastAsia="Book Antiqua" w:hAnsi="Book Antiqua" w:cs="Book Antiqua"/>
          <w:sz w:val="24"/>
          <w:szCs w:val="24"/>
        </w:rPr>
        <w:t>Cinq régions abritent 73,2% de l’ensemble des actifs âgés de 15 ans et plus. La région de Casablanca-Settat vient en première position avec 22,4% d’actifs, suivie de Rabat-Salé-Kénitra (13,8%), de Marrakech-Safi (13,3%), de Tanger-Tétouan-Al Hoceima (12%) et de Fès-Meknès (11,7%).</w:t>
      </w:r>
    </w:p>
    <w:p w:rsidR="00061642" w:rsidRPr="00175477" w:rsidRDefault="00061642" w:rsidP="00175477">
      <w:pPr>
        <w:spacing w:before="240" w:after="240" w:line="312" w:lineRule="auto"/>
        <w:jc w:val="both"/>
        <w:rPr>
          <w:rFonts w:ascii="Book Antiqua" w:eastAsia="Book Antiqua" w:hAnsi="Book Antiqua" w:cs="Book Antiqua"/>
          <w:sz w:val="24"/>
          <w:szCs w:val="24"/>
        </w:rPr>
      </w:pPr>
      <w:r w:rsidRPr="00175477">
        <w:rPr>
          <w:rFonts w:ascii="Book Antiqua" w:eastAsia="Book Antiqua" w:hAnsi="Book Antiqua" w:cs="Book Antiqua"/>
          <w:sz w:val="24"/>
          <w:szCs w:val="24"/>
        </w:rPr>
        <w:t>Quatre régions affichent des taux d’activité plus élevés que la moyenne nationale (4</w:t>
      </w:r>
      <w:r w:rsidR="00974D7C">
        <w:rPr>
          <w:rFonts w:ascii="Book Antiqua" w:eastAsia="Book Antiqua" w:hAnsi="Book Antiqua" w:cs="Book Antiqua"/>
          <w:sz w:val="24"/>
          <w:szCs w:val="24"/>
        </w:rPr>
        <w:t xml:space="preserve">4%) ; Tanger-Tétouan-Al Hoceima </w:t>
      </w:r>
      <w:r w:rsidRPr="00175477">
        <w:rPr>
          <w:rFonts w:ascii="Book Antiqua" w:eastAsia="Book Antiqua" w:hAnsi="Book Antiqua" w:cs="Book Antiqua"/>
          <w:sz w:val="24"/>
          <w:szCs w:val="24"/>
        </w:rPr>
        <w:t>(49,9%), Casablanca-Settat avec (46,6%), Marrakech-Safi (45,2%) et Rabat-Salé-Kénitra (44,4%). En revanche, les taux les plus bas sont enregistrés dans les régions de Béni Mellal-Khénifra (40,9%),</w:t>
      </w:r>
      <w:r w:rsidR="00974D7C">
        <w:rPr>
          <w:rFonts w:ascii="Book Antiqua" w:eastAsia="Book Antiqua" w:hAnsi="Book Antiqua" w:cs="Book Antiqua"/>
          <w:sz w:val="24"/>
          <w:szCs w:val="24"/>
        </w:rPr>
        <w:t xml:space="preserve"> </w:t>
      </w:r>
      <w:r w:rsidRPr="00175477">
        <w:rPr>
          <w:rFonts w:ascii="Book Antiqua" w:eastAsia="Book Antiqua" w:hAnsi="Book Antiqua" w:cs="Book Antiqua"/>
          <w:sz w:val="24"/>
          <w:szCs w:val="24"/>
        </w:rPr>
        <w:t>de Drâa-Tafilalet (38,5%) et de Souss-Massa (37,7%).</w:t>
      </w:r>
    </w:p>
    <w:p w:rsidR="00061642" w:rsidRPr="00AC0A5D" w:rsidRDefault="00061642" w:rsidP="00061642">
      <w:pPr>
        <w:spacing w:line="259" w:lineRule="auto"/>
        <w:rPr>
          <w:rFonts w:ascii="Book Antiqua" w:hAnsi="Book Antiqua" w:cs="Times New Roman"/>
          <w:b/>
          <w:bCs/>
          <w:sz w:val="20"/>
          <w:szCs w:val="20"/>
        </w:rPr>
      </w:pPr>
    </w:p>
    <w:p w:rsidR="00AC0A5D" w:rsidRPr="00AC0A5D" w:rsidRDefault="00AC0A5D">
      <w:pPr>
        <w:spacing w:line="259" w:lineRule="auto"/>
        <w:rPr>
          <w:rFonts w:ascii="Book Antiqua" w:hAnsi="Book Antiqua" w:cs="Times New Roman"/>
          <w:b/>
          <w:bCs/>
          <w:sz w:val="20"/>
          <w:szCs w:val="20"/>
        </w:rPr>
      </w:pPr>
      <w:r w:rsidRPr="00AC0A5D">
        <w:rPr>
          <w:rFonts w:ascii="Book Antiqua" w:hAnsi="Book Antiqua" w:cs="Times New Roman"/>
          <w:b/>
          <w:bCs/>
          <w:sz w:val="20"/>
          <w:szCs w:val="20"/>
        </w:rPr>
        <w:br w:type="page"/>
      </w:r>
    </w:p>
    <w:p w:rsidR="00061642" w:rsidRPr="00175477" w:rsidRDefault="00795A99" w:rsidP="0095703D">
      <w:pPr>
        <w:jc w:val="center"/>
        <w:rPr>
          <w:rFonts w:ascii="Book Antiqua" w:hAnsi="Book Antiqua" w:cs="Times New Roman"/>
          <w:b/>
          <w:bCs/>
          <w:color w:val="0070C0"/>
          <w:sz w:val="20"/>
          <w:szCs w:val="20"/>
        </w:rPr>
      </w:pPr>
      <w:r>
        <w:rPr>
          <w:rFonts w:ascii="Book Antiqua" w:hAnsi="Book Antiqua" w:cs="Times New Roman"/>
          <w:b/>
          <w:bCs/>
          <w:color w:val="0070C0"/>
          <w:sz w:val="20"/>
          <w:szCs w:val="20"/>
        </w:rPr>
        <w:lastRenderedPageBreak/>
        <w:t xml:space="preserve">Graphique 7 : </w:t>
      </w:r>
      <w:r w:rsidR="00061642" w:rsidRPr="00175477">
        <w:rPr>
          <w:rFonts w:ascii="Book Antiqua" w:hAnsi="Book Antiqua" w:cs="Times New Roman"/>
          <w:b/>
          <w:bCs/>
          <w:color w:val="0070C0"/>
          <w:sz w:val="20"/>
          <w:szCs w:val="20"/>
        </w:rPr>
        <w:t>Taux d’activité selon les régions au troisième trimestre de 2022 (en</w:t>
      </w:r>
      <w:r w:rsidR="0095703D" w:rsidRPr="00175477">
        <w:rPr>
          <w:rFonts w:ascii="Book Antiqua" w:hAnsi="Book Antiqua" w:cs="Times New Roman"/>
          <w:b/>
          <w:bCs/>
          <w:color w:val="0070C0"/>
          <w:sz w:val="20"/>
          <w:szCs w:val="20"/>
        </w:rPr>
        <w:t xml:space="preserve"> </w:t>
      </w:r>
      <w:r w:rsidR="00175477">
        <w:rPr>
          <w:rFonts w:ascii="Book Antiqua" w:hAnsi="Book Antiqua" w:cs="Times New Roman"/>
          <w:b/>
          <w:bCs/>
          <w:color w:val="0070C0"/>
          <w:sz w:val="20"/>
          <w:szCs w:val="20"/>
        </w:rPr>
        <w:t>%)</w:t>
      </w:r>
    </w:p>
    <w:p w:rsidR="00061642" w:rsidRPr="00AC0A5D" w:rsidRDefault="00061642" w:rsidP="00061642">
      <w:pPr>
        <w:spacing w:before="240" w:after="240" w:line="312" w:lineRule="auto"/>
        <w:jc w:val="center"/>
        <w:rPr>
          <w:rFonts w:ascii="Book Antiqua" w:eastAsia="Book Antiqua" w:hAnsi="Book Antiqua" w:cs="Book Antiqua"/>
          <w:b/>
          <w:color w:val="0070C0"/>
          <w:sz w:val="20"/>
          <w:szCs w:val="20"/>
        </w:rPr>
      </w:pPr>
      <w:r w:rsidRPr="00AC0A5D">
        <w:rPr>
          <w:noProof/>
          <w:lang w:eastAsia="fr-FR"/>
        </w:rPr>
        <w:drawing>
          <wp:inline distT="0" distB="0" distL="0" distR="0">
            <wp:extent cx="5072932" cy="1927225"/>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1642" w:rsidRPr="00175477" w:rsidRDefault="00061642" w:rsidP="00175477">
      <w:pPr>
        <w:spacing w:before="240" w:after="240" w:line="312" w:lineRule="auto"/>
        <w:jc w:val="both"/>
        <w:rPr>
          <w:rFonts w:ascii="Book Antiqua" w:eastAsia="Book Antiqua" w:hAnsi="Book Antiqua" w:cs="Book Antiqua"/>
          <w:sz w:val="24"/>
          <w:szCs w:val="24"/>
        </w:rPr>
      </w:pPr>
      <w:r w:rsidRPr="00175477">
        <w:rPr>
          <w:rFonts w:ascii="Book Antiqua" w:eastAsia="Book Antiqua" w:hAnsi="Book Antiqua" w:cs="Book Antiqua"/>
          <w:sz w:val="24"/>
          <w:szCs w:val="24"/>
        </w:rPr>
        <w:t>Presque sept chômeurs parmi dix chômeurs (69,4%) sont concentrés dans cinq régions ; Casablanca-Settat vient en première position avec 24,6% de chômeurs, suivie de</w:t>
      </w:r>
      <w:r w:rsidR="00B721CD">
        <w:rPr>
          <w:rFonts w:ascii="Book Antiqua" w:eastAsia="Book Antiqua" w:hAnsi="Book Antiqua" w:cs="Book Antiqua"/>
          <w:sz w:val="24"/>
          <w:szCs w:val="24"/>
        </w:rPr>
        <w:t xml:space="preserve"> </w:t>
      </w:r>
      <w:r w:rsidRPr="00175477">
        <w:rPr>
          <w:rFonts w:ascii="Book Antiqua" w:eastAsia="Book Antiqua" w:hAnsi="Book Antiqua" w:cs="Book Antiqua"/>
          <w:sz w:val="24"/>
          <w:szCs w:val="24"/>
        </w:rPr>
        <w:t>Rabat-Salé-Kénitra (13,6%), de Fès-Meknès (13,4%), de Tanger-Tétouan-Al Hoceima (9,3%) et de l’Oriental (8,5%).</w:t>
      </w:r>
    </w:p>
    <w:p w:rsidR="00061642" w:rsidRPr="00175477" w:rsidRDefault="00061642" w:rsidP="00175477">
      <w:pPr>
        <w:spacing w:before="240" w:after="240" w:line="312" w:lineRule="auto"/>
        <w:jc w:val="both"/>
        <w:rPr>
          <w:rFonts w:ascii="Book Antiqua" w:eastAsia="Book Antiqua" w:hAnsi="Book Antiqua" w:cs="Book Antiqua"/>
          <w:sz w:val="24"/>
          <w:szCs w:val="24"/>
        </w:rPr>
      </w:pPr>
      <w:bookmarkStart w:id="4" w:name="_Hlk86257863"/>
      <w:r w:rsidRPr="00175477">
        <w:rPr>
          <w:rFonts w:ascii="Book Antiqua" w:eastAsia="Book Antiqua" w:hAnsi="Book Antiqua" w:cs="Book Antiqua"/>
          <w:sz w:val="24"/>
          <w:szCs w:val="24"/>
        </w:rPr>
        <w:t>Les taux de chômage les plus élevés sont observés dans les régions du Sud (21%) et de l’Oriental (14,6%).</w:t>
      </w:r>
      <w:r w:rsidR="00B721CD">
        <w:rPr>
          <w:rFonts w:ascii="Book Antiqua" w:eastAsia="Book Antiqua" w:hAnsi="Book Antiqua" w:cs="Book Antiqua"/>
          <w:sz w:val="24"/>
          <w:szCs w:val="24"/>
        </w:rPr>
        <w:t xml:space="preserve"> </w:t>
      </w:r>
      <w:r w:rsidRPr="00175477">
        <w:rPr>
          <w:rFonts w:ascii="Book Antiqua" w:eastAsia="Book Antiqua" w:hAnsi="Book Antiqua" w:cs="Book Antiqua"/>
          <w:sz w:val="24"/>
          <w:szCs w:val="24"/>
        </w:rPr>
        <w:t>Avec moins d’acuité, quatre autres régions dépassent la moyenne nationale (11,4%) à savoir</w:t>
      </w:r>
      <w:r w:rsidR="005958DF" w:rsidRPr="00175477">
        <w:rPr>
          <w:rFonts w:ascii="Book Antiqua" w:eastAsia="Book Antiqua" w:hAnsi="Book Antiqua" w:cs="Book Antiqua"/>
          <w:sz w:val="24"/>
          <w:szCs w:val="24"/>
        </w:rPr>
        <w:t xml:space="preserve"> </w:t>
      </w:r>
      <w:r w:rsidRPr="00175477">
        <w:rPr>
          <w:rFonts w:ascii="Book Antiqua" w:eastAsia="Book Antiqua" w:hAnsi="Book Antiqua" w:cs="Book Antiqua"/>
          <w:sz w:val="24"/>
          <w:szCs w:val="24"/>
        </w:rPr>
        <w:t>Fès-Meknès (13%), Casablanca-Settat (12,5%), Souss-Massa (11,7%) et Béni Mellal-Khénifra (11,6%). En revanche, les régions de Drâa-Tafilalet, de Tanger-Tétouan-Al Hoceima et de Marrakech-Safi enregistrent les taux les plus bas avec respectivement 10,0%, 8,8%, et 6,9%.</w:t>
      </w:r>
    </w:p>
    <w:bookmarkEnd w:id="4"/>
    <w:p w:rsidR="00061642" w:rsidRPr="00AC0A5D" w:rsidRDefault="00061642" w:rsidP="00061642">
      <w:pPr>
        <w:jc w:val="center"/>
        <w:rPr>
          <w:rFonts w:ascii="Book Antiqua" w:hAnsi="Book Antiqua" w:cs="Times New Roman"/>
          <w:b/>
          <w:bCs/>
          <w:sz w:val="20"/>
          <w:szCs w:val="20"/>
        </w:rPr>
      </w:pPr>
    </w:p>
    <w:p w:rsidR="00061642" w:rsidRPr="00175477" w:rsidRDefault="0095703D" w:rsidP="00061642">
      <w:pPr>
        <w:jc w:val="center"/>
        <w:rPr>
          <w:rFonts w:ascii="Book Antiqua" w:hAnsi="Book Antiqua" w:cs="Times New Roman"/>
          <w:b/>
          <w:bCs/>
          <w:color w:val="0070C0"/>
          <w:sz w:val="20"/>
          <w:szCs w:val="20"/>
        </w:rPr>
      </w:pPr>
      <w:r w:rsidRPr="00175477">
        <w:rPr>
          <w:rFonts w:ascii="Book Antiqua" w:hAnsi="Book Antiqua" w:cs="Times New Roman"/>
          <w:b/>
          <w:bCs/>
          <w:color w:val="0070C0"/>
          <w:sz w:val="20"/>
          <w:szCs w:val="20"/>
        </w:rPr>
        <w:t>Graphique</w:t>
      </w:r>
      <w:r w:rsidR="00795A99">
        <w:rPr>
          <w:rFonts w:ascii="Book Antiqua" w:hAnsi="Book Antiqua" w:cs="Times New Roman"/>
          <w:b/>
          <w:bCs/>
          <w:color w:val="0070C0"/>
          <w:sz w:val="20"/>
          <w:szCs w:val="20"/>
        </w:rPr>
        <w:t xml:space="preserve"> 8 : </w:t>
      </w:r>
      <w:r w:rsidR="00061642" w:rsidRPr="00175477">
        <w:rPr>
          <w:rFonts w:ascii="Book Antiqua" w:hAnsi="Book Antiqua" w:cs="Times New Roman"/>
          <w:b/>
          <w:bCs/>
          <w:color w:val="0070C0"/>
          <w:sz w:val="20"/>
          <w:szCs w:val="20"/>
        </w:rPr>
        <w:t>Taux de chômage selon les régions au troisième trimestre de 2022 (en%)</w:t>
      </w:r>
    </w:p>
    <w:p w:rsidR="00061642" w:rsidRDefault="00061642" w:rsidP="00061642">
      <w:pPr>
        <w:jc w:val="center"/>
        <w:rPr>
          <w:rFonts w:ascii="Book Antiqua" w:eastAsia="Book Antiqua" w:hAnsi="Book Antiqua" w:cs="Book Antiqua"/>
        </w:rPr>
      </w:pPr>
      <w:r w:rsidRPr="00AC0A5D">
        <w:rPr>
          <w:noProof/>
          <w:lang w:eastAsia="fr-FR"/>
        </w:rPr>
        <w:drawing>
          <wp:inline distT="0" distB="0" distL="0" distR="0">
            <wp:extent cx="5135601" cy="2318918"/>
            <wp:effectExtent l="0" t="0" r="0" b="0"/>
            <wp:docPr id="8"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1642" w:rsidRDefault="00061642" w:rsidP="00061642">
      <w:pPr>
        <w:rPr>
          <w:rFonts w:ascii="Book Antiqua" w:eastAsia="Book Antiqua" w:hAnsi="Book Antiqua" w:cs="Book Antiqua"/>
        </w:rPr>
      </w:pPr>
    </w:p>
    <w:p w:rsidR="009C266C" w:rsidRDefault="009C266C" w:rsidP="00061642">
      <w:pPr>
        <w:rPr>
          <w:rFonts w:ascii="Book Antiqua" w:eastAsia="Book Antiqua" w:hAnsi="Book Antiqua" w:cs="Book Antiqua"/>
        </w:rPr>
      </w:pPr>
    </w:p>
    <w:p w:rsidR="005958DF" w:rsidRPr="003D03B0" w:rsidRDefault="005958DF" w:rsidP="005958DF">
      <w:pPr>
        <w:spacing w:line="240" w:lineRule="auto"/>
        <w:rPr>
          <w:rFonts w:ascii="Book Antiqua" w:eastAsia="Book Antiqua" w:hAnsi="Book Antiqua" w:cs="Book Antiqua"/>
          <w:b/>
          <w:color w:val="0070C0"/>
          <w:sz w:val="20"/>
          <w:szCs w:val="20"/>
        </w:rPr>
      </w:pPr>
      <w:r w:rsidRPr="003D03B0">
        <w:rPr>
          <w:rFonts w:ascii="Book Antiqua" w:eastAsia="Book Antiqua" w:hAnsi="Book Antiqua" w:cs="Book Antiqua"/>
          <w:b/>
          <w:color w:val="0070C0"/>
          <w:sz w:val="20"/>
          <w:szCs w:val="20"/>
        </w:rPr>
        <w:lastRenderedPageBreak/>
        <w:t xml:space="preserve">Tableau 1 : Indicateurs trimestriels d'activité, d’emploi et de chômage par milieu de résidence </w:t>
      </w:r>
      <w:r w:rsidRPr="00D56E96">
        <w:rPr>
          <w:rFonts w:ascii="Book Antiqua" w:eastAsia="Book Antiqua" w:hAnsi="Book Antiqua" w:cs="Book Antiqua"/>
          <w:b/>
          <w:color w:val="0070C0"/>
          <w:sz w:val="20"/>
          <w:szCs w:val="20"/>
          <w:vertAlign w:val="superscript"/>
        </w:rPr>
        <w:t>(1)</w:t>
      </w:r>
    </w:p>
    <w:tbl>
      <w:tblPr>
        <w:tblW w:w="10964" w:type="dxa"/>
        <w:tblInd w:w="-688" w:type="dxa"/>
        <w:tblLayout w:type="fixed"/>
        <w:tblCellMar>
          <w:left w:w="70" w:type="dxa"/>
          <w:right w:w="70" w:type="dxa"/>
        </w:tblCellMar>
        <w:tblLook w:val="04A0"/>
      </w:tblPr>
      <w:tblGrid>
        <w:gridCol w:w="5087"/>
        <w:gridCol w:w="925"/>
        <w:gridCol w:w="852"/>
        <w:gridCol w:w="131"/>
        <w:gridCol w:w="993"/>
        <w:gridCol w:w="1069"/>
        <w:gridCol w:w="852"/>
        <w:gridCol w:w="1055"/>
      </w:tblGrid>
      <w:tr w:rsidR="009C266C" w:rsidRPr="00B721CD" w:rsidTr="00270C80">
        <w:trPr>
          <w:trHeight w:val="329"/>
        </w:trPr>
        <w:tc>
          <w:tcPr>
            <w:tcW w:w="508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721CD" w:rsidRPr="00B721CD" w:rsidRDefault="00B721CD" w:rsidP="00B721CD">
            <w:pPr>
              <w:bidi/>
              <w:spacing w:after="0" w:line="240" w:lineRule="auto"/>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rtl/>
                <w:lang w:eastAsia="fr-FR"/>
              </w:rPr>
              <w:t> </w:t>
            </w:r>
          </w:p>
        </w:tc>
        <w:tc>
          <w:tcPr>
            <w:tcW w:w="2901" w:type="dxa"/>
            <w:gridSpan w:val="4"/>
            <w:tcBorders>
              <w:top w:val="single" w:sz="4" w:space="0" w:color="auto"/>
              <w:left w:val="nil"/>
              <w:bottom w:val="single" w:sz="4" w:space="0" w:color="auto"/>
              <w:right w:val="single" w:sz="4" w:space="0" w:color="auto"/>
            </w:tcBorders>
            <w:shd w:val="clear" w:color="auto" w:fill="auto"/>
            <w:noWrap/>
            <w:hideMark/>
          </w:tcPr>
          <w:p w:rsidR="00B721CD" w:rsidRPr="00B721CD" w:rsidRDefault="00B721CD" w:rsidP="00B721CD">
            <w:pPr>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2021T3</w:t>
            </w:r>
          </w:p>
        </w:tc>
        <w:tc>
          <w:tcPr>
            <w:tcW w:w="2976" w:type="dxa"/>
            <w:gridSpan w:val="3"/>
            <w:tcBorders>
              <w:top w:val="single" w:sz="4" w:space="0" w:color="auto"/>
              <w:left w:val="nil"/>
              <w:bottom w:val="single" w:sz="4" w:space="0" w:color="auto"/>
              <w:right w:val="single" w:sz="4" w:space="0" w:color="auto"/>
            </w:tcBorders>
            <w:shd w:val="clear" w:color="auto" w:fill="auto"/>
            <w:noWrap/>
            <w:hideMark/>
          </w:tcPr>
          <w:p w:rsidR="00B721CD" w:rsidRPr="00B721CD" w:rsidRDefault="00B721CD" w:rsidP="00B721CD">
            <w:pPr>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2022T3</w:t>
            </w:r>
          </w:p>
        </w:tc>
      </w:tr>
      <w:tr w:rsidR="009C266C" w:rsidRPr="00B721CD" w:rsidTr="00270C80">
        <w:trPr>
          <w:trHeight w:val="329"/>
        </w:trPr>
        <w:tc>
          <w:tcPr>
            <w:tcW w:w="5087" w:type="dxa"/>
            <w:vMerge/>
            <w:tcBorders>
              <w:top w:val="single" w:sz="4" w:space="0" w:color="auto"/>
              <w:left w:val="single" w:sz="4" w:space="0" w:color="auto"/>
              <w:bottom w:val="single" w:sz="4" w:space="0" w:color="auto"/>
              <w:right w:val="single" w:sz="4" w:space="0" w:color="auto"/>
            </w:tcBorders>
            <w:vAlign w:val="center"/>
            <w:hideMark/>
          </w:tcPr>
          <w:p w:rsidR="00B721CD" w:rsidRPr="00B721CD" w:rsidRDefault="00B721CD" w:rsidP="00B721CD">
            <w:pPr>
              <w:spacing w:after="0" w:line="240" w:lineRule="auto"/>
              <w:rPr>
                <w:rFonts w:ascii="Garamond" w:eastAsia="Times New Roman" w:hAnsi="Garamond" w:cs="Calibri"/>
                <w:b/>
                <w:bCs/>
                <w:color w:val="000000"/>
                <w:sz w:val="20"/>
                <w:szCs w:val="20"/>
                <w:lang w:eastAsia="fr-FR"/>
              </w:rPr>
            </w:pPr>
          </w:p>
        </w:tc>
        <w:tc>
          <w:tcPr>
            <w:tcW w:w="925" w:type="dxa"/>
            <w:tcBorders>
              <w:top w:val="nil"/>
              <w:left w:val="nil"/>
              <w:bottom w:val="single" w:sz="4" w:space="0" w:color="auto"/>
              <w:right w:val="single" w:sz="4" w:space="0" w:color="auto"/>
            </w:tcBorders>
            <w:shd w:val="clear" w:color="auto" w:fill="auto"/>
            <w:vAlign w:val="center"/>
            <w:hideMark/>
          </w:tcPr>
          <w:p w:rsidR="00B721CD" w:rsidRPr="00B721CD" w:rsidRDefault="00B721CD" w:rsidP="009C266C">
            <w:pPr>
              <w:bidi/>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Urbain</w:t>
            </w:r>
          </w:p>
        </w:tc>
        <w:tc>
          <w:tcPr>
            <w:tcW w:w="983" w:type="dxa"/>
            <w:gridSpan w:val="2"/>
            <w:tcBorders>
              <w:top w:val="nil"/>
              <w:left w:val="nil"/>
              <w:bottom w:val="single" w:sz="4" w:space="0" w:color="auto"/>
              <w:right w:val="single" w:sz="4" w:space="0" w:color="auto"/>
            </w:tcBorders>
            <w:shd w:val="clear" w:color="auto" w:fill="auto"/>
            <w:vAlign w:val="center"/>
            <w:hideMark/>
          </w:tcPr>
          <w:p w:rsidR="00B721CD" w:rsidRPr="00B721CD" w:rsidRDefault="00B721CD" w:rsidP="009C266C">
            <w:pPr>
              <w:bidi/>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Rural</w:t>
            </w:r>
          </w:p>
        </w:tc>
        <w:tc>
          <w:tcPr>
            <w:tcW w:w="993" w:type="dxa"/>
            <w:tcBorders>
              <w:top w:val="nil"/>
              <w:left w:val="nil"/>
              <w:bottom w:val="single" w:sz="4" w:space="0" w:color="auto"/>
              <w:right w:val="single" w:sz="4" w:space="0" w:color="auto"/>
            </w:tcBorders>
            <w:shd w:val="clear" w:color="auto" w:fill="auto"/>
            <w:vAlign w:val="center"/>
            <w:hideMark/>
          </w:tcPr>
          <w:p w:rsidR="00B721CD" w:rsidRPr="00B721CD" w:rsidRDefault="00B721CD" w:rsidP="009C266C">
            <w:pPr>
              <w:bidi/>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Ensemble</w:t>
            </w:r>
          </w:p>
        </w:tc>
        <w:tc>
          <w:tcPr>
            <w:tcW w:w="1069" w:type="dxa"/>
            <w:tcBorders>
              <w:top w:val="nil"/>
              <w:left w:val="nil"/>
              <w:bottom w:val="single" w:sz="4" w:space="0" w:color="auto"/>
              <w:right w:val="single" w:sz="4" w:space="0" w:color="auto"/>
            </w:tcBorders>
            <w:shd w:val="clear" w:color="auto" w:fill="auto"/>
            <w:vAlign w:val="center"/>
            <w:hideMark/>
          </w:tcPr>
          <w:p w:rsidR="00B721CD" w:rsidRPr="00B721CD" w:rsidRDefault="00B721CD" w:rsidP="009C266C">
            <w:pPr>
              <w:bidi/>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Urbain</w:t>
            </w:r>
          </w:p>
        </w:tc>
        <w:tc>
          <w:tcPr>
            <w:tcW w:w="852" w:type="dxa"/>
            <w:tcBorders>
              <w:top w:val="nil"/>
              <w:left w:val="nil"/>
              <w:bottom w:val="single" w:sz="4" w:space="0" w:color="auto"/>
              <w:right w:val="single" w:sz="4" w:space="0" w:color="auto"/>
            </w:tcBorders>
            <w:shd w:val="clear" w:color="auto" w:fill="auto"/>
            <w:vAlign w:val="center"/>
            <w:hideMark/>
          </w:tcPr>
          <w:p w:rsidR="00B721CD" w:rsidRPr="00B721CD" w:rsidRDefault="00B721CD" w:rsidP="009C266C">
            <w:pPr>
              <w:bidi/>
              <w:spacing w:after="0" w:line="240" w:lineRule="auto"/>
              <w:jc w:val="center"/>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Rural</w:t>
            </w:r>
          </w:p>
        </w:tc>
        <w:tc>
          <w:tcPr>
            <w:tcW w:w="1055" w:type="dxa"/>
            <w:tcBorders>
              <w:top w:val="nil"/>
              <w:left w:val="nil"/>
              <w:bottom w:val="single" w:sz="4" w:space="0" w:color="auto"/>
              <w:right w:val="single" w:sz="4" w:space="0" w:color="auto"/>
            </w:tcBorders>
            <w:shd w:val="clear" w:color="auto" w:fill="auto"/>
            <w:vAlign w:val="center"/>
            <w:hideMark/>
          </w:tcPr>
          <w:p w:rsidR="00B721CD" w:rsidRPr="00B721CD" w:rsidRDefault="009C266C" w:rsidP="009C266C">
            <w:pPr>
              <w:bidi/>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Ensemble</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B721CD" w:rsidRPr="00B721CD" w:rsidRDefault="00B721CD" w:rsidP="00B721CD">
            <w:pPr>
              <w:spacing w:after="0" w:line="240" w:lineRule="auto"/>
              <w:rPr>
                <w:rFonts w:ascii="Garamond" w:eastAsia="Times New Roman" w:hAnsi="Garamond" w:cs="Calibri"/>
                <w:b/>
                <w:bCs/>
                <w:color w:val="1F497D"/>
                <w:sz w:val="20"/>
                <w:szCs w:val="20"/>
                <w:lang w:eastAsia="fr-FR"/>
              </w:rPr>
            </w:pPr>
            <w:r w:rsidRPr="00B721CD">
              <w:rPr>
                <w:rFonts w:ascii="Garamond" w:eastAsia="Times New Roman" w:hAnsi="Garamond" w:cs="Calibri"/>
                <w:b/>
                <w:bCs/>
                <w:color w:val="1F497D"/>
                <w:sz w:val="20"/>
                <w:szCs w:val="20"/>
                <w:lang w:eastAsia="fr-FR"/>
              </w:rPr>
              <w:t>Activité (des 15 ans et plus)</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Population active</w:t>
            </w:r>
            <w:r w:rsidR="00975D85">
              <w:rPr>
                <w:rFonts w:ascii="Garamond" w:eastAsia="Times New Roman" w:hAnsi="Garamond" w:cs="Calibri"/>
                <w:b/>
                <w:bCs/>
                <w:color w:val="000000"/>
                <w:sz w:val="20"/>
                <w:szCs w:val="20"/>
                <w:lang w:eastAsia="fr-FR"/>
              </w:rPr>
              <w:t xml:space="preserve"> (en milliers)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7 546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4 708</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12 255</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7 621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4 507</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12 127</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Taux de féminisation de la population active</w:t>
            </w:r>
            <w:r w:rsidR="00E45905">
              <w:rPr>
                <w:rFonts w:ascii="Garamond" w:eastAsia="Times New Roman" w:hAnsi="Garamond" w:cs="Calibri"/>
                <w:color w:val="000000"/>
                <w:sz w:val="20"/>
                <w:szCs w:val="20"/>
                <w:lang w:eastAsia="fr-FR"/>
              </w:rPr>
              <w:t xml:space="preserve">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22,6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23,9</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23,1</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22,5</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21,8</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22,2</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Taux d'activité</w:t>
            </w:r>
            <w:r w:rsidR="00E45905">
              <w:rPr>
                <w:rFonts w:ascii="Garamond" w:eastAsia="Times New Roman" w:hAnsi="Garamond" w:cs="Calibri"/>
                <w:color w:val="000000"/>
                <w:sz w:val="20"/>
                <w:szCs w:val="20"/>
                <w:lang w:eastAsia="fr-FR"/>
              </w:rPr>
              <w:t xml:space="preserve">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42,4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50,3</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45,1</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41,9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48,1</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44,0</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i/>
                <w:iCs/>
                <w:color w:val="000000"/>
                <w:sz w:val="20"/>
                <w:szCs w:val="20"/>
                <w:lang w:eastAsia="fr-FR"/>
              </w:rPr>
            </w:pPr>
            <w:r w:rsidRPr="00B721CD">
              <w:rPr>
                <w:rFonts w:ascii="Garamond" w:eastAsia="Times New Roman" w:hAnsi="Garamond" w:cs="Calibri"/>
                <w:i/>
                <w:iCs/>
                <w:color w:val="000000"/>
                <w:sz w:val="20"/>
                <w:szCs w:val="20"/>
                <w:lang w:eastAsia="fr-FR"/>
              </w:rPr>
              <w:t>• Selon le sexe</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Hommes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67,7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75,5</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70,5</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67,1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74,0</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69,5</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Femmes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18,6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24,3</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20,5</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18,3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21,3</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19,3</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i/>
                <w:iCs/>
                <w:color w:val="000000"/>
                <w:sz w:val="20"/>
                <w:szCs w:val="20"/>
                <w:lang w:eastAsia="fr-FR"/>
              </w:rPr>
            </w:pPr>
            <w:r w:rsidRPr="00B721CD">
              <w:rPr>
                <w:rFonts w:ascii="Garamond" w:eastAsia="Times New Roman" w:hAnsi="Garamond" w:cs="Calibri"/>
                <w:i/>
                <w:iCs/>
                <w:color w:val="000000"/>
                <w:sz w:val="20"/>
                <w:szCs w:val="20"/>
                <w:lang w:eastAsia="fr-FR"/>
              </w:rPr>
              <w:t>• Selon l'âge</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15-24 ans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21,1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29,0</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24,3</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20,1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25,5</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22,3</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25-34 ans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61,4</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60,2</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59,5</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59,6</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59,5</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35-44 ans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57,4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64,5</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59,7</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56,9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63,0</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58,8</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45 ans et plus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36,0</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52,0</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41,4</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35,8</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50,2</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40,5</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i/>
                <w:iCs/>
                <w:color w:val="000000"/>
                <w:sz w:val="20"/>
                <w:szCs w:val="20"/>
                <w:lang w:eastAsia="fr-FR"/>
              </w:rPr>
            </w:pPr>
            <w:r w:rsidRPr="00B721CD">
              <w:rPr>
                <w:rFonts w:ascii="Garamond" w:eastAsia="Times New Roman" w:hAnsi="Garamond" w:cs="Calibri"/>
                <w:i/>
                <w:iCs/>
                <w:color w:val="000000"/>
                <w:sz w:val="20"/>
                <w:szCs w:val="20"/>
                <w:lang w:eastAsia="fr-FR"/>
              </w:rPr>
              <w:t>• Selon le diplôme</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Non diplômés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35,2</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52,8</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43,3</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34,5</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50,6</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41,8</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Diplômés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45,1</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46,9</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47,0</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43,2</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46,1</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B721CD">
            <w:pPr>
              <w:spacing w:after="0" w:line="240" w:lineRule="auto"/>
              <w:rPr>
                <w:rFonts w:ascii="Garamond" w:eastAsia="Times New Roman" w:hAnsi="Garamond" w:cs="Calibri"/>
                <w:b/>
                <w:bCs/>
                <w:color w:val="1F497D"/>
                <w:sz w:val="20"/>
                <w:szCs w:val="20"/>
                <w:lang w:eastAsia="fr-FR"/>
              </w:rPr>
            </w:pPr>
            <w:r w:rsidRPr="00B721CD">
              <w:rPr>
                <w:rFonts w:ascii="Garamond" w:eastAsia="Times New Roman" w:hAnsi="Garamond" w:cs="Calibri"/>
                <w:b/>
                <w:bCs/>
                <w:color w:val="1F497D"/>
                <w:sz w:val="20"/>
                <w:szCs w:val="20"/>
                <w:lang w:eastAsia="fr-FR"/>
              </w:rPr>
              <w:t>Emploi (des 15 ans et plus)</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Population active occupée</w:t>
            </w:r>
            <w:r w:rsidR="00975D85">
              <w:rPr>
                <w:rFonts w:ascii="Garamond" w:eastAsia="Times New Roman" w:hAnsi="Garamond" w:cs="Calibri"/>
                <w:b/>
                <w:bCs/>
                <w:color w:val="000000"/>
                <w:sz w:val="20"/>
                <w:szCs w:val="20"/>
                <w:lang w:eastAsia="fr-FR"/>
              </w:rPr>
              <w:t xml:space="preserve"> (en milliers)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6 343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4 465</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10 807</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6 479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4 271</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10 750</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Taux d'emploi</w:t>
            </w:r>
            <w:r w:rsidR="00E45905">
              <w:rPr>
                <w:rFonts w:ascii="Garamond" w:eastAsia="Times New Roman" w:hAnsi="Garamond" w:cs="Calibri"/>
                <w:color w:val="000000"/>
                <w:sz w:val="20"/>
                <w:szCs w:val="20"/>
                <w:lang w:eastAsia="fr-FR"/>
              </w:rPr>
              <w:t xml:space="preserve">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35,6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47,7</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39,8</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35,7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45,5</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39,0</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i/>
                <w:iCs/>
                <w:color w:val="000000"/>
                <w:sz w:val="20"/>
                <w:szCs w:val="20"/>
                <w:lang w:eastAsia="fr-FR"/>
              </w:rPr>
            </w:pPr>
            <w:r w:rsidRPr="00B721CD">
              <w:rPr>
                <w:rFonts w:ascii="Garamond" w:eastAsia="Times New Roman" w:hAnsi="Garamond" w:cs="Calibri"/>
                <w:i/>
                <w:iCs/>
                <w:color w:val="000000"/>
                <w:sz w:val="20"/>
                <w:szCs w:val="20"/>
                <w:lang w:eastAsia="fr-FR"/>
              </w:rPr>
              <w:t>• Selon le sexe</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Hommes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58,7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71,3</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63,1</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69,9</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62,9</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Femmes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13,9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23,4</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17,1</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13,6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20,4</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15,9</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Structure de l'emploi selon les secteurs d'activité économique</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E4590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 xml:space="preserve">Agriculture, </w:t>
            </w:r>
            <w:r w:rsidR="00E45905">
              <w:rPr>
                <w:rFonts w:ascii="Garamond" w:eastAsia="Times New Roman" w:hAnsi="Garamond" w:cs="Calibri"/>
                <w:color w:val="000000"/>
                <w:sz w:val="20"/>
                <w:szCs w:val="20"/>
                <w:lang w:eastAsia="fr-FR"/>
              </w:rPr>
              <w:t>forêt et</w:t>
            </w:r>
            <w:r w:rsidRPr="00B721CD">
              <w:rPr>
                <w:rFonts w:ascii="Garamond" w:eastAsia="Times New Roman" w:hAnsi="Garamond" w:cs="Calibri"/>
                <w:color w:val="000000"/>
                <w:sz w:val="20"/>
                <w:szCs w:val="20"/>
                <w:lang w:eastAsia="fr-FR"/>
              </w:rPr>
              <w:t xml:space="preserve"> pêche</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66,4</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30,0</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64,0</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28,0</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E4590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 xml:space="preserve">Industrie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16,8</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4,2</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11,6</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16,3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5,3</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12,0</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BTP</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12,3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10,8</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11,7</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12,0</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10,5</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11,4</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Services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66,4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18,6</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46,7</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67,4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20,3</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48,7</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Activités non déterminées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0,0</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0,0</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0,0</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0,0</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0,0</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Part de l'emploi rémunéré dans l'emploi total, dont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97,3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71,0</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86,4</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97,3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74,6</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88,3</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Salariés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66,6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46,9</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59,9</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66,9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47,3</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60,3</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Auto-employés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33,4</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53,1</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40,1</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33,1</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52,7</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39,7</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rPr>
                <w:rFonts w:ascii="Garamond" w:eastAsia="Times New Roman" w:hAnsi="Garamond" w:cs="Calibri"/>
                <w:b/>
                <w:bCs/>
                <w:color w:val="000000"/>
                <w:sz w:val="20"/>
                <w:szCs w:val="20"/>
                <w:lang w:eastAsia="fr-FR"/>
              </w:rPr>
            </w:pPr>
            <w:r w:rsidRPr="00B721CD">
              <w:rPr>
                <w:rFonts w:ascii="Garamond" w:eastAsia="Times New Roman" w:hAnsi="Garamond" w:cs="Calibri"/>
                <w:b/>
                <w:bCs/>
                <w:color w:val="000000"/>
                <w:sz w:val="20"/>
                <w:szCs w:val="20"/>
                <w:lang w:eastAsia="fr-FR"/>
              </w:rPr>
              <w:t>Population active occupée en sous-emploi</w:t>
            </w:r>
            <w:r w:rsidR="00975D85">
              <w:rPr>
                <w:rFonts w:ascii="Garamond" w:eastAsia="Times New Roman" w:hAnsi="Garamond" w:cs="Calibri"/>
                <w:b/>
                <w:bCs/>
                <w:color w:val="000000"/>
                <w:sz w:val="20"/>
                <w:szCs w:val="20"/>
                <w:lang w:eastAsia="fr-FR"/>
              </w:rPr>
              <w:t xml:space="preserve"> (en milliers)</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543</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484</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1 027</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488</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423</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1"/>
              <w:jc w:val="right"/>
              <w:rPr>
                <w:rFonts w:ascii="Garamond" w:eastAsia="Times New Roman" w:hAnsi="Garamond" w:cs="Calibri"/>
                <w:b/>
                <w:bCs/>
                <w:color w:val="010205"/>
                <w:sz w:val="20"/>
                <w:szCs w:val="20"/>
                <w:lang w:eastAsia="fr-FR"/>
              </w:rPr>
            </w:pPr>
            <w:r w:rsidRPr="00B721CD">
              <w:rPr>
                <w:rFonts w:ascii="Garamond" w:eastAsia="Times New Roman" w:hAnsi="Garamond" w:cs="Calibri"/>
                <w:b/>
                <w:bCs/>
                <w:color w:val="010205"/>
                <w:sz w:val="20"/>
                <w:szCs w:val="20"/>
                <w:lang w:eastAsia="fr-FR"/>
              </w:rPr>
              <w:t>911</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Taux de sous-emploi</w:t>
            </w:r>
            <w:r w:rsidR="00270C80">
              <w:rPr>
                <w:rFonts w:ascii="Garamond" w:eastAsia="Times New Roman" w:hAnsi="Garamond" w:cs="Calibri"/>
                <w:color w:val="000000"/>
                <w:sz w:val="20"/>
                <w:szCs w:val="20"/>
                <w:lang w:eastAsia="fr-FR"/>
              </w:rPr>
              <w:t xml:space="preserve"> (%)</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8,6</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10,8</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9,5</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7,5</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9,9</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8,5</w:t>
            </w:r>
          </w:p>
        </w:tc>
      </w:tr>
      <w:tr w:rsidR="00B721CD" w:rsidRPr="00B721CD" w:rsidTr="009C266C">
        <w:trPr>
          <w:trHeight w:val="329"/>
        </w:trPr>
        <w:tc>
          <w:tcPr>
            <w:tcW w:w="10964"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721CD" w:rsidRPr="00B721CD" w:rsidRDefault="00B721CD" w:rsidP="00975D85">
            <w:pPr>
              <w:spacing w:after="0" w:line="240" w:lineRule="auto"/>
              <w:ind w:firstLineChars="200" w:firstLine="400"/>
              <w:rPr>
                <w:rFonts w:ascii="Garamond" w:eastAsia="Times New Roman" w:hAnsi="Garamond" w:cs="Calibri"/>
                <w:i/>
                <w:iCs/>
                <w:color w:val="000000"/>
                <w:sz w:val="20"/>
                <w:szCs w:val="20"/>
                <w:lang w:eastAsia="fr-FR"/>
              </w:rPr>
            </w:pPr>
            <w:r w:rsidRPr="00B721CD">
              <w:rPr>
                <w:rFonts w:ascii="Garamond" w:eastAsia="Times New Roman" w:hAnsi="Garamond" w:cs="Calibri"/>
                <w:i/>
                <w:iCs/>
                <w:color w:val="000000"/>
                <w:sz w:val="20"/>
                <w:szCs w:val="20"/>
                <w:lang w:eastAsia="fr-FR"/>
              </w:rPr>
              <w:t>• Selon la forme de sous-emploi</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Sous-emploi visible (lié à la durée de travail)</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5,9</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4,6</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2,9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5,0</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3,7</w:t>
            </w:r>
          </w:p>
        </w:tc>
      </w:tr>
      <w:tr w:rsidR="009C266C" w:rsidRPr="00B721CD" w:rsidTr="00270C80">
        <w:trPr>
          <w:trHeight w:val="329"/>
        </w:trPr>
        <w:tc>
          <w:tcPr>
            <w:tcW w:w="5087" w:type="dxa"/>
            <w:tcBorders>
              <w:top w:val="nil"/>
              <w:left w:val="single" w:sz="4" w:space="0" w:color="auto"/>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400" w:firstLine="800"/>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Sous-emploi invisible (lié aux revenus d'activité et à l'adéquation formation-emploi)</w:t>
            </w:r>
          </w:p>
        </w:tc>
        <w:tc>
          <w:tcPr>
            <w:tcW w:w="92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4,9</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5,0</w:t>
            </w:r>
          </w:p>
        </w:tc>
        <w:tc>
          <w:tcPr>
            <w:tcW w:w="1124" w:type="dxa"/>
            <w:gridSpan w:val="2"/>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4,9</w:t>
            </w:r>
          </w:p>
        </w:tc>
        <w:tc>
          <w:tcPr>
            <w:tcW w:w="1069"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w:t>
            </w:r>
          </w:p>
        </w:tc>
        <w:tc>
          <w:tcPr>
            <w:tcW w:w="852"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4,9</w:t>
            </w:r>
          </w:p>
        </w:tc>
        <w:tc>
          <w:tcPr>
            <w:tcW w:w="1055" w:type="dxa"/>
            <w:tcBorders>
              <w:top w:val="nil"/>
              <w:left w:val="nil"/>
              <w:bottom w:val="single" w:sz="4" w:space="0" w:color="auto"/>
              <w:right w:val="single" w:sz="4" w:space="0" w:color="auto"/>
            </w:tcBorders>
            <w:shd w:val="clear" w:color="auto" w:fill="auto"/>
            <w:noWrap/>
            <w:hideMark/>
          </w:tcPr>
          <w:p w:rsidR="00B721CD" w:rsidRPr="00B721CD" w:rsidRDefault="00B721CD" w:rsidP="00975D85">
            <w:pPr>
              <w:spacing w:after="0" w:line="240" w:lineRule="auto"/>
              <w:ind w:firstLineChars="100" w:firstLine="200"/>
              <w:jc w:val="right"/>
              <w:rPr>
                <w:rFonts w:ascii="Garamond" w:eastAsia="Times New Roman" w:hAnsi="Garamond" w:cs="Calibri"/>
                <w:color w:val="000000"/>
                <w:sz w:val="20"/>
                <w:szCs w:val="20"/>
                <w:lang w:eastAsia="fr-FR"/>
              </w:rPr>
            </w:pPr>
            <w:r w:rsidRPr="00B721CD">
              <w:rPr>
                <w:rFonts w:ascii="Garamond" w:eastAsia="Times New Roman" w:hAnsi="Garamond" w:cs="Calibri"/>
                <w:color w:val="000000"/>
                <w:sz w:val="20"/>
                <w:szCs w:val="20"/>
                <w:lang w:eastAsia="fr-FR"/>
              </w:rPr>
              <w:t>4,7</w:t>
            </w:r>
          </w:p>
        </w:tc>
      </w:tr>
    </w:tbl>
    <w:p w:rsidR="003165F6" w:rsidRDefault="003165F6" w:rsidP="00CD32DD">
      <w:pPr>
        <w:spacing w:line="259" w:lineRule="auto"/>
        <w:rPr>
          <w:rFonts w:ascii="Book Antiqua" w:eastAsia="Book Antiqua" w:hAnsi="Book Antiqua" w:cs="Book Antiqua"/>
          <w:b/>
          <w:color w:val="0070C0"/>
          <w:sz w:val="20"/>
          <w:szCs w:val="20"/>
        </w:rPr>
      </w:pPr>
    </w:p>
    <w:p w:rsidR="00993752" w:rsidRDefault="003165F6" w:rsidP="00975D85">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993752" w:rsidRPr="000D1F33" w:rsidRDefault="00993752" w:rsidP="00993752">
      <w:pPr>
        <w:jc w:val="both"/>
        <w:rPr>
          <w:rFonts w:ascii="Book Antiqua" w:eastAsia="Book Antiqua" w:hAnsi="Book Antiqua" w:cs="Book Antiqua"/>
          <w:sz w:val="24"/>
          <w:szCs w:val="24"/>
        </w:rPr>
      </w:pPr>
      <w:r w:rsidRPr="000D1F33">
        <w:rPr>
          <w:rFonts w:ascii="Book Antiqua" w:eastAsia="Book Antiqua" w:hAnsi="Book Antiqua" w:cs="Book Antiqua"/>
          <w:b/>
          <w:color w:val="0070C0"/>
          <w:sz w:val="20"/>
          <w:szCs w:val="20"/>
        </w:rPr>
        <w:lastRenderedPageBreak/>
        <w:t>Tableau 1 : Indicateurs trimestriels d'activité, d’emploi et de chômage par milieu de résidence (suite)</w:t>
      </w:r>
    </w:p>
    <w:tbl>
      <w:tblPr>
        <w:tblW w:w="10931" w:type="dxa"/>
        <w:tblInd w:w="-781" w:type="dxa"/>
        <w:tblCellMar>
          <w:left w:w="70" w:type="dxa"/>
          <w:right w:w="70" w:type="dxa"/>
        </w:tblCellMar>
        <w:tblLook w:val="04A0"/>
      </w:tblPr>
      <w:tblGrid>
        <w:gridCol w:w="4725"/>
        <w:gridCol w:w="898"/>
        <w:gridCol w:w="982"/>
        <w:gridCol w:w="1222"/>
        <w:gridCol w:w="956"/>
        <w:gridCol w:w="148"/>
        <w:gridCol w:w="992"/>
        <w:gridCol w:w="1008"/>
      </w:tblGrid>
      <w:tr w:rsidR="00993752" w:rsidRPr="00993752" w:rsidTr="00975D85">
        <w:trPr>
          <w:trHeight w:val="313"/>
        </w:trPr>
        <w:tc>
          <w:tcPr>
            <w:tcW w:w="47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93752" w:rsidRPr="00993752" w:rsidRDefault="00993752" w:rsidP="00993752">
            <w:pPr>
              <w:spacing w:after="0" w:line="240" w:lineRule="auto"/>
              <w:jc w:val="center"/>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 </w:t>
            </w:r>
          </w:p>
        </w:tc>
        <w:tc>
          <w:tcPr>
            <w:tcW w:w="3102" w:type="dxa"/>
            <w:gridSpan w:val="3"/>
            <w:tcBorders>
              <w:top w:val="single" w:sz="4" w:space="0" w:color="auto"/>
              <w:left w:val="nil"/>
              <w:bottom w:val="single" w:sz="4" w:space="0" w:color="auto"/>
              <w:right w:val="single" w:sz="4" w:space="0" w:color="000000"/>
            </w:tcBorders>
            <w:shd w:val="clear" w:color="auto" w:fill="auto"/>
            <w:noWrap/>
            <w:hideMark/>
          </w:tcPr>
          <w:p w:rsidR="00993752" w:rsidRPr="00993752" w:rsidRDefault="00993752" w:rsidP="00993752">
            <w:pPr>
              <w:spacing w:after="0" w:line="240" w:lineRule="auto"/>
              <w:jc w:val="center"/>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2021T3</w:t>
            </w:r>
          </w:p>
        </w:tc>
        <w:tc>
          <w:tcPr>
            <w:tcW w:w="3104" w:type="dxa"/>
            <w:gridSpan w:val="4"/>
            <w:tcBorders>
              <w:top w:val="single" w:sz="4" w:space="0" w:color="auto"/>
              <w:left w:val="nil"/>
              <w:bottom w:val="single" w:sz="4" w:space="0" w:color="auto"/>
              <w:right w:val="single" w:sz="4" w:space="0" w:color="000000"/>
            </w:tcBorders>
            <w:shd w:val="clear" w:color="auto" w:fill="auto"/>
            <w:noWrap/>
            <w:hideMark/>
          </w:tcPr>
          <w:p w:rsidR="00993752" w:rsidRPr="00993752" w:rsidRDefault="00993752" w:rsidP="00993752">
            <w:pPr>
              <w:spacing w:after="0" w:line="240" w:lineRule="auto"/>
              <w:jc w:val="center"/>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2022T3</w:t>
            </w:r>
          </w:p>
        </w:tc>
      </w:tr>
      <w:tr w:rsidR="00993752" w:rsidRPr="00993752" w:rsidTr="00270C80">
        <w:trPr>
          <w:trHeight w:val="313"/>
        </w:trPr>
        <w:tc>
          <w:tcPr>
            <w:tcW w:w="4725" w:type="dxa"/>
            <w:vMerge/>
            <w:tcBorders>
              <w:top w:val="single" w:sz="4" w:space="0" w:color="auto"/>
              <w:left w:val="single" w:sz="4" w:space="0" w:color="auto"/>
              <w:bottom w:val="single" w:sz="4" w:space="0" w:color="000000"/>
              <w:right w:val="single" w:sz="4" w:space="0" w:color="auto"/>
            </w:tcBorders>
            <w:vAlign w:val="center"/>
            <w:hideMark/>
          </w:tcPr>
          <w:p w:rsidR="00993752" w:rsidRPr="00993752" w:rsidRDefault="00993752" w:rsidP="00993752">
            <w:pPr>
              <w:spacing w:after="0" w:line="240" w:lineRule="auto"/>
              <w:rPr>
                <w:rFonts w:ascii="Garamond" w:eastAsia="Times New Roman" w:hAnsi="Garamond" w:cs="Calibri"/>
                <w:b/>
                <w:bCs/>
                <w:color w:val="000000"/>
                <w:sz w:val="20"/>
                <w:szCs w:val="20"/>
                <w:lang w:eastAsia="fr-FR"/>
              </w:rPr>
            </w:pPr>
          </w:p>
        </w:tc>
        <w:tc>
          <w:tcPr>
            <w:tcW w:w="898" w:type="dxa"/>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Urbain</w:t>
            </w:r>
          </w:p>
        </w:tc>
        <w:tc>
          <w:tcPr>
            <w:tcW w:w="982" w:type="dxa"/>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ind w:firstLineChars="100" w:firstLine="201"/>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Rural</w:t>
            </w:r>
          </w:p>
        </w:tc>
        <w:tc>
          <w:tcPr>
            <w:tcW w:w="1222" w:type="dxa"/>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ind w:firstLineChars="100" w:firstLine="201"/>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Ensemble</w:t>
            </w:r>
          </w:p>
        </w:tc>
        <w:tc>
          <w:tcPr>
            <w:tcW w:w="1104" w:type="dxa"/>
            <w:gridSpan w:val="2"/>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ind w:firstLineChars="100" w:firstLine="201"/>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Urbain</w:t>
            </w:r>
          </w:p>
        </w:tc>
        <w:tc>
          <w:tcPr>
            <w:tcW w:w="992" w:type="dxa"/>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ind w:firstLineChars="100" w:firstLine="201"/>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Rural</w:t>
            </w:r>
          </w:p>
        </w:tc>
        <w:tc>
          <w:tcPr>
            <w:tcW w:w="1008" w:type="dxa"/>
            <w:tcBorders>
              <w:top w:val="nil"/>
              <w:left w:val="nil"/>
              <w:bottom w:val="single" w:sz="4" w:space="0" w:color="auto"/>
              <w:right w:val="single" w:sz="4" w:space="0" w:color="auto"/>
            </w:tcBorders>
            <w:shd w:val="clear" w:color="auto" w:fill="auto"/>
            <w:noWrap/>
            <w:vAlign w:val="center"/>
            <w:hideMark/>
          </w:tcPr>
          <w:p w:rsidR="00993752" w:rsidRPr="00993752" w:rsidRDefault="00993752" w:rsidP="009C266C">
            <w:pPr>
              <w:spacing w:after="0" w:line="240" w:lineRule="auto"/>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Ensemble</w:t>
            </w:r>
          </w:p>
        </w:tc>
      </w:tr>
      <w:tr w:rsidR="00993752" w:rsidRPr="00993752" w:rsidTr="00975D85">
        <w:trPr>
          <w:trHeight w:val="313"/>
        </w:trPr>
        <w:tc>
          <w:tcPr>
            <w:tcW w:w="10931"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993752" w:rsidRPr="00993752" w:rsidRDefault="00993752" w:rsidP="00993752">
            <w:pPr>
              <w:spacing w:after="0" w:line="240" w:lineRule="auto"/>
              <w:rPr>
                <w:rFonts w:ascii="Garamond" w:eastAsia="Times New Roman" w:hAnsi="Garamond" w:cs="Calibri"/>
                <w:b/>
                <w:bCs/>
                <w:color w:val="1F497D"/>
                <w:sz w:val="20"/>
                <w:szCs w:val="20"/>
                <w:lang w:eastAsia="fr-FR"/>
              </w:rPr>
            </w:pPr>
            <w:r w:rsidRPr="00993752">
              <w:rPr>
                <w:rFonts w:ascii="Garamond" w:eastAsia="Times New Roman" w:hAnsi="Garamond" w:cs="Calibri"/>
                <w:b/>
                <w:bCs/>
                <w:color w:val="1F497D"/>
                <w:sz w:val="20"/>
                <w:szCs w:val="20"/>
                <w:lang w:eastAsia="fr-FR"/>
              </w:rPr>
              <w:t>Chômage</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Population active en chômage</w:t>
            </w:r>
            <w:r w:rsidR="0095703D">
              <w:rPr>
                <w:rFonts w:ascii="Garamond" w:eastAsia="Times New Roman" w:hAnsi="Garamond" w:cs="Calibri"/>
                <w:b/>
                <w:bCs/>
                <w:color w:val="000000"/>
                <w:sz w:val="20"/>
                <w:szCs w:val="20"/>
                <w:lang w:eastAsia="fr-FR"/>
              </w:rPr>
              <w:t xml:space="preserve"> (en milliers)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1 204</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244</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1 447</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1 142</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236</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1"/>
              <w:jc w:val="right"/>
              <w:rPr>
                <w:rFonts w:ascii="Garamond" w:eastAsia="Times New Roman" w:hAnsi="Garamond" w:cs="Calibri"/>
                <w:b/>
                <w:bCs/>
                <w:color w:val="010205"/>
                <w:sz w:val="20"/>
                <w:szCs w:val="20"/>
                <w:lang w:eastAsia="fr-FR"/>
              </w:rPr>
            </w:pPr>
            <w:r w:rsidRPr="00993752">
              <w:rPr>
                <w:rFonts w:ascii="Garamond" w:eastAsia="Times New Roman" w:hAnsi="Garamond" w:cs="Calibri"/>
                <w:b/>
                <w:bCs/>
                <w:color w:val="010205"/>
                <w:sz w:val="20"/>
                <w:szCs w:val="20"/>
                <w:lang w:eastAsia="fr-FR"/>
              </w:rPr>
              <w:t>1 378</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Taux de féminisation de la population active en chômage</w:t>
            </w:r>
            <w:r w:rsidR="0095703D">
              <w:rPr>
                <w:rFonts w:ascii="Garamond" w:eastAsia="Times New Roman" w:hAnsi="Garamond" w:cs="Calibri"/>
                <w:color w:val="000000"/>
                <w:sz w:val="20"/>
                <w:szCs w:val="20"/>
                <w:lang w:eastAsia="fr-FR"/>
              </w:rPr>
              <w:t xml:space="preserve"> (%)</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35,4</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16,9</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32,3</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38,2</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17,8</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34,7</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Taux de chômage</w:t>
            </w:r>
            <w:r w:rsidR="00E45905">
              <w:rPr>
                <w:rFonts w:ascii="Garamond" w:eastAsia="Times New Roman" w:hAnsi="Garamond" w:cs="Calibri"/>
                <w:color w:val="000000"/>
                <w:sz w:val="20"/>
                <w:szCs w:val="20"/>
                <w:lang w:eastAsia="fr-FR"/>
              </w:rPr>
              <w:t xml:space="preserve"> (%)</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16,0</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5,2</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11,8</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15,0</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5,2</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11,4</w:t>
            </w:r>
          </w:p>
        </w:tc>
      </w:tr>
      <w:tr w:rsidR="00993752" w:rsidRPr="00993752" w:rsidTr="00975D85">
        <w:trPr>
          <w:trHeight w:val="313"/>
        </w:trPr>
        <w:tc>
          <w:tcPr>
            <w:tcW w:w="10931"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993752" w:rsidRPr="00993752" w:rsidRDefault="00993752" w:rsidP="00993752">
            <w:pPr>
              <w:spacing w:after="0" w:line="240" w:lineRule="auto"/>
              <w:ind w:firstLineChars="200" w:firstLine="400"/>
              <w:rPr>
                <w:rFonts w:ascii="Garamond" w:eastAsia="Times New Roman" w:hAnsi="Garamond" w:cs="Calibri"/>
                <w:i/>
                <w:iCs/>
                <w:color w:val="000000"/>
                <w:sz w:val="20"/>
                <w:szCs w:val="20"/>
                <w:lang w:eastAsia="fr-FR"/>
              </w:rPr>
            </w:pPr>
            <w:r w:rsidRPr="00993752">
              <w:rPr>
                <w:rFonts w:ascii="Garamond" w:eastAsia="Times New Roman" w:hAnsi="Garamond" w:cs="Calibri"/>
                <w:i/>
                <w:iCs/>
                <w:color w:val="000000"/>
                <w:sz w:val="20"/>
                <w:szCs w:val="20"/>
                <w:lang w:eastAsia="fr-FR"/>
              </w:rPr>
              <w:t>• Selon le sexe</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Hommes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13,3</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5,7</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10,4</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11,9</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5,5</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9,5</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Femmes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25,0</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3,7</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16,5</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25,5</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4,3</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17,8</w:t>
            </w:r>
          </w:p>
        </w:tc>
      </w:tr>
      <w:tr w:rsidR="00993752" w:rsidRPr="00993752" w:rsidTr="00975D85">
        <w:trPr>
          <w:trHeight w:val="313"/>
        </w:trPr>
        <w:tc>
          <w:tcPr>
            <w:tcW w:w="10931"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993752" w:rsidRPr="00993752" w:rsidRDefault="00993752" w:rsidP="00993752">
            <w:pPr>
              <w:spacing w:after="0" w:line="240" w:lineRule="auto"/>
              <w:ind w:firstLineChars="200" w:firstLine="400"/>
              <w:rPr>
                <w:rFonts w:ascii="Garamond" w:eastAsia="Times New Roman" w:hAnsi="Garamond" w:cs="Calibri"/>
                <w:i/>
                <w:iCs/>
                <w:color w:val="000000"/>
                <w:sz w:val="20"/>
                <w:szCs w:val="20"/>
                <w:lang w:eastAsia="fr-FR"/>
              </w:rPr>
            </w:pPr>
            <w:r w:rsidRPr="00993752">
              <w:rPr>
                <w:rFonts w:ascii="Garamond" w:eastAsia="Times New Roman" w:hAnsi="Garamond" w:cs="Calibri"/>
                <w:i/>
                <w:iCs/>
                <w:color w:val="000000"/>
                <w:sz w:val="20"/>
                <w:szCs w:val="20"/>
                <w:lang w:eastAsia="fr-FR"/>
              </w:rPr>
              <w:t>• Selon l'âge</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15-24 ans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45,2</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15,6</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31,0</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43,8</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17,4</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31,7</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25-34 ans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24,4</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7,2</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18,8</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23,6</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7,2</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18,4</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35-44 ans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8,4</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2,5</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6,3</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8,3</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2,6</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6,4</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45 ans et plus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5,3</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1,5</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3,7</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4,3</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1,4</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3,1</w:t>
            </w:r>
          </w:p>
        </w:tc>
      </w:tr>
      <w:tr w:rsidR="00993752" w:rsidRPr="00993752" w:rsidTr="00975D85">
        <w:trPr>
          <w:trHeight w:val="313"/>
        </w:trPr>
        <w:tc>
          <w:tcPr>
            <w:tcW w:w="10931"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993752" w:rsidRPr="00993752" w:rsidRDefault="00993752" w:rsidP="00993752">
            <w:pPr>
              <w:spacing w:after="0" w:line="240" w:lineRule="auto"/>
              <w:ind w:firstLineChars="200" w:firstLine="400"/>
              <w:rPr>
                <w:rFonts w:ascii="Garamond" w:eastAsia="Times New Roman" w:hAnsi="Garamond" w:cs="Calibri"/>
                <w:i/>
                <w:iCs/>
                <w:color w:val="000000"/>
                <w:sz w:val="20"/>
                <w:szCs w:val="20"/>
                <w:lang w:eastAsia="fr-FR"/>
              </w:rPr>
            </w:pPr>
            <w:r w:rsidRPr="00993752">
              <w:rPr>
                <w:rFonts w:ascii="Garamond" w:eastAsia="Times New Roman" w:hAnsi="Garamond" w:cs="Calibri"/>
                <w:i/>
                <w:iCs/>
                <w:color w:val="000000"/>
                <w:sz w:val="20"/>
                <w:szCs w:val="20"/>
                <w:lang w:eastAsia="fr-FR"/>
              </w:rPr>
              <w:t>• Selon le diplôme</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Non diplômés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7,2</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2,3</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4,4</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6,3</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2,3</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4,1</w:t>
            </w:r>
          </w:p>
        </w:tc>
      </w:tr>
      <w:tr w:rsidR="00993752" w:rsidRPr="00993752" w:rsidTr="00270C80">
        <w:trPr>
          <w:trHeight w:val="313"/>
        </w:trPr>
        <w:tc>
          <w:tcPr>
            <w:tcW w:w="4725" w:type="dxa"/>
            <w:tcBorders>
              <w:top w:val="nil"/>
              <w:left w:val="single" w:sz="4" w:space="0" w:color="auto"/>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400" w:firstLine="800"/>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Diplômés</w:t>
            </w:r>
          </w:p>
        </w:tc>
        <w:tc>
          <w:tcPr>
            <w:tcW w:w="89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20,6</w:t>
            </w:r>
          </w:p>
        </w:tc>
        <w:tc>
          <w:tcPr>
            <w:tcW w:w="98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12,1</w:t>
            </w:r>
          </w:p>
        </w:tc>
        <w:tc>
          <w:tcPr>
            <w:tcW w:w="1222"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18,7</w:t>
            </w:r>
          </w:p>
        </w:tc>
        <w:tc>
          <w:tcPr>
            <w:tcW w:w="956"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19,3</w:t>
            </w:r>
          </w:p>
        </w:tc>
        <w:tc>
          <w:tcPr>
            <w:tcW w:w="1140" w:type="dxa"/>
            <w:gridSpan w:val="2"/>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11,8</w:t>
            </w:r>
          </w:p>
        </w:tc>
        <w:tc>
          <w:tcPr>
            <w:tcW w:w="1008" w:type="dxa"/>
            <w:tcBorders>
              <w:top w:val="nil"/>
              <w:left w:val="nil"/>
              <w:bottom w:val="single" w:sz="4" w:space="0" w:color="auto"/>
              <w:right w:val="single" w:sz="4" w:space="0" w:color="auto"/>
            </w:tcBorders>
            <w:shd w:val="clear" w:color="auto" w:fill="auto"/>
            <w:noWrap/>
            <w:hideMark/>
          </w:tcPr>
          <w:p w:rsidR="00993752" w:rsidRPr="00993752" w:rsidRDefault="00993752" w:rsidP="00993752">
            <w:pPr>
              <w:spacing w:after="0" w:line="240" w:lineRule="auto"/>
              <w:ind w:firstLineChars="100" w:firstLine="200"/>
              <w:jc w:val="right"/>
              <w:rPr>
                <w:rFonts w:ascii="Garamond" w:eastAsia="Times New Roman" w:hAnsi="Garamond" w:cs="Calibri"/>
                <w:color w:val="000000"/>
                <w:sz w:val="20"/>
                <w:szCs w:val="20"/>
                <w:lang w:eastAsia="fr-FR"/>
              </w:rPr>
            </w:pPr>
            <w:r w:rsidRPr="00993752">
              <w:rPr>
                <w:rFonts w:ascii="Garamond" w:eastAsia="Times New Roman" w:hAnsi="Garamond" w:cs="Calibri"/>
                <w:color w:val="000000"/>
                <w:sz w:val="20"/>
                <w:szCs w:val="20"/>
                <w:lang w:eastAsia="fr-FR"/>
              </w:rPr>
              <w:t>17,7</w:t>
            </w:r>
          </w:p>
        </w:tc>
      </w:tr>
    </w:tbl>
    <w:p w:rsidR="00993752" w:rsidRPr="00795A99" w:rsidRDefault="00993752" w:rsidP="00795A99">
      <w:pPr>
        <w:numPr>
          <w:ilvl w:val="0"/>
          <w:numId w:val="6"/>
        </w:numPr>
        <w:tabs>
          <w:tab w:val="left" w:pos="-720"/>
        </w:tabs>
        <w:suppressAutoHyphens/>
        <w:spacing w:line="259" w:lineRule="auto"/>
        <w:contextualSpacing/>
        <w:rPr>
          <w:rFonts w:ascii="Times New Roman" w:eastAsia="Calibri" w:hAnsi="Times New Roman" w:cs="Times New Roman"/>
          <w:b/>
          <w:bCs/>
          <w:color w:val="222222"/>
          <w:sz w:val="20"/>
          <w:szCs w:val="20"/>
          <w:shd w:val="clear" w:color="auto" w:fill="FFFFFF"/>
        </w:rPr>
      </w:pPr>
      <w:r w:rsidRPr="00795A99">
        <w:rPr>
          <w:rFonts w:ascii="Times New Roman" w:eastAsia="Calibri" w:hAnsi="Times New Roman" w:cs="Times New Roman"/>
          <w:b/>
          <w:bCs/>
          <w:color w:val="222222"/>
          <w:sz w:val="20"/>
          <w:szCs w:val="20"/>
          <w:shd w:val="clear" w:color="auto" w:fill="FFFFFF"/>
        </w:rPr>
        <w:t xml:space="preserve">Source : Enquête nationale sur l'emploi, </w:t>
      </w:r>
      <w:r w:rsidR="00270C80" w:rsidRPr="00795A99">
        <w:rPr>
          <w:rFonts w:ascii="Times New Roman" w:eastAsia="Calibri" w:hAnsi="Times New Roman" w:cs="Times New Roman"/>
          <w:b/>
          <w:bCs/>
          <w:color w:val="222222"/>
          <w:sz w:val="20"/>
          <w:szCs w:val="20"/>
          <w:shd w:val="clear" w:color="auto" w:fill="FFFFFF"/>
        </w:rPr>
        <w:t>Haut-commissariat</w:t>
      </w:r>
      <w:r w:rsidRPr="00795A99">
        <w:rPr>
          <w:rFonts w:ascii="Times New Roman" w:eastAsia="Calibri" w:hAnsi="Times New Roman" w:cs="Times New Roman"/>
          <w:b/>
          <w:bCs/>
          <w:color w:val="222222"/>
          <w:sz w:val="20"/>
          <w:szCs w:val="20"/>
          <w:shd w:val="clear" w:color="auto" w:fill="FFFFFF"/>
        </w:rPr>
        <w:t xml:space="preserve"> au Plan </w:t>
      </w:r>
    </w:p>
    <w:p w:rsidR="00993752" w:rsidRPr="00795A99" w:rsidRDefault="00993752" w:rsidP="00795A99">
      <w:pPr>
        <w:numPr>
          <w:ilvl w:val="0"/>
          <w:numId w:val="6"/>
        </w:numPr>
        <w:tabs>
          <w:tab w:val="left" w:pos="-720"/>
        </w:tabs>
        <w:suppressAutoHyphens/>
        <w:spacing w:line="259" w:lineRule="auto"/>
        <w:contextualSpacing/>
        <w:rPr>
          <w:rFonts w:ascii="Times New Roman" w:eastAsia="Calibri" w:hAnsi="Times New Roman" w:cs="Times New Roman"/>
          <w:b/>
          <w:bCs/>
          <w:color w:val="222222"/>
          <w:sz w:val="20"/>
          <w:szCs w:val="20"/>
          <w:shd w:val="clear" w:color="auto" w:fill="FFFFFF"/>
        </w:rPr>
      </w:pPr>
      <w:r w:rsidRPr="00795A99">
        <w:rPr>
          <w:rFonts w:ascii="Times New Roman" w:eastAsia="Calibri" w:hAnsi="Times New Roman" w:cs="Times New Roman"/>
          <w:b/>
          <w:bCs/>
          <w:color w:val="222222"/>
          <w:sz w:val="20"/>
          <w:szCs w:val="20"/>
          <w:shd w:val="clear" w:color="auto" w:fill="FFFFFF"/>
        </w:rPr>
        <w:t xml:space="preserve">Pour les définitions des concepts et indicateurs utilisés, se référer au glossaire disponible sur le site web du HCP : </w:t>
      </w:r>
      <w:hyperlink r:id="rId16" w:history="1">
        <w:r w:rsidRPr="00795A99">
          <w:rPr>
            <w:rFonts w:ascii="Times New Roman" w:eastAsia="Calibri" w:hAnsi="Times New Roman" w:cs="Times New Roman"/>
            <w:b/>
            <w:bCs/>
            <w:color w:val="222222"/>
            <w:sz w:val="20"/>
            <w:szCs w:val="20"/>
            <w:shd w:val="clear" w:color="auto" w:fill="FFFFFF"/>
          </w:rPr>
          <w:t>http://www.hcp.ma</w:t>
        </w:r>
      </w:hyperlink>
      <w:r w:rsidRPr="00795A99">
        <w:rPr>
          <w:rFonts w:ascii="Times New Roman" w:eastAsia="Calibri" w:hAnsi="Times New Roman" w:cs="Times New Roman"/>
          <w:b/>
          <w:bCs/>
          <w:color w:val="222222"/>
          <w:sz w:val="20"/>
          <w:szCs w:val="20"/>
          <w:shd w:val="clear" w:color="auto" w:fill="FFFFFF"/>
        </w:rPr>
        <w:t>.</w:t>
      </w:r>
    </w:p>
    <w:p w:rsidR="00993752" w:rsidRPr="00795A99" w:rsidRDefault="00993752" w:rsidP="00795A99">
      <w:pPr>
        <w:numPr>
          <w:ilvl w:val="0"/>
          <w:numId w:val="6"/>
        </w:numPr>
        <w:tabs>
          <w:tab w:val="left" w:pos="-720"/>
        </w:tabs>
        <w:suppressAutoHyphens/>
        <w:spacing w:line="259" w:lineRule="auto"/>
        <w:contextualSpacing/>
        <w:jc w:val="both"/>
        <w:rPr>
          <w:rFonts w:ascii="Times New Roman" w:eastAsia="Calibri" w:hAnsi="Times New Roman" w:cs="Times New Roman"/>
          <w:b/>
          <w:bCs/>
          <w:color w:val="222222"/>
          <w:sz w:val="20"/>
          <w:szCs w:val="20"/>
          <w:shd w:val="clear" w:color="auto" w:fill="FFFFFF"/>
        </w:rPr>
      </w:pPr>
      <w:r w:rsidRPr="00795A99">
        <w:rPr>
          <w:rFonts w:ascii="Times New Roman" w:eastAsia="Calibri" w:hAnsi="Times New Roman" w:cs="Times New Roman"/>
          <w:b/>
          <w:bCs/>
          <w:color w:val="222222"/>
          <w:sz w:val="20"/>
          <w:szCs w:val="20"/>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993752" w:rsidRDefault="00993752" w:rsidP="003165F6">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993752" w:rsidRPr="000D1F33" w:rsidRDefault="00993752" w:rsidP="0095703D">
      <w:pPr>
        <w:tabs>
          <w:tab w:val="left" w:pos="-720"/>
        </w:tabs>
        <w:suppressAutoHyphens/>
        <w:spacing w:line="259" w:lineRule="auto"/>
        <w:contextualSpacing/>
        <w:jc w:val="center"/>
        <w:rPr>
          <w:rFonts w:ascii="Times New Roman" w:eastAsia="Calibri" w:hAnsi="Times New Roman" w:cs="Times New Roman"/>
          <w:color w:val="222222"/>
          <w:sz w:val="20"/>
          <w:szCs w:val="20"/>
          <w:shd w:val="clear" w:color="auto" w:fill="FFFFFF"/>
        </w:rPr>
      </w:pPr>
      <w:r w:rsidRPr="000D1F33">
        <w:rPr>
          <w:rFonts w:ascii="Book Antiqua" w:eastAsia="Book Antiqua" w:hAnsi="Book Antiqua" w:cs="Book Antiqua"/>
          <w:b/>
          <w:color w:val="0070C0"/>
          <w:sz w:val="20"/>
          <w:szCs w:val="20"/>
        </w:rPr>
        <w:lastRenderedPageBreak/>
        <w:t>Tableau 2 : Taux d'activité, d’emploi et de chômage par région (en</w:t>
      </w:r>
      <w:r w:rsidR="00937D58">
        <w:rPr>
          <w:rFonts w:ascii="Book Antiqua" w:eastAsia="Book Antiqua" w:hAnsi="Book Antiqua" w:cs="Book Antiqua"/>
          <w:b/>
          <w:color w:val="0070C0"/>
          <w:sz w:val="20"/>
          <w:szCs w:val="20"/>
        </w:rPr>
        <w:t xml:space="preserve"> </w:t>
      </w:r>
      <w:r w:rsidR="00937D58" w:rsidRPr="000D1F33">
        <w:rPr>
          <w:rFonts w:ascii="Book Antiqua" w:eastAsia="Book Antiqua" w:hAnsi="Book Antiqua" w:cs="Book Antiqua"/>
          <w:b/>
          <w:color w:val="0070C0"/>
          <w:sz w:val="20"/>
          <w:szCs w:val="20"/>
        </w:rPr>
        <w:t>%</w:t>
      </w:r>
      <w:r w:rsidR="00937D58">
        <w:rPr>
          <w:rFonts w:ascii="Book Antiqua" w:eastAsia="Book Antiqua" w:hAnsi="Book Antiqua" w:cs="Book Antiqua"/>
          <w:b/>
          <w:color w:val="0070C0"/>
          <w:sz w:val="20"/>
          <w:szCs w:val="20"/>
        </w:rPr>
        <w:t>)</w:t>
      </w:r>
    </w:p>
    <w:tbl>
      <w:tblPr>
        <w:tblW w:w="9094" w:type="dxa"/>
        <w:jc w:val="center"/>
        <w:tblCellMar>
          <w:left w:w="70" w:type="dxa"/>
          <w:right w:w="70" w:type="dxa"/>
        </w:tblCellMar>
        <w:tblLook w:val="04A0"/>
      </w:tblPr>
      <w:tblGrid>
        <w:gridCol w:w="4279"/>
        <w:gridCol w:w="2407"/>
        <w:gridCol w:w="2408"/>
      </w:tblGrid>
      <w:tr w:rsidR="0095703D" w:rsidRPr="00993752" w:rsidTr="00993752">
        <w:trPr>
          <w:trHeight w:val="316"/>
          <w:jc w:val="center"/>
        </w:trPr>
        <w:tc>
          <w:tcPr>
            <w:tcW w:w="4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03D" w:rsidRPr="00993752" w:rsidRDefault="0095703D" w:rsidP="001947D6">
            <w:pPr>
              <w:spacing w:after="0" w:line="240" w:lineRule="auto"/>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 </w:t>
            </w:r>
          </w:p>
        </w:tc>
        <w:tc>
          <w:tcPr>
            <w:tcW w:w="2407" w:type="dxa"/>
            <w:tcBorders>
              <w:top w:val="single" w:sz="4" w:space="0" w:color="auto"/>
              <w:left w:val="nil"/>
              <w:bottom w:val="single" w:sz="4" w:space="0" w:color="auto"/>
              <w:right w:val="single" w:sz="4" w:space="0" w:color="auto"/>
            </w:tcBorders>
            <w:shd w:val="clear" w:color="auto" w:fill="auto"/>
            <w:noWrap/>
            <w:hideMark/>
          </w:tcPr>
          <w:p w:rsidR="0095703D" w:rsidRPr="00993752" w:rsidRDefault="0095703D" w:rsidP="00175477">
            <w:pPr>
              <w:spacing w:after="0" w:line="240" w:lineRule="auto"/>
              <w:jc w:val="center"/>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2021T3</w:t>
            </w:r>
          </w:p>
        </w:tc>
        <w:tc>
          <w:tcPr>
            <w:tcW w:w="2408" w:type="dxa"/>
            <w:tcBorders>
              <w:top w:val="single" w:sz="4" w:space="0" w:color="auto"/>
              <w:left w:val="nil"/>
              <w:bottom w:val="single" w:sz="4" w:space="0" w:color="auto"/>
              <w:right w:val="single" w:sz="4" w:space="0" w:color="auto"/>
            </w:tcBorders>
            <w:shd w:val="clear" w:color="auto" w:fill="auto"/>
            <w:noWrap/>
            <w:hideMark/>
          </w:tcPr>
          <w:p w:rsidR="0095703D" w:rsidRPr="00993752" w:rsidRDefault="0095703D" w:rsidP="00175477">
            <w:pPr>
              <w:spacing w:after="0" w:line="240" w:lineRule="auto"/>
              <w:jc w:val="center"/>
              <w:rPr>
                <w:rFonts w:ascii="Garamond" w:eastAsia="Times New Roman" w:hAnsi="Garamond" w:cs="Calibri"/>
                <w:b/>
                <w:bCs/>
                <w:color w:val="000000"/>
                <w:sz w:val="20"/>
                <w:szCs w:val="20"/>
                <w:lang w:eastAsia="fr-FR"/>
              </w:rPr>
            </w:pPr>
            <w:r w:rsidRPr="00993752">
              <w:rPr>
                <w:rFonts w:ascii="Garamond" w:eastAsia="Times New Roman" w:hAnsi="Garamond" w:cs="Calibri"/>
                <w:b/>
                <w:bCs/>
                <w:color w:val="000000"/>
                <w:sz w:val="20"/>
                <w:szCs w:val="20"/>
                <w:lang w:eastAsia="fr-FR"/>
              </w:rPr>
              <w:t>2022T3</w:t>
            </w:r>
          </w:p>
        </w:tc>
      </w:tr>
      <w:tr w:rsidR="00993752" w:rsidRPr="00993752" w:rsidTr="00993752">
        <w:trPr>
          <w:trHeight w:val="316"/>
          <w:jc w:val="center"/>
        </w:trPr>
        <w:tc>
          <w:tcPr>
            <w:tcW w:w="90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93752" w:rsidRPr="00993752" w:rsidRDefault="00993752" w:rsidP="001947D6">
            <w:pPr>
              <w:spacing w:after="0" w:line="240" w:lineRule="auto"/>
              <w:rPr>
                <w:rFonts w:ascii="Times New Roman" w:eastAsia="Times New Roman" w:hAnsi="Times New Roman" w:cs="Times New Roman"/>
                <w:b/>
                <w:bCs/>
                <w:sz w:val="20"/>
                <w:szCs w:val="20"/>
              </w:rPr>
            </w:pPr>
            <w:r w:rsidRPr="00993752">
              <w:rPr>
                <w:rFonts w:ascii="Times New Roman" w:eastAsia="Times New Roman" w:hAnsi="Times New Roman" w:cs="Times New Roman"/>
                <w:b/>
                <w:bCs/>
                <w:color w:val="0070C0"/>
                <w:sz w:val="20"/>
                <w:szCs w:val="20"/>
                <w:lang w:eastAsia="fr-FR"/>
              </w:rPr>
              <w:t>Taux d'activité (des 15 ans et plus</w:t>
            </w:r>
            <w:r w:rsidRPr="00993752">
              <w:rPr>
                <w:rFonts w:ascii="Times New Roman" w:eastAsia="Times New Roman" w:hAnsi="Times New Roman" w:cs="Times New Roman"/>
                <w:b/>
                <w:bCs/>
                <w:sz w:val="20"/>
                <w:szCs w:val="20"/>
              </w:rPr>
              <w:t>)</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Tanger-Tétouan-Al Hoceïma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50,9</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49,9</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Oriental</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42,1</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41,6</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Fès-Meknès</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42,3</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42,5</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Rabat-Salé-Kénitra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43,7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44,4</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Béni Mellal-Khénifra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44,7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40,9</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Casablanca-Settat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47,7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46,6</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Marrakech-Safi</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46,0</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45,2</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Drâa-Tafilalet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40,9</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38,5</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Souss-Massa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41,2</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37,7</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Régions du Sud</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44,5</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42,9</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1"/>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Ensemble</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45,1</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44,0</w:t>
            </w:r>
          </w:p>
        </w:tc>
      </w:tr>
      <w:tr w:rsidR="00993752" w:rsidRPr="00993752" w:rsidTr="00993752">
        <w:trPr>
          <w:trHeight w:val="316"/>
          <w:jc w:val="center"/>
        </w:trPr>
        <w:tc>
          <w:tcPr>
            <w:tcW w:w="90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93752" w:rsidRPr="00993752" w:rsidRDefault="00993752" w:rsidP="001947D6">
            <w:pPr>
              <w:spacing w:after="0" w:line="240" w:lineRule="auto"/>
              <w:rPr>
                <w:rFonts w:ascii="Times New Roman" w:eastAsia="Times New Roman" w:hAnsi="Times New Roman" w:cs="Times New Roman"/>
                <w:b/>
                <w:bCs/>
                <w:sz w:val="20"/>
                <w:szCs w:val="20"/>
              </w:rPr>
            </w:pPr>
            <w:r w:rsidRPr="00993752">
              <w:rPr>
                <w:rFonts w:ascii="Times New Roman" w:eastAsia="Times New Roman" w:hAnsi="Times New Roman" w:cs="Times New Roman"/>
                <w:b/>
                <w:bCs/>
                <w:color w:val="0070C0"/>
                <w:sz w:val="20"/>
                <w:szCs w:val="20"/>
                <w:lang w:eastAsia="fr-FR"/>
              </w:rPr>
              <w:t>Taux d'emploi (des 15 ans et plus)</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Tanger-Tétouan-Al Hoceïma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45,8</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45,5</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Oriental</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34,7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35,5</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Fès-Meknès</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36,7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37,0</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Rabat-Salé-Kénitra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38,7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39,4</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Béni Mellal-Khénifra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40,3</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36,2</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Casablanca-Settat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41,6</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40,7</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Marrakech-Safi</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42,4</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42,1</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Drâa-Tafilalet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35,8</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34,6</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Souss-Massa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36,7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33,3</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Régions du Sud</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35,9</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33,9</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1"/>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Ensemble</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39,8</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39,0</w:t>
            </w:r>
          </w:p>
        </w:tc>
      </w:tr>
      <w:tr w:rsidR="00993752" w:rsidRPr="00993752" w:rsidTr="00993752">
        <w:trPr>
          <w:trHeight w:val="316"/>
          <w:jc w:val="center"/>
        </w:trPr>
        <w:tc>
          <w:tcPr>
            <w:tcW w:w="9094"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993752" w:rsidRPr="00993752" w:rsidRDefault="00993752" w:rsidP="001947D6">
            <w:pPr>
              <w:spacing w:after="0" w:line="240" w:lineRule="auto"/>
              <w:rPr>
                <w:rFonts w:ascii="Times New Roman" w:eastAsia="Times New Roman" w:hAnsi="Times New Roman" w:cs="Times New Roman"/>
                <w:b/>
                <w:bCs/>
                <w:sz w:val="20"/>
                <w:szCs w:val="20"/>
              </w:rPr>
            </w:pPr>
            <w:r w:rsidRPr="00993752">
              <w:rPr>
                <w:rFonts w:ascii="Times New Roman" w:eastAsia="Times New Roman" w:hAnsi="Times New Roman" w:cs="Times New Roman"/>
                <w:b/>
                <w:bCs/>
                <w:sz w:val="20"/>
                <w:szCs w:val="20"/>
              </w:rPr>
              <w:t>Taux de chômage</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Tanger-Tétouan-Al Hoceïma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10,0</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8,8</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Oriental</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17,4</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14,6</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Fès-Meknès</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13,2</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13,0</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Rabat-Salé-Kénitra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11,5</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11,2</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Béni Mellal-Khénifra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10,0</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11,6</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Casablanca-Settat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12,8</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12,5</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Marrakech-Safi</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7,7</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6,9</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Drâa-Tafilalet</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12,5</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10,0</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Souss-Massa</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11,0</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11,7</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0"/>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Régions du Sud</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19,2</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0"/>
              <w:jc w:val="center"/>
              <w:rPr>
                <w:rFonts w:ascii="Times New Roman" w:eastAsia="Times New Roman" w:hAnsi="Times New Roman" w:cs="Times New Roman"/>
                <w:color w:val="000000"/>
                <w:sz w:val="20"/>
                <w:szCs w:val="20"/>
              </w:rPr>
            </w:pPr>
            <w:r w:rsidRPr="00993752">
              <w:rPr>
                <w:rFonts w:ascii="Times New Roman" w:eastAsia="Times New Roman" w:hAnsi="Times New Roman" w:cs="Times New Roman"/>
                <w:color w:val="000000"/>
                <w:sz w:val="20"/>
                <w:szCs w:val="20"/>
              </w:rPr>
              <w:t>21,0</w:t>
            </w:r>
          </w:p>
        </w:tc>
      </w:tr>
      <w:tr w:rsidR="00993752" w:rsidRPr="00993752" w:rsidTr="00993752">
        <w:trPr>
          <w:trHeight w:val="316"/>
          <w:jc w:val="center"/>
        </w:trPr>
        <w:tc>
          <w:tcPr>
            <w:tcW w:w="4279" w:type="dxa"/>
            <w:tcBorders>
              <w:top w:val="nil"/>
              <w:left w:val="single" w:sz="4" w:space="0" w:color="auto"/>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100" w:firstLine="201"/>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Ensemble</w:t>
            </w:r>
          </w:p>
        </w:tc>
        <w:tc>
          <w:tcPr>
            <w:tcW w:w="2407"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11,8</w:t>
            </w:r>
          </w:p>
        </w:tc>
        <w:tc>
          <w:tcPr>
            <w:tcW w:w="2408" w:type="dxa"/>
            <w:tcBorders>
              <w:top w:val="nil"/>
              <w:left w:val="nil"/>
              <w:bottom w:val="single" w:sz="4" w:space="0" w:color="auto"/>
              <w:right w:val="single" w:sz="4" w:space="0" w:color="auto"/>
            </w:tcBorders>
            <w:shd w:val="clear" w:color="auto" w:fill="auto"/>
            <w:noWrap/>
            <w:vAlign w:val="bottom"/>
            <w:hideMark/>
          </w:tcPr>
          <w:p w:rsidR="00993752" w:rsidRPr="00993752" w:rsidRDefault="00993752" w:rsidP="00993752">
            <w:pPr>
              <w:spacing w:after="0" w:line="240" w:lineRule="auto"/>
              <w:ind w:firstLineChars="300" w:firstLine="602"/>
              <w:jc w:val="center"/>
              <w:rPr>
                <w:rFonts w:ascii="Times New Roman" w:eastAsia="Times New Roman" w:hAnsi="Times New Roman" w:cs="Times New Roman"/>
                <w:b/>
                <w:bCs/>
                <w:color w:val="000000"/>
                <w:sz w:val="20"/>
                <w:szCs w:val="20"/>
              </w:rPr>
            </w:pPr>
            <w:r w:rsidRPr="00993752">
              <w:rPr>
                <w:rFonts w:ascii="Times New Roman" w:eastAsia="Times New Roman" w:hAnsi="Times New Roman" w:cs="Times New Roman"/>
                <w:b/>
                <w:bCs/>
                <w:color w:val="000000"/>
                <w:sz w:val="20"/>
                <w:szCs w:val="20"/>
              </w:rPr>
              <w:t>11,4</w:t>
            </w:r>
          </w:p>
        </w:tc>
      </w:tr>
    </w:tbl>
    <w:p w:rsidR="00CE7F21" w:rsidRPr="00D14168" w:rsidRDefault="00CE7F21" w:rsidP="00CE7F21">
      <w:pPr>
        <w:tabs>
          <w:tab w:val="left" w:pos="-720"/>
        </w:tabs>
        <w:suppressAutoHyphens/>
        <w:spacing w:line="259" w:lineRule="auto"/>
        <w:contextualSpacing/>
        <w:jc w:val="both"/>
        <w:rPr>
          <w:rFonts w:ascii="Times New Roman" w:eastAsia="Calibri" w:hAnsi="Times New Roman" w:cs="Times New Roman"/>
          <w:color w:val="222222"/>
          <w:sz w:val="20"/>
          <w:szCs w:val="20"/>
          <w:shd w:val="clear" w:color="auto" w:fill="FFFFFF"/>
        </w:rPr>
      </w:pPr>
      <w:r w:rsidRPr="00D14168">
        <w:rPr>
          <w:rFonts w:ascii="Times New Roman" w:eastAsia="Calibri" w:hAnsi="Times New Roman" w:cs="Times New Roman"/>
          <w:color w:val="222222"/>
          <w:sz w:val="20"/>
          <w:szCs w:val="20"/>
          <w:shd w:val="clear" w:color="auto" w:fill="FFFFFF"/>
        </w:rPr>
        <w:t xml:space="preserve">Source : Enquête nationale sur l'emploi, </w:t>
      </w:r>
      <w:r w:rsidR="00270C80" w:rsidRPr="00D14168">
        <w:rPr>
          <w:rFonts w:ascii="Times New Roman" w:eastAsia="Calibri" w:hAnsi="Times New Roman" w:cs="Times New Roman"/>
          <w:color w:val="222222"/>
          <w:sz w:val="20"/>
          <w:szCs w:val="20"/>
          <w:shd w:val="clear" w:color="auto" w:fill="FFFFFF"/>
        </w:rPr>
        <w:t>Haut-commissariat</w:t>
      </w:r>
      <w:r w:rsidRPr="00D14168">
        <w:rPr>
          <w:rFonts w:ascii="Times New Roman" w:eastAsia="Calibri" w:hAnsi="Times New Roman" w:cs="Times New Roman"/>
          <w:color w:val="222222"/>
          <w:sz w:val="20"/>
          <w:szCs w:val="20"/>
          <w:shd w:val="clear" w:color="auto" w:fill="FFFFFF"/>
        </w:rPr>
        <w:t xml:space="preserve"> au Plan </w:t>
      </w:r>
    </w:p>
    <w:p w:rsidR="00993752" w:rsidRPr="00993752" w:rsidRDefault="003F7460" w:rsidP="00CE7F21">
      <w:pPr>
        <w:spacing w:line="259" w:lineRule="auto"/>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t xml:space="preserve">   </w:t>
      </w:r>
    </w:p>
    <w:sectPr w:rsidR="00993752" w:rsidRPr="00993752" w:rsidSect="00AE2445">
      <w:headerReference w:type="default" r:id="rId17"/>
      <w:footerReference w:type="default" r:id="rId18"/>
      <w:headerReference w:type="first" r:id="rId19"/>
      <w:pgSz w:w="11906" w:h="16838"/>
      <w:pgMar w:top="1417" w:right="1417" w:bottom="1417" w:left="1417" w:header="708" w:footer="708" w:gutter="0"/>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503" w:rsidRDefault="00934503" w:rsidP="002D0FCF">
      <w:pPr>
        <w:spacing w:after="0" w:line="240" w:lineRule="auto"/>
      </w:pPr>
      <w:r>
        <w:separator/>
      </w:r>
    </w:p>
  </w:endnote>
  <w:endnote w:type="continuationSeparator" w:id="1">
    <w:p w:rsidR="00934503" w:rsidRDefault="00934503" w:rsidP="002D0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33047"/>
      <w:docPartObj>
        <w:docPartGallery w:val="Page Numbers (Bottom of Page)"/>
        <w:docPartUnique/>
      </w:docPartObj>
    </w:sdtPr>
    <w:sdtContent>
      <w:p w:rsidR="0019201C" w:rsidRDefault="00592349">
        <w:pPr>
          <w:pStyle w:val="Pieddepage"/>
          <w:jc w:val="center"/>
        </w:pPr>
        <w:r w:rsidRPr="00F554F3">
          <w:rPr>
            <w:sz w:val="18"/>
            <w:szCs w:val="18"/>
          </w:rPr>
          <w:fldChar w:fldCharType="begin"/>
        </w:r>
        <w:r w:rsidR="0019201C" w:rsidRPr="00F554F3">
          <w:rPr>
            <w:sz w:val="18"/>
            <w:szCs w:val="18"/>
          </w:rPr>
          <w:instrText xml:space="preserve"> PAGE   \* MERGEFORMAT </w:instrText>
        </w:r>
        <w:r w:rsidRPr="00F554F3">
          <w:rPr>
            <w:sz w:val="18"/>
            <w:szCs w:val="18"/>
          </w:rPr>
          <w:fldChar w:fldCharType="separate"/>
        </w:r>
        <w:r w:rsidR="00B36FEB">
          <w:rPr>
            <w:noProof/>
            <w:sz w:val="18"/>
            <w:szCs w:val="18"/>
          </w:rPr>
          <w:t>2</w:t>
        </w:r>
        <w:r w:rsidRPr="00F554F3">
          <w:rPr>
            <w:sz w:val="18"/>
            <w:szCs w:val="18"/>
          </w:rPr>
          <w:fldChar w:fldCharType="end"/>
        </w:r>
      </w:p>
    </w:sdtContent>
  </w:sdt>
  <w:p w:rsidR="0019201C" w:rsidRDefault="001920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503" w:rsidRDefault="00934503" w:rsidP="002D0FCF">
      <w:pPr>
        <w:spacing w:after="0" w:line="240" w:lineRule="auto"/>
      </w:pPr>
      <w:r>
        <w:separator/>
      </w:r>
    </w:p>
  </w:footnote>
  <w:footnote w:type="continuationSeparator" w:id="1">
    <w:p w:rsidR="00934503" w:rsidRDefault="00934503" w:rsidP="002D0F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45" w:rsidRDefault="00AE2445" w:rsidP="00AE2445">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45" w:rsidRDefault="00AE2445" w:rsidP="00AE2445">
    <w:pPr>
      <w:pStyle w:val="En-tte"/>
      <w:jc w:val="center"/>
    </w:pPr>
    <w:r w:rsidRPr="00AE2445">
      <w:drawing>
        <wp:inline distT="0" distB="0" distL="0" distR="0">
          <wp:extent cx="1193800" cy="1033961"/>
          <wp:effectExtent l="19050" t="0" r="635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4549" cy="10346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09175B9"/>
    <w:multiLevelType w:val="hybridMultilevel"/>
    <w:tmpl w:val="3348DD78"/>
    <w:lvl w:ilvl="0" w:tplc="C0BEF51E">
      <w:start w:val="3"/>
      <w:numFmt w:val="upperRoman"/>
      <w:lvlText w:val="%1."/>
      <w:lvlJc w:val="left"/>
      <w:pPr>
        <w:ind w:left="1080" w:hanging="720"/>
      </w:pPr>
      <w:rPr>
        <w:rFonts w:eastAsia="Book Antiqua" w:cs="Book Antiqua"/>
        <w:i w:val="0"/>
        <w:color w:val="0070C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9478BE"/>
    <w:rsid w:val="00004964"/>
    <w:rsid w:val="000133A2"/>
    <w:rsid w:val="0003221D"/>
    <w:rsid w:val="00036323"/>
    <w:rsid w:val="00041C3A"/>
    <w:rsid w:val="00055130"/>
    <w:rsid w:val="00061642"/>
    <w:rsid w:val="00063E66"/>
    <w:rsid w:val="00070426"/>
    <w:rsid w:val="000727E4"/>
    <w:rsid w:val="000764D3"/>
    <w:rsid w:val="0008360C"/>
    <w:rsid w:val="000A7A59"/>
    <w:rsid w:val="000C5070"/>
    <w:rsid w:val="000C573D"/>
    <w:rsid w:val="000D0344"/>
    <w:rsid w:val="000D0AEC"/>
    <w:rsid w:val="000F4F7E"/>
    <w:rsid w:val="00106064"/>
    <w:rsid w:val="001112BC"/>
    <w:rsid w:val="0011152E"/>
    <w:rsid w:val="0012221D"/>
    <w:rsid w:val="00131A56"/>
    <w:rsid w:val="00132411"/>
    <w:rsid w:val="00150ED6"/>
    <w:rsid w:val="00151F1D"/>
    <w:rsid w:val="00172133"/>
    <w:rsid w:val="00173581"/>
    <w:rsid w:val="001747B8"/>
    <w:rsid w:val="00175477"/>
    <w:rsid w:val="00184C39"/>
    <w:rsid w:val="00190572"/>
    <w:rsid w:val="0019201C"/>
    <w:rsid w:val="0019358C"/>
    <w:rsid w:val="001947D6"/>
    <w:rsid w:val="001A0278"/>
    <w:rsid w:val="001B2264"/>
    <w:rsid w:val="001B5566"/>
    <w:rsid w:val="001C4322"/>
    <w:rsid w:val="001D797A"/>
    <w:rsid w:val="001E0408"/>
    <w:rsid w:val="001E75ED"/>
    <w:rsid w:val="001F21D2"/>
    <w:rsid w:val="00201F0E"/>
    <w:rsid w:val="002041A6"/>
    <w:rsid w:val="002129E8"/>
    <w:rsid w:val="00222044"/>
    <w:rsid w:val="002266D0"/>
    <w:rsid w:val="00227A95"/>
    <w:rsid w:val="00236946"/>
    <w:rsid w:val="0023793F"/>
    <w:rsid w:val="00246760"/>
    <w:rsid w:val="00255A6C"/>
    <w:rsid w:val="00270C80"/>
    <w:rsid w:val="00294868"/>
    <w:rsid w:val="002A075C"/>
    <w:rsid w:val="002A0851"/>
    <w:rsid w:val="002A0BA7"/>
    <w:rsid w:val="002A1804"/>
    <w:rsid w:val="002B6495"/>
    <w:rsid w:val="002B6B5C"/>
    <w:rsid w:val="002C5DF4"/>
    <w:rsid w:val="002D001B"/>
    <w:rsid w:val="002D0FCF"/>
    <w:rsid w:val="002D1341"/>
    <w:rsid w:val="002D2C53"/>
    <w:rsid w:val="002D324D"/>
    <w:rsid w:val="002E6D3D"/>
    <w:rsid w:val="002F4B35"/>
    <w:rsid w:val="002F570A"/>
    <w:rsid w:val="003052C0"/>
    <w:rsid w:val="00307174"/>
    <w:rsid w:val="003154CF"/>
    <w:rsid w:val="003165F6"/>
    <w:rsid w:val="00317E8B"/>
    <w:rsid w:val="00321A77"/>
    <w:rsid w:val="00327626"/>
    <w:rsid w:val="00331707"/>
    <w:rsid w:val="0033209A"/>
    <w:rsid w:val="00337217"/>
    <w:rsid w:val="0034673D"/>
    <w:rsid w:val="003513E8"/>
    <w:rsid w:val="00353770"/>
    <w:rsid w:val="003671E9"/>
    <w:rsid w:val="00383415"/>
    <w:rsid w:val="00385027"/>
    <w:rsid w:val="003904BF"/>
    <w:rsid w:val="00393D54"/>
    <w:rsid w:val="003A6E99"/>
    <w:rsid w:val="003B7438"/>
    <w:rsid w:val="003F7460"/>
    <w:rsid w:val="00434E80"/>
    <w:rsid w:val="00451729"/>
    <w:rsid w:val="00452E2B"/>
    <w:rsid w:val="004763DC"/>
    <w:rsid w:val="00486B4D"/>
    <w:rsid w:val="004912ED"/>
    <w:rsid w:val="00494483"/>
    <w:rsid w:val="004A43A3"/>
    <w:rsid w:val="004A5C53"/>
    <w:rsid w:val="004A603E"/>
    <w:rsid w:val="004C37C0"/>
    <w:rsid w:val="004D0C71"/>
    <w:rsid w:val="004E46B2"/>
    <w:rsid w:val="004F0B83"/>
    <w:rsid w:val="005072FB"/>
    <w:rsid w:val="00510A7D"/>
    <w:rsid w:val="005276BC"/>
    <w:rsid w:val="00535E49"/>
    <w:rsid w:val="0054730B"/>
    <w:rsid w:val="00555FC1"/>
    <w:rsid w:val="0056284A"/>
    <w:rsid w:val="005655AA"/>
    <w:rsid w:val="00571042"/>
    <w:rsid w:val="00571E10"/>
    <w:rsid w:val="00581577"/>
    <w:rsid w:val="00583F8A"/>
    <w:rsid w:val="00592349"/>
    <w:rsid w:val="005958DF"/>
    <w:rsid w:val="005B1D6D"/>
    <w:rsid w:val="005C4CF8"/>
    <w:rsid w:val="005C7331"/>
    <w:rsid w:val="005D1CF2"/>
    <w:rsid w:val="005D2B65"/>
    <w:rsid w:val="005E092F"/>
    <w:rsid w:val="005F6E0E"/>
    <w:rsid w:val="00610C84"/>
    <w:rsid w:val="00623121"/>
    <w:rsid w:val="0062330B"/>
    <w:rsid w:val="006237D4"/>
    <w:rsid w:val="00626D02"/>
    <w:rsid w:val="0063571D"/>
    <w:rsid w:val="0065036F"/>
    <w:rsid w:val="00650AEF"/>
    <w:rsid w:val="006649A1"/>
    <w:rsid w:val="00673171"/>
    <w:rsid w:val="0068654C"/>
    <w:rsid w:val="006944D9"/>
    <w:rsid w:val="00695DAA"/>
    <w:rsid w:val="006A0F94"/>
    <w:rsid w:val="006A7F11"/>
    <w:rsid w:val="006B2554"/>
    <w:rsid w:val="006B3846"/>
    <w:rsid w:val="006B4942"/>
    <w:rsid w:val="006B5159"/>
    <w:rsid w:val="006C3280"/>
    <w:rsid w:val="006D4BCF"/>
    <w:rsid w:val="00703A56"/>
    <w:rsid w:val="00703C2E"/>
    <w:rsid w:val="007077DC"/>
    <w:rsid w:val="00714569"/>
    <w:rsid w:val="00714C25"/>
    <w:rsid w:val="0072419D"/>
    <w:rsid w:val="0072652D"/>
    <w:rsid w:val="00731A17"/>
    <w:rsid w:val="00734862"/>
    <w:rsid w:val="00736EF9"/>
    <w:rsid w:val="007440B2"/>
    <w:rsid w:val="00751129"/>
    <w:rsid w:val="007635BA"/>
    <w:rsid w:val="0076710C"/>
    <w:rsid w:val="007738D9"/>
    <w:rsid w:val="00775983"/>
    <w:rsid w:val="00793F4D"/>
    <w:rsid w:val="00795A99"/>
    <w:rsid w:val="007B2DB4"/>
    <w:rsid w:val="007B66BE"/>
    <w:rsid w:val="007D3D48"/>
    <w:rsid w:val="007D5FEF"/>
    <w:rsid w:val="007D7AC6"/>
    <w:rsid w:val="00805346"/>
    <w:rsid w:val="008063FC"/>
    <w:rsid w:val="008065D7"/>
    <w:rsid w:val="0082638E"/>
    <w:rsid w:val="00826A47"/>
    <w:rsid w:val="00843D9E"/>
    <w:rsid w:val="00846C34"/>
    <w:rsid w:val="00874561"/>
    <w:rsid w:val="008921DC"/>
    <w:rsid w:val="008D3C02"/>
    <w:rsid w:val="008E0275"/>
    <w:rsid w:val="008F4C93"/>
    <w:rsid w:val="00904E2B"/>
    <w:rsid w:val="0090535A"/>
    <w:rsid w:val="0090603C"/>
    <w:rsid w:val="009124B6"/>
    <w:rsid w:val="009251A7"/>
    <w:rsid w:val="00934503"/>
    <w:rsid w:val="00937D58"/>
    <w:rsid w:val="009402A2"/>
    <w:rsid w:val="009478BE"/>
    <w:rsid w:val="00951BD4"/>
    <w:rsid w:val="0095703D"/>
    <w:rsid w:val="00974D7C"/>
    <w:rsid w:val="00975D85"/>
    <w:rsid w:val="00992396"/>
    <w:rsid w:val="00993752"/>
    <w:rsid w:val="009978DC"/>
    <w:rsid w:val="009A000A"/>
    <w:rsid w:val="009C266C"/>
    <w:rsid w:val="009C443D"/>
    <w:rsid w:val="009D1318"/>
    <w:rsid w:val="009F28BA"/>
    <w:rsid w:val="00A27933"/>
    <w:rsid w:val="00A43F6B"/>
    <w:rsid w:val="00A52F08"/>
    <w:rsid w:val="00A54B60"/>
    <w:rsid w:val="00A57EE6"/>
    <w:rsid w:val="00A6191C"/>
    <w:rsid w:val="00A671F8"/>
    <w:rsid w:val="00A84315"/>
    <w:rsid w:val="00AA6D7E"/>
    <w:rsid w:val="00AB700C"/>
    <w:rsid w:val="00AC0A5D"/>
    <w:rsid w:val="00AC22F3"/>
    <w:rsid w:val="00AC749E"/>
    <w:rsid w:val="00AE2445"/>
    <w:rsid w:val="00AE697D"/>
    <w:rsid w:val="00AF47AC"/>
    <w:rsid w:val="00B05BD0"/>
    <w:rsid w:val="00B11DE5"/>
    <w:rsid w:val="00B14987"/>
    <w:rsid w:val="00B15BEF"/>
    <w:rsid w:val="00B3587C"/>
    <w:rsid w:val="00B36FEB"/>
    <w:rsid w:val="00B411CA"/>
    <w:rsid w:val="00B56D0A"/>
    <w:rsid w:val="00B617EC"/>
    <w:rsid w:val="00B64CE3"/>
    <w:rsid w:val="00B721CD"/>
    <w:rsid w:val="00BA119C"/>
    <w:rsid w:val="00BB3948"/>
    <w:rsid w:val="00BB74D9"/>
    <w:rsid w:val="00BD416B"/>
    <w:rsid w:val="00BF42EB"/>
    <w:rsid w:val="00BF500B"/>
    <w:rsid w:val="00BF607D"/>
    <w:rsid w:val="00BF7B25"/>
    <w:rsid w:val="00C00718"/>
    <w:rsid w:val="00C055BF"/>
    <w:rsid w:val="00C11D75"/>
    <w:rsid w:val="00C204C9"/>
    <w:rsid w:val="00C468E3"/>
    <w:rsid w:val="00C47849"/>
    <w:rsid w:val="00C646F4"/>
    <w:rsid w:val="00C77002"/>
    <w:rsid w:val="00C93E6A"/>
    <w:rsid w:val="00CA1B1A"/>
    <w:rsid w:val="00CA3966"/>
    <w:rsid w:val="00CB683A"/>
    <w:rsid w:val="00CC3FA2"/>
    <w:rsid w:val="00CC5142"/>
    <w:rsid w:val="00CD32DD"/>
    <w:rsid w:val="00CD407A"/>
    <w:rsid w:val="00CE1325"/>
    <w:rsid w:val="00CE37DD"/>
    <w:rsid w:val="00CE7F21"/>
    <w:rsid w:val="00D0403B"/>
    <w:rsid w:val="00D47242"/>
    <w:rsid w:val="00D6010A"/>
    <w:rsid w:val="00D632FC"/>
    <w:rsid w:val="00D656E6"/>
    <w:rsid w:val="00D67CA4"/>
    <w:rsid w:val="00D7240C"/>
    <w:rsid w:val="00DE0885"/>
    <w:rsid w:val="00DE5EB5"/>
    <w:rsid w:val="00DF04F2"/>
    <w:rsid w:val="00DF6963"/>
    <w:rsid w:val="00E03548"/>
    <w:rsid w:val="00E43018"/>
    <w:rsid w:val="00E45905"/>
    <w:rsid w:val="00E53D05"/>
    <w:rsid w:val="00E5640D"/>
    <w:rsid w:val="00E61E1D"/>
    <w:rsid w:val="00E6625E"/>
    <w:rsid w:val="00E7041A"/>
    <w:rsid w:val="00E82263"/>
    <w:rsid w:val="00E871CE"/>
    <w:rsid w:val="00EA576E"/>
    <w:rsid w:val="00EC466E"/>
    <w:rsid w:val="00EC469C"/>
    <w:rsid w:val="00EC6640"/>
    <w:rsid w:val="00ED0939"/>
    <w:rsid w:val="00EE2BE0"/>
    <w:rsid w:val="00EE5B8A"/>
    <w:rsid w:val="00EE6360"/>
    <w:rsid w:val="00EF47CF"/>
    <w:rsid w:val="00EF7CEB"/>
    <w:rsid w:val="00F006D2"/>
    <w:rsid w:val="00F2381A"/>
    <w:rsid w:val="00F3371B"/>
    <w:rsid w:val="00F36045"/>
    <w:rsid w:val="00F36ECD"/>
    <w:rsid w:val="00F51000"/>
    <w:rsid w:val="00F51FA0"/>
    <w:rsid w:val="00F554F3"/>
    <w:rsid w:val="00F56D20"/>
    <w:rsid w:val="00F66A39"/>
    <w:rsid w:val="00F71E6B"/>
    <w:rsid w:val="00F95C6A"/>
    <w:rsid w:val="00FA4AE8"/>
    <w:rsid w:val="00FB763C"/>
    <w:rsid w:val="00FC35C7"/>
    <w:rsid w:val="00FD0825"/>
    <w:rsid w:val="00FD1E3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EF"/>
    <w:pPr>
      <w:spacing w:line="256" w:lineRule="auto"/>
    </w:pPr>
    <w:rPr>
      <w:rFonts w:asciiTheme="majorBidi" w:hAnsiTheme="majorBidi" w:cstheme="majorBidi"/>
      <w:sz w:val="28"/>
      <w:szCs w:val="28"/>
      <w:lang w:val="fr-FR"/>
    </w:rPr>
  </w:style>
  <w:style w:type="paragraph" w:styleId="Titre1">
    <w:name w:val="heading 1"/>
    <w:basedOn w:val="Normal"/>
    <w:next w:val="Normal"/>
    <w:link w:val="Titre1Car"/>
    <w:uiPriority w:val="9"/>
    <w:qFormat/>
    <w:rsid w:val="009478BE"/>
    <w:pPr>
      <w:keepNext/>
      <w:keepLines/>
      <w:bidi/>
      <w:spacing w:before="240" w:after="0" w:line="259" w:lineRule="auto"/>
      <w:outlineLvl w:val="0"/>
    </w:pPr>
    <w:rPr>
      <w:rFonts w:asciiTheme="majorHAnsi" w:eastAsiaTheme="majorEastAsia" w:hAnsiTheme="majorHAnsi"/>
      <w:color w:val="2F5496" w:themeColor="accent1" w:themeShade="BF"/>
      <w:sz w:val="32"/>
      <w:szCs w:val="32"/>
      <w:lang w:val="en-US"/>
    </w:rPr>
  </w:style>
  <w:style w:type="paragraph" w:styleId="Titre2">
    <w:name w:val="heading 2"/>
    <w:basedOn w:val="Normal"/>
    <w:next w:val="Normal"/>
    <w:link w:val="Titre2Car"/>
    <w:uiPriority w:val="9"/>
    <w:semiHidden/>
    <w:unhideWhenUsed/>
    <w:qFormat/>
    <w:rsid w:val="009478BE"/>
    <w:pPr>
      <w:keepNext/>
      <w:keepLines/>
      <w:bidi/>
      <w:spacing w:before="40" w:after="0" w:line="259" w:lineRule="auto"/>
      <w:outlineLvl w:val="1"/>
    </w:pPr>
    <w:rPr>
      <w:rFonts w:asciiTheme="majorHAnsi" w:eastAsiaTheme="majorEastAsia" w:hAnsiTheme="majorHAnsi"/>
      <w:color w:val="2F5496" w:themeColor="accent1" w:themeShade="BF"/>
      <w:sz w:val="26"/>
      <w:szCs w:val="26"/>
      <w:lang w:val="en-US"/>
    </w:rPr>
  </w:style>
  <w:style w:type="paragraph" w:styleId="Titre3">
    <w:name w:val="heading 3"/>
    <w:basedOn w:val="Normal"/>
    <w:next w:val="Normal"/>
    <w:link w:val="Titre3Car"/>
    <w:uiPriority w:val="9"/>
    <w:semiHidden/>
    <w:unhideWhenUsed/>
    <w:qFormat/>
    <w:rsid w:val="009478BE"/>
    <w:pPr>
      <w:keepNext/>
      <w:keepLines/>
      <w:bidi/>
      <w:spacing w:before="40" w:after="0" w:line="259" w:lineRule="auto"/>
      <w:outlineLvl w:val="2"/>
    </w:pPr>
    <w:rPr>
      <w:rFonts w:asciiTheme="majorHAnsi" w:eastAsiaTheme="majorEastAsia" w:hAnsiTheme="majorHAnsi"/>
      <w:color w:val="1F3763" w:themeColor="accent1" w:themeShade="7F"/>
      <w:sz w:val="24"/>
      <w:szCs w:val="24"/>
      <w:lang w:val="en-US"/>
    </w:rPr>
  </w:style>
  <w:style w:type="paragraph" w:styleId="Titre4">
    <w:name w:val="heading 4"/>
    <w:basedOn w:val="Normal"/>
    <w:next w:val="Normal"/>
    <w:link w:val="Titre4Car"/>
    <w:uiPriority w:val="9"/>
    <w:semiHidden/>
    <w:unhideWhenUsed/>
    <w:qFormat/>
    <w:rsid w:val="009478BE"/>
    <w:pPr>
      <w:keepNext/>
      <w:keepLines/>
      <w:bidi/>
      <w:spacing w:before="40" w:after="0" w:line="259" w:lineRule="auto"/>
      <w:outlineLvl w:val="3"/>
    </w:pPr>
    <w:rPr>
      <w:rFonts w:asciiTheme="majorHAnsi" w:eastAsiaTheme="majorEastAsia" w:hAnsiTheme="majorHAnsi"/>
      <w:i/>
      <w:iCs/>
      <w:color w:val="2F5496" w:themeColor="accent1" w:themeShade="BF"/>
      <w:sz w:val="22"/>
      <w:szCs w:val="22"/>
      <w:lang w:val="en-US"/>
    </w:rPr>
  </w:style>
  <w:style w:type="paragraph" w:styleId="Titre5">
    <w:name w:val="heading 5"/>
    <w:basedOn w:val="Normal"/>
    <w:next w:val="Normal"/>
    <w:link w:val="Titre5Car"/>
    <w:uiPriority w:val="9"/>
    <w:semiHidden/>
    <w:unhideWhenUsed/>
    <w:qFormat/>
    <w:rsid w:val="009478BE"/>
    <w:pPr>
      <w:keepNext/>
      <w:keepLines/>
      <w:bidi/>
      <w:spacing w:before="40" w:after="0" w:line="259" w:lineRule="auto"/>
      <w:outlineLvl w:val="4"/>
    </w:pPr>
    <w:rPr>
      <w:rFonts w:asciiTheme="majorHAnsi" w:eastAsiaTheme="majorEastAsia" w:hAnsiTheme="majorHAnsi"/>
      <w:color w:val="2F5496" w:themeColor="accent1" w:themeShade="BF"/>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MTopic1">
    <w:name w:val="MM Topic 1"/>
    <w:basedOn w:val="Titre1"/>
    <w:rsid w:val="009478BE"/>
    <w:pPr>
      <w:numPr>
        <w:numId w:val="1"/>
      </w:numPr>
      <w:tabs>
        <w:tab w:val="num" w:pos="360"/>
      </w:tabs>
      <w:bidi w:val="0"/>
      <w:spacing w:line="256" w:lineRule="auto"/>
    </w:pPr>
    <w:rPr>
      <w:lang w:val="fr-FR"/>
    </w:rPr>
  </w:style>
  <w:style w:type="character" w:customStyle="1" w:styleId="MMTopic2Car">
    <w:name w:val="MM Topic 2 Car"/>
    <w:basedOn w:val="Policepardfaut"/>
    <w:link w:val="MMTopic2"/>
    <w:locked/>
    <w:rsid w:val="009478BE"/>
    <w:rPr>
      <w:rFonts w:asciiTheme="majorHAnsi" w:eastAsiaTheme="majorEastAsia" w:hAnsiTheme="majorHAnsi" w:cs="Calibri Light"/>
      <w:color w:val="2F5496" w:themeColor="accent1" w:themeShade="BF"/>
      <w:sz w:val="26"/>
      <w:szCs w:val="26"/>
    </w:rPr>
  </w:style>
  <w:style w:type="paragraph" w:customStyle="1" w:styleId="MMTopic2">
    <w:name w:val="MM Topic 2"/>
    <w:basedOn w:val="Titre2"/>
    <w:link w:val="MMTopic2Car"/>
    <w:rsid w:val="009478BE"/>
    <w:pPr>
      <w:numPr>
        <w:ilvl w:val="1"/>
        <w:numId w:val="1"/>
      </w:numPr>
      <w:bidi w:val="0"/>
      <w:spacing w:line="256" w:lineRule="auto"/>
    </w:pPr>
    <w:rPr>
      <w:rFonts w:cs="Calibri Light"/>
    </w:rPr>
  </w:style>
  <w:style w:type="paragraph" w:customStyle="1" w:styleId="MMTopic3">
    <w:name w:val="MM Topic 3"/>
    <w:basedOn w:val="Titre3"/>
    <w:rsid w:val="009478BE"/>
    <w:pPr>
      <w:numPr>
        <w:ilvl w:val="2"/>
        <w:numId w:val="1"/>
      </w:numPr>
      <w:tabs>
        <w:tab w:val="num" w:pos="360"/>
      </w:tabs>
      <w:bidi w:val="0"/>
      <w:spacing w:line="256" w:lineRule="auto"/>
      <w:ind w:left="360"/>
    </w:pPr>
    <w:rPr>
      <w:lang w:val="fr-FR"/>
    </w:rPr>
  </w:style>
  <w:style w:type="paragraph" w:customStyle="1" w:styleId="MMTopic4">
    <w:name w:val="MM Topic 4"/>
    <w:basedOn w:val="Titre4"/>
    <w:rsid w:val="009478BE"/>
    <w:pPr>
      <w:numPr>
        <w:ilvl w:val="3"/>
        <w:numId w:val="1"/>
      </w:numPr>
      <w:tabs>
        <w:tab w:val="num" w:pos="360"/>
      </w:tabs>
      <w:bidi w:val="0"/>
      <w:spacing w:line="256" w:lineRule="auto"/>
      <w:ind w:left="540"/>
    </w:pPr>
    <w:rPr>
      <w:sz w:val="28"/>
      <w:szCs w:val="28"/>
      <w:lang w:val="fr-FR"/>
    </w:rPr>
  </w:style>
  <w:style w:type="paragraph" w:customStyle="1" w:styleId="MMTopic5">
    <w:name w:val="MM Topic 5"/>
    <w:basedOn w:val="Titre5"/>
    <w:rsid w:val="009478BE"/>
    <w:pPr>
      <w:numPr>
        <w:ilvl w:val="4"/>
        <w:numId w:val="1"/>
      </w:numPr>
      <w:tabs>
        <w:tab w:val="num" w:pos="360"/>
      </w:tabs>
      <w:bidi w:val="0"/>
      <w:spacing w:line="256" w:lineRule="auto"/>
      <w:ind w:left="720"/>
    </w:pPr>
    <w:rPr>
      <w:sz w:val="28"/>
      <w:szCs w:val="28"/>
      <w:lang w:val="fr-FR"/>
    </w:rPr>
  </w:style>
  <w:style w:type="character" w:customStyle="1" w:styleId="Titre1Car">
    <w:name w:val="Titre 1 Car"/>
    <w:basedOn w:val="Policepardfaut"/>
    <w:link w:val="Titre1"/>
    <w:uiPriority w:val="9"/>
    <w:rsid w:val="009478B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478B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9478BE"/>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478BE"/>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9478BE"/>
    <w:rPr>
      <w:rFonts w:asciiTheme="majorHAnsi" w:eastAsiaTheme="majorEastAsia" w:hAnsiTheme="majorHAnsi" w:cstheme="majorBidi"/>
      <w:color w:val="2F5496" w:themeColor="accent1" w:themeShade="BF"/>
    </w:rPr>
  </w:style>
  <w:style w:type="paragraph" w:styleId="Notedebasdepage">
    <w:name w:val="footnote text"/>
    <w:basedOn w:val="Normal"/>
    <w:link w:val="NotedebasdepageCar"/>
    <w:uiPriority w:val="99"/>
    <w:semiHidden/>
    <w:unhideWhenUsed/>
    <w:rsid w:val="002D0FC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2D0FCF"/>
    <w:rPr>
      <w:rFonts w:ascii="Times New Roman" w:eastAsia="Times New Roman" w:hAnsi="Times New Roman" w:cs="Times New Roman"/>
      <w:sz w:val="20"/>
      <w:szCs w:val="20"/>
      <w:lang w:val="fr-FR" w:eastAsia="fr-FR"/>
    </w:rPr>
  </w:style>
  <w:style w:type="paragraph" w:styleId="Corpsdetexte">
    <w:name w:val="Body Text"/>
    <w:basedOn w:val="Normal"/>
    <w:link w:val="CorpsdetexteCar"/>
    <w:uiPriority w:val="99"/>
    <w:unhideWhenUsed/>
    <w:rsid w:val="002D0FCF"/>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rsid w:val="002D0FCF"/>
    <w:rPr>
      <w:rFonts w:ascii="Times New Roman" w:eastAsia="Times New Roman" w:hAnsi="Times New Roman" w:cs="Traditional Arabic"/>
      <w:noProof/>
      <w:sz w:val="20"/>
      <w:szCs w:val="20"/>
      <w:lang w:val="fr-FR" w:eastAsia="fr-FR"/>
    </w:rPr>
  </w:style>
  <w:style w:type="character" w:styleId="Appelnotedebasdep">
    <w:name w:val="footnote reference"/>
    <w:basedOn w:val="Policepardfaut"/>
    <w:uiPriority w:val="99"/>
    <w:semiHidden/>
    <w:unhideWhenUsed/>
    <w:rsid w:val="00070426"/>
    <w:rPr>
      <w:vertAlign w:val="superscript"/>
    </w:rPr>
  </w:style>
  <w:style w:type="paragraph" w:styleId="Paragraphedeliste">
    <w:name w:val="List Paragraph"/>
    <w:basedOn w:val="Normal"/>
    <w:uiPriority w:val="34"/>
    <w:qFormat/>
    <w:rsid w:val="002D2C53"/>
    <w:pPr>
      <w:spacing w:after="0" w:line="276" w:lineRule="auto"/>
      <w:ind w:left="720"/>
      <w:contextualSpacing/>
    </w:pPr>
    <w:rPr>
      <w:rFonts w:ascii="Arial" w:eastAsia="Arial" w:hAnsi="Arial" w:cs="Arial"/>
      <w:sz w:val="22"/>
      <w:szCs w:val="22"/>
      <w:lang w:eastAsia="fr-FR"/>
    </w:rPr>
  </w:style>
  <w:style w:type="table" w:styleId="Grilledutableau">
    <w:name w:val="Table Grid"/>
    <w:basedOn w:val="TableauNormal"/>
    <w:uiPriority w:val="39"/>
    <w:rsid w:val="002D2C53"/>
    <w:pPr>
      <w:spacing w:after="0" w:line="240" w:lineRule="auto"/>
    </w:pPr>
    <w:rPr>
      <w:rFonts w:ascii="Arial" w:eastAsia="Arial" w:hAnsi="Arial" w:cs="Arial"/>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2D2C53"/>
    <w:rPr>
      <w:color w:val="0000FF"/>
      <w:u w:val="single"/>
    </w:rPr>
  </w:style>
  <w:style w:type="character" w:customStyle="1" w:styleId="MMTitleCar">
    <w:name w:val="MM Title Car"/>
    <w:basedOn w:val="Policepardfaut"/>
    <w:link w:val="MMTitle"/>
    <w:locked/>
    <w:rsid w:val="003513E8"/>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3513E8"/>
    <w:rPr>
      <w:rFonts w:cs="Calibri Light"/>
      <w:lang w:val="en-US"/>
    </w:rPr>
  </w:style>
  <w:style w:type="paragraph" w:styleId="Titre">
    <w:name w:val="Title"/>
    <w:basedOn w:val="Normal"/>
    <w:next w:val="Normal"/>
    <w:link w:val="TitreCar"/>
    <w:uiPriority w:val="10"/>
    <w:qFormat/>
    <w:rsid w:val="003513E8"/>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3513E8"/>
    <w:rPr>
      <w:rFonts w:asciiTheme="majorHAnsi" w:eastAsiaTheme="majorEastAsia" w:hAnsiTheme="majorHAnsi" w:cstheme="majorBidi"/>
      <w:spacing w:val="-10"/>
      <w:kern w:val="28"/>
      <w:sz w:val="56"/>
      <w:szCs w:val="56"/>
      <w:lang w:val="fr-FR"/>
    </w:rPr>
  </w:style>
  <w:style w:type="paragraph" w:styleId="Textedebulles">
    <w:name w:val="Balloon Text"/>
    <w:basedOn w:val="Normal"/>
    <w:link w:val="TextedebullesCar"/>
    <w:uiPriority w:val="99"/>
    <w:semiHidden/>
    <w:unhideWhenUsed/>
    <w:rsid w:val="006A7F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7F11"/>
    <w:rPr>
      <w:rFonts w:ascii="Tahoma" w:hAnsi="Tahoma" w:cs="Tahoma"/>
      <w:sz w:val="16"/>
      <w:szCs w:val="16"/>
      <w:lang w:val="fr-FR"/>
    </w:rPr>
  </w:style>
  <w:style w:type="character" w:styleId="Marquedecommentaire">
    <w:name w:val="annotation reference"/>
    <w:basedOn w:val="Policepardfaut"/>
    <w:uiPriority w:val="99"/>
    <w:semiHidden/>
    <w:unhideWhenUsed/>
    <w:rsid w:val="00703A56"/>
    <w:rPr>
      <w:sz w:val="16"/>
      <w:szCs w:val="16"/>
    </w:rPr>
  </w:style>
  <w:style w:type="paragraph" w:styleId="Commentaire">
    <w:name w:val="annotation text"/>
    <w:basedOn w:val="Normal"/>
    <w:link w:val="CommentaireCar"/>
    <w:uiPriority w:val="99"/>
    <w:semiHidden/>
    <w:unhideWhenUsed/>
    <w:rsid w:val="00703A56"/>
    <w:pPr>
      <w:spacing w:line="240" w:lineRule="auto"/>
    </w:pPr>
    <w:rPr>
      <w:sz w:val="20"/>
      <w:szCs w:val="20"/>
    </w:rPr>
  </w:style>
  <w:style w:type="character" w:customStyle="1" w:styleId="CommentaireCar">
    <w:name w:val="Commentaire Car"/>
    <w:basedOn w:val="Policepardfaut"/>
    <w:link w:val="Commentaire"/>
    <w:uiPriority w:val="99"/>
    <w:semiHidden/>
    <w:rsid w:val="00703A56"/>
    <w:rPr>
      <w:rFonts w:asciiTheme="majorBidi" w:hAnsiTheme="majorBidi" w:cstheme="majorBidi"/>
      <w:sz w:val="20"/>
      <w:szCs w:val="20"/>
      <w:lang w:val="fr-FR"/>
    </w:rPr>
  </w:style>
  <w:style w:type="paragraph" w:styleId="Objetducommentaire">
    <w:name w:val="annotation subject"/>
    <w:basedOn w:val="Commentaire"/>
    <w:next w:val="Commentaire"/>
    <w:link w:val="ObjetducommentaireCar"/>
    <w:uiPriority w:val="99"/>
    <w:semiHidden/>
    <w:unhideWhenUsed/>
    <w:rsid w:val="00703A56"/>
    <w:rPr>
      <w:b/>
      <w:bCs/>
    </w:rPr>
  </w:style>
  <w:style w:type="character" w:customStyle="1" w:styleId="ObjetducommentaireCar">
    <w:name w:val="Objet du commentaire Car"/>
    <w:basedOn w:val="CommentaireCar"/>
    <w:link w:val="Objetducommentaire"/>
    <w:uiPriority w:val="99"/>
    <w:semiHidden/>
    <w:rsid w:val="00703A56"/>
    <w:rPr>
      <w:rFonts w:asciiTheme="majorBidi" w:hAnsiTheme="majorBidi" w:cstheme="majorBidi"/>
      <w:b/>
      <w:bCs/>
      <w:sz w:val="20"/>
      <w:szCs w:val="20"/>
      <w:lang w:val="fr-FR"/>
    </w:rPr>
  </w:style>
  <w:style w:type="paragraph" w:styleId="En-tte">
    <w:name w:val="header"/>
    <w:basedOn w:val="Normal"/>
    <w:link w:val="En-tteCar"/>
    <w:uiPriority w:val="99"/>
    <w:semiHidden/>
    <w:unhideWhenUsed/>
    <w:rsid w:val="00F554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54F3"/>
    <w:rPr>
      <w:rFonts w:asciiTheme="majorBidi" w:hAnsiTheme="majorBidi" w:cstheme="majorBidi"/>
      <w:sz w:val="28"/>
      <w:szCs w:val="28"/>
      <w:lang w:val="fr-FR"/>
    </w:rPr>
  </w:style>
  <w:style w:type="paragraph" w:styleId="Pieddepage">
    <w:name w:val="footer"/>
    <w:basedOn w:val="Normal"/>
    <w:link w:val="PieddepageCar"/>
    <w:uiPriority w:val="99"/>
    <w:unhideWhenUsed/>
    <w:rsid w:val="00F55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4F3"/>
    <w:rPr>
      <w:rFonts w:asciiTheme="majorBidi" w:hAnsiTheme="majorBidi" w:cstheme="majorBidi"/>
      <w:sz w:val="28"/>
      <w:szCs w:val="28"/>
      <w:lang w:val="fr-FR"/>
    </w:rPr>
  </w:style>
  <w:style w:type="character" w:styleId="Accentuation">
    <w:name w:val="Emphasis"/>
    <w:basedOn w:val="Policepardfaut"/>
    <w:uiPriority w:val="20"/>
    <w:qFormat/>
    <w:rsid w:val="00E45905"/>
    <w:rPr>
      <w:i/>
      <w:iCs/>
    </w:rPr>
  </w:style>
</w:styles>
</file>

<file path=word/webSettings.xml><?xml version="1.0" encoding="utf-8"?>
<w:webSettings xmlns:r="http://schemas.openxmlformats.org/officeDocument/2006/relationships" xmlns:w="http://schemas.openxmlformats.org/wordprocessingml/2006/main">
  <w:divs>
    <w:div w:id="44959539">
      <w:bodyDiv w:val="1"/>
      <w:marLeft w:val="0"/>
      <w:marRight w:val="0"/>
      <w:marTop w:val="0"/>
      <w:marBottom w:val="0"/>
      <w:divBdr>
        <w:top w:val="none" w:sz="0" w:space="0" w:color="auto"/>
        <w:left w:val="none" w:sz="0" w:space="0" w:color="auto"/>
        <w:bottom w:val="none" w:sz="0" w:space="0" w:color="auto"/>
        <w:right w:val="none" w:sz="0" w:space="0" w:color="auto"/>
      </w:divBdr>
    </w:div>
    <w:div w:id="61605483">
      <w:bodyDiv w:val="1"/>
      <w:marLeft w:val="0"/>
      <w:marRight w:val="0"/>
      <w:marTop w:val="0"/>
      <w:marBottom w:val="0"/>
      <w:divBdr>
        <w:top w:val="none" w:sz="0" w:space="0" w:color="auto"/>
        <w:left w:val="none" w:sz="0" w:space="0" w:color="auto"/>
        <w:bottom w:val="none" w:sz="0" w:space="0" w:color="auto"/>
        <w:right w:val="none" w:sz="0" w:space="0" w:color="auto"/>
      </w:divBdr>
    </w:div>
    <w:div w:id="124010326">
      <w:bodyDiv w:val="1"/>
      <w:marLeft w:val="0"/>
      <w:marRight w:val="0"/>
      <w:marTop w:val="0"/>
      <w:marBottom w:val="0"/>
      <w:divBdr>
        <w:top w:val="none" w:sz="0" w:space="0" w:color="auto"/>
        <w:left w:val="none" w:sz="0" w:space="0" w:color="auto"/>
        <w:bottom w:val="none" w:sz="0" w:space="0" w:color="auto"/>
        <w:right w:val="none" w:sz="0" w:space="0" w:color="auto"/>
      </w:divBdr>
    </w:div>
    <w:div w:id="251280996">
      <w:bodyDiv w:val="1"/>
      <w:marLeft w:val="0"/>
      <w:marRight w:val="0"/>
      <w:marTop w:val="0"/>
      <w:marBottom w:val="0"/>
      <w:divBdr>
        <w:top w:val="none" w:sz="0" w:space="0" w:color="auto"/>
        <w:left w:val="none" w:sz="0" w:space="0" w:color="auto"/>
        <w:bottom w:val="none" w:sz="0" w:space="0" w:color="auto"/>
        <w:right w:val="none" w:sz="0" w:space="0" w:color="auto"/>
      </w:divBdr>
    </w:div>
    <w:div w:id="266011547">
      <w:bodyDiv w:val="1"/>
      <w:marLeft w:val="0"/>
      <w:marRight w:val="0"/>
      <w:marTop w:val="0"/>
      <w:marBottom w:val="0"/>
      <w:divBdr>
        <w:top w:val="none" w:sz="0" w:space="0" w:color="auto"/>
        <w:left w:val="none" w:sz="0" w:space="0" w:color="auto"/>
        <w:bottom w:val="none" w:sz="0" w:space="0" w:color="auto"/>
        <w:right w:val="none" w:sz="0" w:space="0" w:color="auto"/>
      </w:divBdr>
    </w:div>
    <w:div w:id="341711428">
      <w:bodyDiv w:val="1"/>
      <w:marLeft w:val="0"/>
      <w:marRight w:val="0"/>
      <w:marTop w:val="0"/>
      <w:marBottom w:val="0"/>
      <w:divBdr>
        <w:top w:val="none" w:sz="0" w:space="0" w:color="auto"/>
        <w:left w:val="none" w:sz="0" w:space="0" w:color="auto"/>
        <w:bottom w:val="none" w:sz="0" w:space="0" w:color="auto"/>
        <w:right w:val="none" w:sz="0" w:space="0" w:color="auto"/>
      </w:divBdr>
    </w:div>
    <w:div w:id="343821316">
      <w:bodyDiv w:val="1"/>
      <w:marLeft w:val="0"/>
      <w:marRight w:val="0"/>
      <w:marTop w:val="0"/>
      <w:marBottom w:val="0"/>
      <w:divBdr>
        <w:top w:val="none" w:sz="0" w:space="0" w:color="auto"/>
        <w:left w:val="none" w:sz="0" w:space="0" w:color="auto"/>
        <w:bottom w:val="none" w:sz="0" w:space="0" w:color="auto"/>
        <w:right w:val="none" w:sz="0" w:space="0" w:color="auto"/>
      </w:divBdr>
    </w:div>
    <w:div w:id="410741262">
      <w:bodyDiv w:val="1"/>
      <w:marLeft w:val="0"/>
      <w:marRight w:val="0"/>
      <w:marTop w:val="0"/>
      <w:marBottom w:val="0"/>
      <w:divBdr>
        <w:top w:val="none" w:sz="0" w:space="0" w:color="auto"/>
        <w:left w:val="none" w:sz="0" w:space="0" w:color="auto"/>
        <w:bottom w:val="none" w:sz="0" w:space="0" w:color="auto"/>
        <w:right w:val="none" w:sz="0" w:space="0" w:color="auto"/>
      </w:divBdr>
    </w:div>
    <w:div w:id="431439384">
      <w:bodyDiv w:val="1"/>
      <w:marLeft w:val="0"/>
      <w:marRight w:val="0"/>
      <w:marTop w:val="0"/>
      <w:marBottom w:val="0"/>
      <w:divBdr>
        <w:top w:val="none" w:sz="0" w:space="0" w:color="auto"/>
        <w:left w:val="none" w:sz="0" w:space="0" w:color="auto"/>
        <w:bottom w:val="none" w:sz="0" w:space="0" w:color="auto"/>
        <w:right w:val="none" w:sz="0" w:space="0" w:color="auto"/>
      </w:divBdr>
    </w:div>
    <w:div w:id="559438447">
      <w:bodyDiv w:val="1"/>
      <w:marLeft w:val="0"/>
      <w:marRight w:val="0"/>
      <w:marTop w:val="0"/>
      <w:marBottom w:val="0"/>
      <w:divBdr>
        <w:top w:val="none" w:sz="0" w:space="0" w:color="auto"/>
        <w:left w:val="none" w:sz="0" w:space="0" w:color="auto"/>
        <w:bottom w:val="none" w:sz="0" w:space="0" w:color="auto"/>
        <w:right w:val="none" w:sz="0" w:space="0" w:color="auto"/>
      </w:divBdr>
    </w:div>
    <w:div w:id="567230935">
      <w:bodyDiv w:val="1"/>
      <w:marLeft w:val="0"/>
      <w:marRight w:val="0"/>
      <w:marTop w:val="0"/>
      <w:marBottom w:val="0"/>
      <w:divBdr>
        <w:top w:val="none" w:sz="0" w:space="0" w:color="auto"/>
        <w:left w:val="none" w:sz="0" w:space="0" w:color="auto"/>
        <w:bottom w:val="none" w:sz="0" w:space="0" w:color="auto"/>
        <w:right w:val="none" w:sz="0" w:space="0" w:color="auto"/>
      </w:divBdr>
    </w:div>
    <w:div w:id="640502099">
      <w:bodyDiv w:val="1"/>
      <w:marLeft w:val="0"/>
      <w:marRight w:val="0"/>
      <w:marTop w:val="0"/>
      <w:marBottom w:val="0"/>
      <w:divBdr>
        <w:top w:val="none" w:sz="0" w:space="0" w:color="auto"/>
        <w:left w:val="none" w:sz="0" w:space="0" w:color="auto"/>
        <w:bottom w:val="none" w:sz="0" w:space="0" w:color="auto"/>
        <w:right w:val="none" w:sz="0" w:space="0" w:color="auto"/>
      </w:divBdr>
    </w:div>
    <w:div w:id="647856028">
      <w:bodyDiv w:val="1"/>
      <w:marLeft w:val="0"/>
      <w:marRight w:val="0"/>
      <w:marTop w:val="0"/>
      <w:marBottom w:val="0"/>
      <w:divBdr>
        <w:top w:val="none" w:sz="0" w:space="0" w:color="auto"/>
        <w:left w:val="none" w:sz="0" w:space="0" w:color="auto"/>
        <w:bottom w:val="none" w:sz="0" w:space="0" w:color="auto"/>
        <w:right w:val="none" w:sz="0" w:space="0" w:color="auto"/>
      </w:divBdr>
    </w:div>
    <w:div w:id="705132621">
      <w:bodyDiv w:val="1"/>
      <w:marLeft w:val="0"/>
      <w:marRight w:val="0"/>
      <w:marTop w:val="0"/>
      <w:marBottom w:val="0"/>
      <w:divBdr>
        <w:top w:val="none" w:sz="0" w:space="0" w:color="auto"/>
        <w:left w:val="none" w:sz="0" w:space="0" w:color="auto"/>
        <w:bottom w:val="none" w:sz="0" w:space="0" w:color="auto"/>
        <w:right w:val="none" w:sz="0" w:space="0" w:color="auto"/>
      </w:divBdr>
    </w:div>
    <w:div w:id="769467691">
      <w:bodyDiv w:val="1"/>
      <w:marLeft w:val="0"/>
      <w:marRight w:val="0"/>
      <w:marTop w:val="0"/>
      <w:marBottom w:val="0"/>
      <w:divBdr>
        <w:top w:val="none" w:sz="0" w:space="0" w:color="auto"/>
        <w:left w:val="none" w:sz="0" w:space="0" w:color="auto"/>
        <w:bottom w:val="none" w:sz="0" w:space="0" w:color="auto"/>
        <w:right w:val="none" w:sz="0" w:space="0" w:color="auto"/>
      </w:divBdr>
    </w:div>
    <w:div w:id="834607398">
      <w:bodyDiv w:val="1"/>
      <w:marLeft w:val="0"/>
      <w:marRight w:val="0"/>
      <w:marTop w:val="0"/>
      <w:marBottom w:val="0"/>
      <w:divBdr>
        <w:top w:val="none" w:sz="0" w:space="0" w:color="auto"/>
        <w:left w:val="none" w:sz="0" w:space="0" w:color="auto"/>
        <w:bottom w:val="none" w:sz="0" w:space="0" w:color="auto"/>
        <w:right w:val="none" w:sz="0" w:space="0" w:color="auto"/>
      </w:divBdr>
    </w:div>
    <w:div w:id="850875068">
      <w:bodyDiv w:val="1"/>
      <w:marLeft w:val="0"/>
      <w:marRight w:val="0"/>
      <w:marTop w:val="0"/>
      <w:marBottom w:val="0"/>
      <w:divBdr>
        <w:top w:val="none" w:sz="0" w:space="0" w:color="auto"/>
        <w:left w:val="none" w:sz="0" w:space="0" w:color="auto"/>
        <w:bottom w:val="none" w:sz="0" w:space="0" w:color="auto"/>
        <w:right w:val="none" w:sz="0" w:space="0" w:color="auto"/>
      </w:divBdr>
    </w:div>
    <w:div w:id="945817617">
      <w:bodyDiv w:val="1"/>
      <w:marLeft w:val="0"/>
      <w:marRight w:val="0"/>
      <w:marTop w:val="0"/>
      <w:marBottom w:val="0"/>
      <w:divBdr>
        <w:top w:val="none" w:sz="0" w:space="0" w:color="auto"/>
        <w:left w:val="none" w:sz="0" w:space="0" w:color="auto"/>
        <w:bottom w:val="none" w:sz="0" w:space="0" w:color="auto"/>
        <w:right w:val="none" w:sz="0" w:space="0" w:color="auto"/>
      </w:divBdr>
    </w:div>
    <w:div w:id="1273897089">
      <w:bodyDiv w:val="1"/>
      <w:marLeft w:val="0"/>
      <w:marRight w:val="0"/>
      <w:marTop w:val="0"/>
      <w:marBottom w:val="0"/>
      <w:divBdr>
        <w:top w:val="none" w:sz="0" w:space="0" w:color="auto"/>
        <w:left w:val="none" w:sz="0" w:space="0" w:color="auto"/>
        <w:bottom w:val="none" w:sz="0" w:space="0" w:color="auto"/>
        <w:right w:val="none" w:sz="0" w:space="0" w:color="auto"/>
      </w:divBdr>
    </w:div>
    <w:div w:id="1331175004">
      <w:bodyDiv w:val="1"/>
      <w:marLeft w:val="0"/>
      <w:marRight w:val="0"/>
      <w:marTop w:val="0"/>
      <w:marBottom w:val="0"/>
      <w:divBdr>
        <w:top w:val="none" w:sz="0" w:space="0" w:color="auto"/>
        <w:left w:val="none" w:sz="0" w:space="0" w:color="auto"/>
        <w:bottom w:val="none" w:sz="0" w:space="0" w:color="auto"/>
        <w:right w:val="none" w:sz="0" w:space="0" w:color="auto"/>
      </w:divBdr>
    </w:div>
    <w:div w:id="1364137171">
      <w:bodyDiv w:val="1"/>
      <w:marLeft w:val="0"/>
      <w:marRight w:val="0"/>
      <w:marTop w:val="0"/>
      <w:marBottom w:val="0"/>
      <w:divBdr>
        <w:top w:val="none" w:sz="0" w:space="0" w:color="auto"/>
        <w:left w:val="none" w:sz="0" w:space="0" w:color="auto"/>
        <w:bottom w:val="none" w:sz="0" w:space="0" w:color="auto"/>
        <w:right w:val="none" w:sz="0" w:space="0" w:color="auto"/>
      </w:divBdr>
    </w:div>
    <w:div w:id="1416777976">
      <w:bodyDiv w:val="1"/>
      <w:marLeft w:val="0"/>
      <w:marRight w:val="0"/>
      <w:marTop w:val="0"/>
      <w:marBottom w:val="0"/>
      <w:divBdr>
        <w:top w:val="none" w:sz="0" w:space="0" w:color="auto"/>
        <w:left w:val="none" w:sz="0" w:space="0" w:color="auto"/>
        <w:bottom w:val="none" w:sz="0" w:space="0" w:color="auto"/>
        <w:right w:val="none" w:sz="0" w:space="0" w:color="auto"/>
      </w:divBdr>
    </w:div>
    <w:div w:id="1445035397">
      <w:bodyDiv w:val="1"/>
      <w:marLeft w:val="0"/>
      <w:marRight w:val="0"/>
      <w:marTop w:val="0"/>
      <w:marBottom w:val="0"/>
      <w:divBdr>
        <w:top w:val="none" w:sz="0" w:space="0" w:color="auto"/>
        <w:left w:val="none" w:sz="0" w:space="0" w:color="auto"/>
        <w:bottom w:val="none" w:sz="0" w:space="0" w:color="auto"/>
        <w:right w:val="none" w:sz="0" w:space="0" w:color="auto"/>
      </w:divBdr>
    </w:div>
    <w:div w:id="1601181288">
      <w:bodyDiv w:val="1"/>
      <w:marLeft w:val="0"/>
      <w:marRight w:val="0"/>
      <w:marTop w:val="0"/>
      <w:marBottom w:val="0"/>
      <w:divBdr>
        <w:top w:val="none" w:sz="0" w:space="0" w:color="auto"/>
        <w:left w:val="none" w:sz="0" w:space="0" w:color="auto"/>
        <w:bottom w:val="none" w:sz="0" w:space="0" w:color="auto"/>
        <w:right w:val="none" w:sz="0" w:space="0" w:color="auto"/>
      </w:divBdr>
    </w:div>
    <w:div w:id="1640498671">
      <w:bodyDiv w:val="1"/>
      <w:marLeft w:val="0"/>
      <w:marRight w:val="0"/>
      <w:marTop w:val="0"/>
      <w:marBottom w:val="0"/>
      <w:divBdr>
        <w:top w:val="none" w:sz="0" w:space="0" w:color="auto"/>
        <w:left w:val="none" w:sz="0" w:space="0" w:color="auto"/>
        <w:bottom w:val="none" w:sz="0" w:space="0" w:color="auto"/>
        <w:right w:val="none" w:sz="0" w:space="0" w:color="auto"/>
      </w:divBdr>
    </w:div>
    <w:div w:id="1666668167">
      <w:bodyDiv w:val="1"/>
      <w:marLeft w:val="0"/>
      <w:marRight w:val="0"/>
      <w:marTop w:val="0"/>
      <w:marBottom w:val="0"/>
      <w:divBdr>
        <w:top w:val="none" w:sz="0" w:space="0" w:color="auto"/>
        <w:left w:val="none" w:sz="0" w:space="0" w:color="auto"/>
        <w:bottom w:val="none" w:sz="0" w:space="0" w:color="auto"/>
        <w:right w:val="none" w:sz="0" w:space="0" w:color="auto"/>
      </w:divBdr>
    </w:div>
    <w:div w:id="1714185837">
      <w:bodyDiv w:val="1"/>
      <w:marLeft w:val="0"/>
      <w:marRight w:val="0"/>
      <w:marTop w:val="0"/>
      <w:marBottom w:val="0"/>
      <w:divBdr>
        <w:top w:val="none" w:sz="0" w:space="0" w:color="auto"/>
        <w:left w:val="none" w:sz="0" w:space="0" w:color="auto"/>
        <w:bottom w:val="none" w:sz="0" w:space="0" w:color="auto"/>
        <w:right w:val="none" w:sz="0" w:space="0" w:color="auto"/>
      </w:divBdr>
    </w:div>
    <w:div w:id="1813017412">
      <w:bodyDiv w:val="1"/>
      <w:marLeft w:val="0"/>
      <w:marRight w:val="0"/>
      <w:marTop w:val="0"/>
      <w:marBottom w:val="0"/>
      <w:divBdr>
        <w:top w:val="none" w:sz="0" w:space="0" w:color="auto"/>
        <w:left w:val="none" w:sz="0" w:space="0" w:color="auto"/>
        <w:bottom w:val="none" w:sz="0" w:space="0" w:color="auto"/>
        <w:right w:val="none" w:sz="0" w:space="0" w:color="auto"/>
      </w:divBdr>
    </w:div>
    <w:div w:id="1957101577">
      <w:bodyDiv w:val="1"/>
      <w:marLeft w:val="0"/>
      <w:marRight w:val="0"/>
      <w:marTop w:val="0"/>
      <w:marBottom w:val="0"/>
      <w:divBdr>
        <w:top w:val="none" w:sz="0" w:space="0" w:color="auto"/>
        <w:left w:val="none" w:sz="0" w:space="0" w:color="auto"/>
        <w:bottom w:val="none" w:sz="0" w:space="0" w:color="auto"/>
        <w:right w:val="none" w:sz="0" w:space="0" w:color="auto"/>
      </w:divBdr>
    </w:div>
    <w:div w:id="2025667438">
      <w:bodyDiv w:val="1"/>
      <w:marLeft w:val="0"/>
      <w:marRight w:val="0"/>
      <w:marTop w:val="0"/>
      <w:marBottom w:val="0"/>
      <w:divBdr>
        <w:top w:val="none" w:sz="0" w:space="0" w:color="auto"/>
        <w:left w:val="none" w:sz="0" w:space="0" w:color="auto"/>
        <w:bottom w:val="none" w:sz="0" w:space="0" w:color="auto"/>
        <w:right w:val="none" w:sz="0" w:space="0" w:color="auto"/>
      </w:divBdr>
    </w:div>
    <w:div w:id="20531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cp.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kelkachach\Downloads\2022T3%20-%20Note%20sur%20les%20chiffres%20cl&#233;s%20-%20Tabulation%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kelkachach\Downloads\2022T3%20-%20Note%20sur%20les%20chiffres%20cl&#233;s%20-%20Tabulation%20%231%20-DE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elkachach\Downloads\2022T3%20-%20Note%20sur%20les%20chiffres%20cl&#233;s%20-%20Tabulation%20%231%20-DEE%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ouazzani\Downloads\Taux%20de%20ch&#244;mage%20trimestriel%202017-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Kamel\ENE\NoteMarcheTravail\2022\T3\2022T3%20-%20Note%20sur%20les%20chiffres%20cl&#233;s%20-%20Tabulation%20%231%20-DE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mel\ENE\NoteMarcheTravail\2022\T3\2022T3%20-%20Note%20sur%20les%20chiffres%20cl&#233;s%20-%20Tabulation%20%231%20-DE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Taches%20DEE\Publications%20DEE\Publications%20Trimestrielles\Notes%20Trimestrielles\Notes%20informatives\2022\T3\Tabulations\2022T3%20-%20Note%20sur%20les%20chiffres%20cl&#233;s%20-%20Annexe%20-DE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Taches%20DEE\Publications%20DEE\Publications%20Trimestrielles\Notes%20Trimestrielles\Notes%20informatives\2022\T3\Tabulations\2022T3%20-%20Note%20sur%20les%20chiffres%20cl&#233;s%20-%20Annexe%20-D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Feuil1!$G$69</c:f>
              <c:strCache>
                <c:ptCount val="1"/>
                <c:pt idx="0">
                  <c:v>Urbain </c:v>
                </c:pt>
              </c:strCache>
            </c:strRef>
          </c:tx>
          <c:marker>
            <c:symbol val="none"/>
          </c:marker>
          <c:dLbls>
            <c:spPr>
              <a:noFill/>
              <a:ln>
                <a:noFill/>
              </a:ln>
              <a:effectLst/>
            </c:spPr>
            <c:txPr>
              <a:bodyPr/>
              <a:lstStyle/>
              <a:p>
                <a:pPr>
                  <a:defRPr sz="900"/>
                </a:pPr>
                <a:endParaRPr lang="fr-FR"/>
              </a:p>
            </c:txPr>
            <c:dLblPos val="ctr"/>
            <c:showVal val="1"/>
            <c:extLst xmlns:c16r2="http://schemas.microsoft.com/office/drawing/2015/06/chart">
              <c:ext xmlns:c15="http://schemas.microsoft.com/office/drawing/2012/chart" uri="{CE6537A1-D6FC-4f65-9D91-7224C49458BB}">
                <c15:showLeaderLines val="0"/>
              </c:ext>
            </c:extLst>
          </c:dLbls>
          <c:cat>
            <c:numRef>
              <c:f>Feuil1!$H$68:$M$68</c:f>
              <c:numCache>
                <c:formatCode>General</c:formatCode>
                <c:ptCount val="6"/>
                <c:pt idx="0">
                  <c:v>2017</c:v>
                </c:pt>
                <c:pt idx="1">
                  <c:v>2018</c:v>
                </c:pt>
                <c:pt idx="2">
                  <c:v>2019</c:v>
                </c:pt>
                <c:pt idx="3">
                  <c:v>2020</c:v>
                </c:pt>
                <c:pt idx="4">
                  <c:v>2021</c:v>
                </c:pt>
                <c:pt idx="5">
                  <c:v>2022</c:v>
                </c:pt>
              </c:numCache>
            </c:numRef>
          </c:cat>
          <c:val>
            <c:numRef>
              <c:f>Feuil1!$H$69:$M$69</c:f>
              <c:numCache>
                <c:formatCode>General</c:formatCode>
                <c:ptCount val="6"/>
                <c:pt idx="0">
                  <c:v>41.5</c:v>
                </c:pt>
                <c:pt idx="1">
                  <c:v>41.1</c:v>
                </c:pt>
                <c:pt idx="2">
                  <c:v>41.7</c:v>
                </c:pt>
                <c:pt idx="3">
                  <c:v>41</c:v>
                </c:pt>
                <c:pt idx="4">
                  <c:v>42.4</c:v>
                </c:pt>
                <c:pt idx="5" formatCode="0.0">
                  <c:v>41.936363774015732</c:v>
                </c:pt>
              </c:numCache>
            </c:numRef>
          </c:val>
          <c:extLst xmlns:c16r2="http://schemas.microsoft.com/office/drawing/2015/06/chart">
            <c:ext xmlns:c16="http://schemas.microsoft.com/office/drawing/2014/chart" uri="{C3380CC4-5D6E-409C-BE32-E72D297353CC}">
              <c16:uniqueId val="{00000000-C9D8-4900-A8BE-6EB2C1192413}"/>
            </c:ext>
          </c:extLst>
        </c:ser>
        <c:ser>
          <c:idx val="1"/>
          <c:order val="1"/>
          <c:tx>
            <c:strRef>
              <c:f>Feuil1!$G$70</c:f>
              <c:strCache>
                <c:ptCount val="1"/>
                <c:pt idx="0">
                  <c:v>Rural</c:v>
                </c:pt>
              </c:strCache>
            </c:strRef>
          </c:tx>
          <c:marker>
            <c:symbol val="none"/>
          </c:marker>
          <c:dLbls>
            <c:dLbl>
              <c:idx val="5"/>
              <c:tx>
                <c:rich>
                  <a:bodyPr/>
                  <a:lstStyle/>
                  <a:p>
                    <a:r>
                      <a:rPr lang="en-US" sz="900">
                        <a:latin typeface="Times New Roman" pitchFamily="18" charset="0"/>
                        <a:cs typeface="Times New Roman" pitchFamily="18" charset="0"/>
                      </a:rPr>
                      <a:t>48,1</a:t>
                    </a:r>
                  </a:p>
                </c:rich>
              </c:tx>
              <c:dLblPos val="ctr"/>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9D8-4900-A8BE-6EB2C1192413}"/>
                </c:ext>
              </c:extLst>
            </c:dLbl>
            <c:spPr>
              <a:noFill/>
              <a:ln>
                <a:noFill/>
              </a:ln>
              <a:effectLst/>
            </c:spPr>
            <c:txPr>
              <a:bodyPr/>
              <a:lstStyle/>
              <a:p>
                <a:pPr>
                  <a:defRPr sz="900"/>
                </a:pPr>
                <a:endParaRPr lang="fr-FR"/>
              </a:p>
            </c:txPr>
            <c:dLblPos val="ctr"/>
            <c:showVal val="1"/>
            <c:extLst xmlns:c16r2="http://schemas.microsoft.com/office/drawing/2015/06/chart">
              <c:ext xmlns:c15="http://schemas.microsoft.com/office/drawing/2012/chart" uri="{CE6537A1-D6FC-4f65-9D91-7224C49458BB}">
                <c15:showLeaderLines val="0"/>
              </c:ext>
            </c:extLst>
          </c:dLbls>
          <c:cat>
            <c:numRef>
              <c:f>Feuil1!$H$68:$M$68</c:f>
              <c:numCache>
                <c:formatCode>General</c:formatCode>
                <c:ptCount val="6"/>
                <c:pt idx="0">
                  <c:v>2017</c:v>
                </c:pt>
                <c:pt idx="1">
                  <c:v>2018</c:v>
                </c:pt>
                <c:pt idx="2">
                  <c:v>2019</c:v>
                </c:pt>
                <c:pt idx="3">
                  <c:v>2020</c:v>
                </c:pt>
                <c:pt idx="4">
                  <c:v>2021</c:v>
                </c:pt>
                <c:pt idx="5">
                  <c:v>2022</c:v>
                </c:pt>
              </c:numCache>
            </c:numRef>
          </c:cat>
          <c:val>
            <c:numRef>
              <c:f>Feuil1!$H$70:$M$70</c:f>
              <c:numCache>
                <c:formatCode>General</c:formatCode>
                <c:ptCount val="6"/>
                <c:pt idx="0">
                  <c:v>52.4</c:v>
                </c:pt>
                <c:pt idx="1">
                  <c:v>51.9</c:v>
                </c:pt>
                <c:pt idx="2">
                  <c:v>50.8</c:v>
                </c:pt>
                <c:pt idx="3">
                  <c:v>48</c:v>
                </c:pt>
                <c:pt idx="4">
                  <c:v>50.3</c:v>
                </c:pt>
                <c:pt idx="5" formatCode="0.0">
                  <c:v>48.053828660286889</c:v>
                </c:pt>
              </c:numCache>
            </c:numRef>
          </c:val>
          <c:extLst xmlns:c16r2="http://schemas.microsoft.com/office/drawing/2015/06/chart">
            <c:ext xmlns:c16="http://schemas.microsoft.com/office/drawing/2014/chart" uri="{C3380CC4-5D6E-409C-BE32-E72D297353CC}">
              <c16:uniqueId val="{00000002-C9D8-4900-A8BE-6EB2C1192413}"/>
            </c:ext>
          </c:extLst>
        </c:ser>
        <c:ser>
          <c:idx val="2"/>
          <c:order val="2"/>
          <c:tx>
            <c:strRef>
              <c:f>Feuil1!$G$71</c:f>
              <c:strCache>
                <c:ptCount val="1"/>
                <c:pt idx="0">
                  <c:v>National</c:v>
                </c:pt>
              </c:strCache>
            </c:strRef>
          </c:tx>
          <c:marker>
            <c:symbol val="none"/>
          </c:marker>
          <c:dLbls>
            <c:spPr>
              <a:noFill/>
              <a:ln>
                <a:noFill/>
              </a:ln>
              <a:effectLst/>
            </c:spPr>
            <c:txPr>
              <a:bodyPr/>
              <a:lstStyle/>
              <a:p>
                <a:pPr>
                  <a:defRPr sz="900"/>
                </a:pPr>
                <a:endParaRPr lang="fr-FR"/>
              </a:p>
            </c:txPr>
            <c:dLblPos val="ctr"/>
            <c:showVal val="1"/>
            <c:extLst xmlns:c16r2="http://schemas.microsoft.com/office/drawing/2015/06/chart">
              <c:ext xmlns:c15="http://schemas.microsoft.com/office/drawing/2012/chart" uri="{CE6537A1-D6FC-4f65-9D91-7224C49458BB}">
                <c15:showLeaderLines val="0"/>
              </c:ext>
            </c:extLst>
          </c:dLbls>
          <c:cat>
            <c:numRef>
              <c:f>Feuil1!$H$68:$M$68</c:f>
              <c:numCache>
                <c:formatCode>General</c:formatCode>
                <c:ptCount val="6"/>
                <c:pt idx="0">
                  <c:v>2017</c:v>
                </c:pt>
                <c:pt idx="1">
                  <c:v>2018</c:v>
                </c:pt>
                <c:pt idx="2">
                  <c:v>2019</c:v>
                </c:pt>
                <c:pt idx="3">
                  <c:v>2020</c:v>
                </c:pt>
                <c:pt idx="4">
                  <c:v>2021</c:v>
                </c:pt>
                <c:pt idx="5">
                  <c:v>2022</c:v>
                </c:pt>
              </c:numCache>
            </c:numRef>
          </c:cat>
          <c:val>
            <c:numRef>
              <c:f>Feuil1!$H$71:$M$71</c:f>
              <c:numCache>
                <c:formatCode>General</c:formatCode>
                <c:ptCount val="6"/>
                <c:pt idx="0">
                  <c:v>45.5</c:v>
                </c:pt>
                <c:pt idx="1">
                  <c:v>45</c:v>
                </c:pt>
                <c:pt idx="2">
                  <c:v>44.9</c:v>
                </c:pt>
                <c:pt idx="3">
                  <c:v>43.5</c:v>
                </c:pt>
                <c:pt idx="4">
                  <c:v>45.1</c:v>
                </c:pt>
                <c:pt idx="5" formatCode="0.0">
                  <c:v>44.018776058966594</c:v>
                </c:pt>
              </c:numCache>
            </c:numRef>
          </c:val>
          <c:extLst xmlns:c16r2="http://schemas.microsoft.com/office/drawing/2015/06/chart">
            <c:ext xmlns:c16="http://schemas.microsoft.com/office/drawing/2014/chart" uri="{C3380CC4-5D6E-409C-BE32-E72D297353CC}">
              <c16:uniqueId val="{00000003-C9D8-4900-A8BE-6EB2C1192413}"/>
            </c:ext>
          </c:extLst>
        </c:ser>
        <c:dLbls>
          <c:showVal val="1"/>
        </c:dLbls>
        <c:marker val="1"/>
        <c:axId val="100569472"/>
        <c:axId val="100571008"/>
      </c:lineChart>
      <c:catAx>
        <c:axId val="100569472"/>
        <c:scaling>
          <c:orientation val="minMax"/>
        </c:scaling>
        <c:axPos val="b"/>
        <c:numFmt formatCode="General" sourceLinked="1"/>
        <c:majorTickMark val="none"/>
        <c:tickLblPos val="nextTo"/>
        <c:spPr>
          <a:ln w="6350">
            <a:noFill/>
          </a:ln>
        </c:spPr>
        <c:crossAx val="100571008"/>
        <c:crosses val="autoZero"/>
        <c:auto val="1"/>
        <c:lblAlgn val="ctr"/>
        <c:lblOffset val="100"/>
      </c:catAx>
      <c:valAx>
        <c:axId val="100571008"/>
        <c:scaling>
          <c:orientation val="minMax"/>
          <c:max val="60"/>
          <c:min val="0"/>
        </c:scaling>
        <c:delete val="1"/>
        <c:axPos val="l"/>
        <c:numFmt formatCode="General" sourceLinked="1"/>
        <c:majorTickMark val="none"/>
        <c:tickLblPos val="none"/>
        <c:crossAx val="100569472"/>
        <c:crosses val="autoZero"/>
        <c:crossBetween val="between"/>
        <c:majorUnit val="10"/>
        <c:minorUnit val="2"/>
      </c:valAx>
    </c:plotArea>
    <c:legend>
      <c:legendPos val="b"/>
    </c:legend>
    <c:plotVisOnly val="1"/>
    <c:dispBlanksAs val="gap"/>
  </c:chart>
  <c:spPr>
    <a:ln>
      <a:noFill/>
    </a:ln>
  </c:spPr>
  <c:txPr>
    <a:bodyPr/>
    <a:lstStyle/>
    <a:p>
      <a:pPr>
        <a:defRPr sz="1000"/>
      </a:pPr>
      <a:endParaRPr lang="fr-F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Feuil1!$A$27</c:f>
              <c:strCache>
                <c:ptCount val="1"/>
                <c:pt idx="0">
                  <c:v>Emploi rémunéré</c:v>
                </c:pt>
              </c:strCache>
            </c:strRef>
          </c:tx>
          <c:spPr>
            <a:solidFill>
              <a:srgbClr val="00206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Feuil1!$B$26:$D$26</c:f>
              <c:strCache>
                <c:ptCount val="3"/>
                <c:pt idx="0">
                  <c:v>Urbain</c:v>
                </c:pt>
                <c:pt idx="1">
                  <c:v>Rural</c:v>
                </c:pt>
                <c:pt idx="2">
                  <c:v>National</c:v>
                </c:pt>
              </c:strCache>
            </c:strRef>
          </c:cat>
          <c:val>
            <c:numRef>
              <c:f>Feuil1!$B$27:$D$27</c:f>
              <c:numCache>
                <c:formatCode>#,##0</c:formatCode>
                <c:ptCount val="3"/>
                <c:pt idx="0">
                  <c:v>134000</c:v>
                </c:pt>
                <c:pt idx="1">
                  <c:v>18000</c:v>
                </c:pt>
                <c:pt idx="2">
                  <c:v>152000</c:v>
                </c:pt>
              </c:numCache>
            </c:numRef>
          </c:val>
          <c:extLst xmlns:c16r2="http://schemas.microsoft.com/office/drawing/2015/06/chart">
            <c:ext xmlns:c16="http://schemas.microsoft.com/office/drawing/2014/chart" uri="{C3380CC4-5D6E-409C-BE32-E72D297353CC}">
              <c16:uniqueId val="{00000000-7E0C-43EE-B869-8B070C39D251}"/>
            </c:ext>
          </c:extLst>
        </c:ser>
        <c:ser>
          <c:idx val="1"/>
          <c:order val="1"/>
          <c:tx>
            <c:strRef>
              <c:f>Feuil1!$A$28</c:f>
              <c:strCache>
                <c:ptCount val="1"/>
                <c:pt idx="0">
                  <c:v>Emploi non rémunéré</c:v>
                </c:pt>
              </c:strCache>
            </c:strRef>
          </c:tx>
          <c:spPr>
            <a:solidFill>
              <a:schemeClr val="bg1">
                <a:lumMod val="75000"/>
              </a:schemeClr>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Feuil1!$B$26:$D$26</c:f>
              <c:strCache>
                <c:ptCount val="3"/>
                <c:pt idx="0">
                  <c:v>Urbain</c:v>
                </c:pt>
                <c:pt idx="1">
                  <c:v>Rural</c:v>
                </c:pt>
                <c:pt idx="2">
                  <c:v>National</c:v>
                </c:pt>
              </c:strCache>
            </c:strRef>
          </c:cat>
          <c:val>
            <c:numRef>
              <c:f>Feuil1!$B$28:$D$28</c:f>
              <c:numCache>
                <c:formatCode>#,##0</c:formatCode>
                <c:ptCount val="3"/>
                <c:pt idx="0">
                  <c:v>2000</c:v>
                </c:pt>
                <c:pt idx="1">
                  <c:v>-212000</c:v>
                </c:pt>
                <c:pt idx="2">
                  <c:v>-210000</c:v>
                </c:pt>
              </c:numCache>
            </c:numRef>
          </c:val>
          <c:extLst xmlns:c16r2="http://schemas.microsoft.com/office/drawing/2015/06/chart">
            <c:ext xmlns:c16="http://schemas.microsoft.com/office/drawing/2014/chart" uri="{C3380CC4-5D6E-409C-BE32-E72D297353CC}">
              <c16:uniqueId val="{00000001-7E0C-43EE-B869-8B070C39D251}"/>
            </c:ext>
          </c:extLst>
        </c:ser>
        <c:ser>
          <c:idx val="2"/>
          <c:order val="2"/>
          <c:tx>
            <c:strRef>
              <c:f>Feuil1!$A$29</c:f>
              <c:strCache>
                <c:ptCount val="1"/>
                <c:pt idx="0">
                  <c:v>Ensemble</c:v>
                </c:pt>
              </c:strCache>
            </c:strRef>
          </c:tx>
          <c:spPr>
            <a:solidFill>
              <a:srgbClr val="00B050"/>
            </a:solidFill>
          </c:spPr>
          <c:dLbls>
            <c:dLbl>
              <c:idx val="0"/>
              <c:tx>
                <c:rich>
                  <a:bodyPr/>
                  <a:lstStyle/>
                  <a:p>
                    <a:pPr>
                      <a:defRPr/>
                    </a:pPr>
                    <a:r>
                      <a:rPr lang="en-US"/>
                      <a:t>136 000   </a:t>
                    </a:r>
                  </a:p>
                </c:rich>
              </c:tx>
              <c:spPr>
                <a:noFill/>
              </c:spPr>
              <c:showVal val="1"/>
            </c:dLbl>
            <c:dLbl>
              <c:idx val="1"/>
              <c:spPr>
                <a:noFill/>
              </c:spPr>
              <c:txPr>
                <a:bodyPr/>
                <a:lstStyle/>
                <a:p>
                  <a:pPr>
                    <a:defRPr/>
                  </a:pPr>
                  <a:endParaRPr lang="fr-FR"/>
                </a:p>
              </c:txPr>
            </c:dLbl>
            <c:dLbl>
              <c:idx val="2"/>
              <c:spPr>
                <a:noFill/>
              </c:spPr>
              <c:txPr>
                <a:bodyPr/>
                <a:lstStyle/>
                <a:p>
                  <a:pPr>
                    <a:defRPr/>
                  </a:pPr>
                  <a:endParaRPr lang="fr-FR"/>
                </a:p>
              </c:txPr>
            </c:dLbl>
            <c:spPr>
              <a:solidFill>
                <a:srgbClr val="FFFF00"/>
              </a:solidFill>
            </c:spPr>
            <c:showVal val="1"/>
            <c:extLst xmlns:c16r2="http://schemas.microsoft.com/office/drawing/2015/06/chart">
              <c:ext xmlns:c15="http://schemas.microsoft.com/office/drawing/2012/chart" uri="{CE6537A1-D6FC-4f65-9D91-7224C49458BB}">
                <c15:showLeaderLines val="0"/>
              </c:ext>
            </c:extLst>
          </c:dLbls>
          <c:cat>
            <c:strRef>
              <c:f>Feuil1!$B$26:$D$26</c:f>
              <c:strCache>
                <c:ptCount val="3"/>
                <c:pt idx="0">
                  <c:v>Urbain</c:v>
                </c:pt>
                <c:pt idx="1">
                  <c:v>Rural</c:v>
                </c:pt>
                <c:pt idx="2">
                  <c:v>National</c:v>
                </c:pt>
              </c:strCache>
            </c:strRef>
          </c:cat>
          <c:val>
            <c:numRef>
              <c:f>Feuil1!$B$29:$D$29</c:f>
              <c:numCache>
                <c:formatCode>#,##0</c:formatCode>
                <c:ptCount val="3"/>
                <c:pt idx="0">
                  <c:v>136000</c:v>
                </c:pt>
                <c:pt idx="1">
                  <c:v>-194000</c:v>
                </c:pt>
                <c:pt idx="2">
                  <c:v>-58000</c:v>
                </c:pt>
              </c:numCache>
            </c:numRef>
          </c:val>
          <c:extLst xmlns:c16r2="http://schemas.microsoft.com/office/drawing/2015/06/chart">
            <c:ext xmlns:c16="http://schemas.microsoft.com/office/drawing/2014/chart" uri="{C3380CC4-5D6E-409C-BE32-E72D297353CC}">
              <c16:uniqueId val="{00000005-7E0C-43EE-B869-8B070C39D251}"/>
            </c:ext>
          </c:extLst>
        </c:ser>
        <c:gapWidth val="75"/>
        <c:overlap val="-25"/>
        <c:axId val="105037824"/>
        <c:axId val="105040512"/>
      </c:barChart>
      <c:catAx>
        <c:axId val="105037824"/>
        <c:scaling>
          <c:orientation val="minMax"/>
        </c:scaling>
        <c:axPos val="b"/>
        <c:numFmt formatCode="General" sourceLinked="0"/>
        <c:majorTickMark val="none"/>
        <c:tickLblPos val="low"/>
        <c:txPr>
          <a:bodyPr/>
          <a:lstStyle/>
          <a:p>
            <a:pPr>
              <a:defRPr>
                <a:latin typeface="+mn-lt"/>
              </a:defRPr>
            </a:pPr>
            <a:endParaRPr lang="fr-FR"/>
          </a:p>
        </c:txPr>
        <c:crossAx val="105040512"/>
        <c:crosses val="autoZero"/>
        <c:auto val="1"/>
        <c:lblAlgn val="ctr"/>
        <c:lblOffset val="100"/>
      </c:catAx>
      <c:valAx>
        <c:axId val="105040512"/>
        <c:scaling>
          <c:orientation val="minMax"/>
        </c:scaling>
        <c:delete val="1"/>
        <c:axPos val="l"/>
        <c:numFmt formatCode="#,##0" sourceLinked="1"/>
        <c:majorTickMark val="none"/>
        <c:tickLblPos val="none"/>
        <c:crossAx val="105037824"/>
        <c:crosses val="autoZero"/>
        <c:crossBetween val="between"/>
      </c:valAx>
      <c:spPr>
        <a:noFill/>
        <a:ln>
          <a:noFill/>
        </a:ln>
      </c:spPr>
    </c:plotArea>
    <c:legend>
      <c:legendPos val="b"/>
    </c:legend>
    <c:plotVisOnly val="1"/>
    <c:dispBlanksAs val="gap"/>
  </c:chart>
  <c:spPr>
    <a:noFill/>
    <a:ln>
      <a:noFill/>
    </a:ln>
  </c:spPr>
  <c:txPr>
    <a:bodyPr/>
    <a:lstStyle/>
    <a:p>
      <a:pPr>
        <a:defRPr>
          <a:latin typeface="+mn-lt"/>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Feuil1!$L$49</c:f>
              <c:strCache>
                <c:ptCount val="1"/>
                <c:pt idx="0">
                  <c:v>Urbain</c:v>
                </c:pt>
              </c:strCache>
            </c:strRef>
          </c:tx>
          <c:spPr>
            <a:solidFill>
              <a:srgbClr val="00B050"/>
            </a:solidFill>
          </c:spPr>
          <c:dLbls>
            <c:dLbl>
              <c:idx val="1"/>
              <c:layout>
                <c:manualLayout>
                  <c:x val="-6.5270192901686714E-3"/>
                  <c:y val="0"/>
                </c:manualLayout>
              </c:layout>
              <c:showVal val="1"/>
            </c:dLbl>
            <c:dLbl>
              <c:idx val="3"/>
              <c:layout>
                <c:manualLayout>
                  <c:x val="7.9773758659910336E-17"/>
                  <c:y val="-9.259259259259486E-3"/>
                </c:manualLayout>
              </c:layout>
              <c:showVal val="1"/>
            </c:dLbl>
            <c:dLbl>
              <c:idx val="4"/>
              <c:tx>
                <c:rich>
                  <a:bodyPr/>
                  <a:lstStyle/>
                  <a:p>
                    <a:pPr>
                      <a:defRPr lang="en-US" sz="700">
                        <a:latin typeface="Times New Roman" pitchFamily="18" charset="0"/>
                        <a:cs typeface="Times New Roman" pitchFamily="18" charset="0"/>
                      </a:defRPr>
                    </a:pPr>
                    <a:r>
                      <a:rPr lang="en-US" sz="700">
                        <a:latin typeface="Times New Roman" pitchFamily="18" charset="0"/>
                        <a:cs typeface="Times New Roman" pitchFamily="18" charset="0"/>
                      </a:rPr>
                      <a:t> 136</a:t>
                    </a:r>
                    <a:r>
                      <a:rPr lang="en-US" sz="700" baseline="0">
                        <a:latin typeface="Times New Roman" pitchFamily="18" charset="0"/>
                        <a:cs typeface="Times New Roman" pitchFamily="18" charset="0"/>
                      </a:rPr>
                      <a:t> </a:t>
                    </a:r>
                    <a:r>
                      <a:rPr lang="en-US" sz="700">
                        <a:latin typeface="Times New Roman" pitchFamily="18" charset="0"/>
                        <a:cs typeface="Times New Roman" pitchFamily="18" charset="0"/>
                      </a:rPr>
                      <a:t>000   </a:t>
                    </a:r>
                  </a:p>
                </c:rich>
              </c:tx>
              <c:spPr>
                <a:noFill/>
              </c:spPr>
              <c:showVal val="1"/>
            </c:dLbl>
            <c:spPr>
              <a:noFill/>
              <a:ln>
                <a:noFill/>
              </a:ln>
              <a:effectLst/>
            </c:spPr>
            <c:txPr>
              <a:bodyPr/>
              <a:lstStyle/>
              <a:p>
                <a:pPr>
                  <a:defRPr lang="en-US" sz="7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Feuil1!$K$50:$K$54</c:f>
              <c:strCache>
                <c:ptCount val="5"/>
                <c:pt idx="0">
                  <c:v>Agriculture forêt et pêche</c:v>
                </c:pt>
                <c:pt idx="1">
                  <c:v>Industrie</c:v>
                </c:pt>
                <c:pt idx="2">
                  <c:v>BTP</c:v>
                </c:pt>
                <c:pt idx="3">
                  <c:v>Services</c:v>
                </c:pt>
                <c:pt idx="4">
                  <c:v>Ensemble</c:v>
                </c:pt>
              </c:strCache>
            </c:strRef>
          </c:cat>
          <c:val>
            <c:numRef>
              <c:f>Feuil1!$L$50:$L$54</c:f>
              <c:numCache>
                <c:formatCode>#,##0</c:formatCode>
                <c:ptCount val="5"/>
                <c:pt idx="0">
                  <c:v>-4000</c:v>
                </c:pt>
                <c:pt idx="1">
                  <c:v>-6000</c:v>
                </c:pt>
                <c:pt idx="2">
                  <c:v>-4000</c:v>
                </c:pt>
                <c:pt idx="3">
                  <c:v>151000</c:v>
                </c:pt>
                <c:pt idx="4">
                  <c:v>135000</c:v>
                </c:pt>
              </c:numCache>
            </c:numRef>
          </c:val>
          <c:extLst xmlns:c16r2="http://schemas.microsoft.com/office/drawing/2015/06/chart">
            <c:ext xmlns:c16="http://schemas.microsoft.com/office/drawing/2014/chart" uri="{C3380CC4-5D6E-409C-BE32-E72D297353CC}">
              <c16:uniqueId val="{00000003-7C83-4EB5-81BC-E3AFE32E8F89}"/>
            </c:ext>
          </c:extLst>
        </c:ser>
        <c:ser>
          <c:idx val="1"/>
          <c:order val="1"/>
          <c:tx>
            <c:strRef>
              <c:f>Feuil1!$M$49</c:f>
              <c:strCache>
                <c:ptCount val="1"/>
                <c:pt idx="0">
                  <c:v>Rural</c:v>
                </c:pt>
              </c:strCache>
            </c:strRef>
          </c:tx>
          <c:spPr>
            <a:solidFill>
              <a:schemeClr val="bg1">
                <a:lumMod val="85000"/>
              </a:schemeClr>
            </a:solidFill>
          </c:spPr>
          <c:dLbls>
            <c:spPr>
              <a:noFill/>
              <a:ln>
                <a:noFill/>
              </a:ln>
              <a:effectLst/>
            </c:spPr>
            <c:txPr>
              <a:bodyPr/>
              <a:lstStyle/>
              <a:p>
                <a:pPr>
                  <a:defRPr lang="en-US" sz="7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Feuil1!$K$50:$K$54</c:f>
              <c:strCache>
                <c:ptCount val="5"/>
                <c:pt idx="0">
                  <c:v>Agriculture forêt et pêche</c:v>
                </c:pt>
                <c:pt idx="1">
                  <c:v>Industrie</c:v>
                </c:pt>
                <c:pt idx="2">
                  <c:v>BTP</c:v>
                </c:pt>
                <c:pt idx="3">
                  <c:v>Services</c:v>
                </c:pt>
                <c:pt idx="4">
                  <c:v>Ensemble</c:v>
                </c:pt>
              </c:strCache>
            </c:strRef>
          </c:cat>
          <c:val>
            <c:numRef>
              <c:f>Feuil1!$M$50:$M$54</c:f>
              <c:numCache>
                <c:formatCode>#,##0</c:formatCode>
                <c:ptCount val="5"/>
                <c:pt idx="0">
                  <c:v>-233000</c:v>
                </c:pt>
                <c:pt idx="1">
                  <c:v>36000</c:v>
                </c:pt>
                <c:pt idx="2">
                  <c:v>-34000</c:v>
                </c:pt>
                <c:pt idx="3">
                  <c:v>37000</c:v>
                </c:pt>
                <c:pt idx="4">
                  <c:v>-194000</c:v>
                </c:pt>
              </c:numCache>
            </c:numRef>
          </c:val>
          <c:extLst xmlns:c16r2="http://schemas.microsoft.com/office/drawing/2015/06/chart">
            <c:ext xmlns:c16="http://schemas.microsoft.com/office/drawing/2014/chart" uri="{C3380CC4-5D6E-409C-BE32-E72D297353CC}">
              <c16:uniqueId val="{00000004-7C83-4EB5-81BC-E3AFE32E8F89}"/>
            </c:ext>
          </c:extLst>
        </c:ser>
        <c:ser>
          <c:idx val="2"/>
          <c:order val="2"/>
          <c:tx>
            <c:strRef>
              <c:f>Feuil1!$N$49</c:f>
              <c:strCache>
                <c:ptCount val="1"/>
                <c:pt idx="0">
                  <c:v>National</c:v>
                </c:pt>
              </c:strCache>
            </c:strRef>
          </c:tx>
          <c:spPr>
            <a:solidFill>
              <a:srgbClr val="002060"/>
            </a:solidFill>
          </c:spPr>
          <c:dLbls>
            <c:dLbl>
              <c:idx val="4"/>
              <c:tx>
                <c:rich>
                  <a:bodyPr/>
                  <a:lstStyle/>
                  <a:p>
                    <a:r>
                      <a:t>-58</a:t>
                    </a:r>
                    <a:r>
                      <a:rPr baseline="0"/>
                      <a:t> </a:t>
                    </a:r>
                    <a:r>
                      <a:t>000</a:t>
                    </a:r>
                  </a:p>
                </c:rich>
              </c:tx>
              <c:showVal val="1"/>
            </c:dLbl>
            <c:spPr>
              <a:noFill/>
              <a:ln>
                <a:noFill/>
              </a:ln>
              <a:effectLst/>
            </c:spPr>
            <c:txPr>
              <a:bodyPr/>
              <a:lstStyle/>
              <a:p>
                <a:pPr>
                  <a:defRPr lang="en-US" sz="700">
                    <a:latin typeface="Times New Roman" pitchFamily="18" charset="0"/>
                    <a:cs typeface="Times New Roman" pitchFamily="18" charset="0"/>
                  </a:defRPr>
                </a:pPr>
                <a:endParaRPr lang="fr-FR"/>
              </a:p>
            </c:txPr>
            <c:showVal val="1"/>
            <c:extLst xmlns:c16r2="http://schemas.microsoft.com/office/drawing/2015/06/chart">
              <c:ext xmlns:c15="http://schemas.microsoft.com/office/drawing/2012/chart" uri="{CE6537A1-D6FC-4f65-9D91-7224C49458BB}">
                <c15:showLeaderLines val="0"/>
              </c:ext>
            </c:extLst>
          </c:dLbls>
          <c:cat>
            <c:strRef>
              <c:f>Feuil1!$K$50:$K$54</c:f>
              <c:strCache>
                <c:ptCount val="5"/>
                <c:pt idx="0">
                  <c:v>Agriculture forêt et pêche</c:v>
                </c:pt>
                <c:pt idx="1">
                  <c:v>Industrie</c:v>
                </c:pt>
                <c:pt idx="2">
                  <c:v>BTP</c:v>
                </c:pt>
                <c:pt idx="3">
                  <c:v>Services</c:v>
                </c:pt>
                <c:pt idx="4">
                  <c:v>Ensemble</c:v>
                </c:pt>
              </c:strCache>
            </c:strRef>
          </c:cat>
          <c:val>
            <c:numRef>
              <c:f>Feuil1!$N$50:$N$54</c:f>
              <c:numCache>
                <c:formatCode>#,##0</c:formatCode>
                <c:ptCount val="5"/>
                <c:pt idx="0">
                  <c:v>-237000</c:v>
                </c:pt>
                <c:pt idx="1">
                  <c:v>29000</c:v>
                </c:pt>
                <c:pt idx="2">
                  <c:v>-38000</c:v>
                </c:pt>
                <c:pt idx="3">
                  <c:v>189000</c:v>
                </c:pt>
                <c:pt idx="4">
                  <c:v>-59000</c:v>
                </c:pt>
              </c:numCache>
            </c:numRef>
          </c:val>
          <c:extLst xmlns:c16r2="http://schemas.microsoft.com/office/drawing/2015/06/chart">
            <c:ext xmlns:c16="http://schemas.microsoft.com/office/drawing/2014/chart" uri="{C3380CC4-5D6E-409C-BE32-E72D297353CC}">
              <c16:uniqueId val="{00000005-7C83-4EB5-81BC-E3AFE32E8F89}"/>
            </c:ext>
          </c:extLst>
        </c:ser>
        <c:gapWidth val="75"/>
        <c:overlap val="-25"/>
        <c:axId val="113648000"/>
        <c:axId val="113649536"/>
      </c:barChart>
      <c:catAx>
        <c:axId val="113648000"/>
        <c:scaling>
          <c:orientation val="minMax"/>
        </c:scaling>
        <c:axPos val="b"/>
        <c:numFmt formatCode="General" sourceLinked="0"/>
        <c:majorTickMark val="none"/>
        <c:tickLblPos val="low"/>
        <c:txPr>
          <a:bodyPr/>
          <a:lstStyle/>
          <a:p>
            <a:pPr>
              <a:defRPr lang="en-US" sz="900">
                <a:latin typeface="Times New Roman" pitchFamily="18" charset="0"/>
                <a:cs typeface="Times New Roman" pitchFamily="18" charset="0"/>
              </a:defRPr>
            </a:pPr>
            <a:endParaRPr lang="fr-FR"/>
          </a:p>
        </c:txPr>
        <c:crossAx val="113649536"/>
        <c:crosses val="autoZero"/>
        <c:auto val="1"/>
        <c:lblAlgn val="ctr"/>
        <c:lblOffset val="100"/>
      </c:catAx>
      <c:valAx>
        <c:axId val="113649536"/>
        <c:scaling>
          <c:orientation val="minMax"/>
        </c:scaling>
        <c:delete val="1"/>
        <c:axPos val="l"/>
        <c:numFmt formatCode="#,##0" sourceLinked="1"/>
        <c:majorTickMark val="none"/>
        <c:tickLblPos val="none"/>
        <c:crossAx val="113648000"/>
        <c:crosses val="autoZero"/>
        <c:crossBetween val="between"/>
      </c:valAx>
    </c:plotArea>
    <c:legend>
      <c:legendPos val="b"/>
      <c:layout>
        <c:manualLayout>
          <c:xMode val="edge"/>
          <c:yMode val="edge"/>
          <c:x val="0.35796236738013998"/>
          <c:y val="0.91628280839894949"/>
          <c:w val="0.32734797234853236"/>
          <c:h val="8.3717191601050026E-2"/>
        </c:manualLayout>
      </c:layout>
      <c:txPr>
        <a:bodyPr/>
        <a:lstStyle/>
        <a:p>
          <a:pPr>
            <a:defRPr lang="en-US">
              <a:latin typeface="Times New Roman" pitchFamily="18" charset="0"/>
              <a:cs typeface="Times New Roman" pitchFamily="18" charset="0"/>
            </a:defRPr>
          </a:pPr>
          <a:endParaRPr lang="fr-FR"/>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Feuil3!$C$2</c:f>
              <c:strCache>
                <c:ptCount val="1"/>
                <c:pt idx="0">
                  <c:v>Urbain</c:v>
                </c:pt>
              </c:strCache>
            </c:strRef>
          </c:tx>
          <c:marker>
            <c:symbol val="none"/>
          </c:marker>
          <c:dLbls>
            <c:dLblPos val="ctr"/>
            <c:showVal val="1"/>
          </c:dLbls>
          <c:cat>
            <c:strRef>
              <c:f>Feuil3!$B$3:$B$8</c:f>
              <c:strCache>
                <c:ptCount val="6"/>
                <c:pt idx="0">
                  <c:v>2022</c:v>
                </c:pt>
                <c:pt idx="1">
                  <c:v>2021</c:v>
                </c:pt>
                <c:pt idx="2">
                  <c:v>2020</c:v>
                </c:pt>
                <c:pt idx="3">
                  <c:v>2019</c:v>
                </c:pt>
                <c:pt idx="4">
                  <c:v>2018</c:v>
                </c:pt>
                <c:pt idx="5">
                  <c:v>2017</c:v>
                </c:pt>
              </c:strCache>
            </c:strRef>
          </c:cat>
          <c:val>
            <c:numRef>
              <c:f>Feuil3!$C$3:$C$8</c:f>
              <c:numCache>
                <c:formatCode>0.0</c:formatCode>
                <c:ptCount val="6"/>
                <c:pt idx="0">
                  <c:v>14.979396375249372</c:v>
                </c:pt>
                <c:pt idx="1">
                  <c:v>16</c:v>
                </c:pt>
                <c:pt idx="2">
                  <c:v>16.5</c:v>
                </c:pt>
                <c:pt idx="3">
                  <c:v>12.7</c:v>
                </c:pt>
                <c:pt idx="4">
                  <c:v>13.1</c:v>
                </c:pt>
                <c:pt idx="5">
                  <c:v>14.9</c:v>
                </c:pt>
              </c:numCache>
            </c:numRef>
          </c:val>
        </c:ser>
        <c:ser>
          <c:idx val="1"/>
          <c:order val="1"/>
          <c:tx>
            <c:strRef>
              <c:f>Feuil3!$D$2</c:f>
              <c:strCache>
                <c:ptCount val="1"/>
                <c:pt idx="0">
                  <c:v>Rural</c:v>
                </c:pt>
              </c:strCache>
            </c:strRef>
          </c:tx>
          <c:marker>
            <c:symbol val="none"/>
          </c:marker>
          <c:dLbls>
            <c:dLblPos val="ctr"/>
            <c:showVal val="1"/>
          </c:dLbls>
          <c:cat>
            <c:strRef>
              <c:f>Feuil3!$B$3:$B$8</c:f>
              <c:strCache>
                <c:ptCount val="6"/>
                <c:pt idx="0">
                  <c:v>2022</c:v>
                </c:pt>
                <c:pt idx="1">
                  <c:v>2021</c:v>
                </c:pt>
                <c:pt idx="2">
                  <c:v>2020</c:v>
                </c:pt>
                <c:pt idx="3">
                  <c:v>2019</c:v>
                </c:pt>
                <c:pt idx="4">
                  <c:v>2018</c:v>
                </c:pt>
                <c:pt idx="5">
                  <c:v>2017</c:v>
                </c:pt>
              </c:strCache>
            </c:strRef>
          </c:cat>
          <c:val>
            <c:numRef>
              <c:f>Feuil3!$D$3:$D$8</c:f>
              <c:numCache>
                <c:formatCode>0.0</c:formatCode>
                <c:ptCount val="6"/>
                <c:pt idx="0">
                  <c:v>5.2369172072864378</c:v>
                </c:pt>
                <c:pt idx="1">
                  <c:v>5.2</c:v>
                </c:pt>
                <c:pt idx="2">
                  <c:v>6.8</c:v>
                </c:pt>
                <c:pt idx="3">
                  <c:v>4.5</c:v>
                </c:pt>
                <c:pt idx="4">
                  <c:v>3.9</c:v>
                </c:pt>
                <c:pt idx="5">
                  <c:v>4.5999999999999996</c:v>
                </c:pt>
              </c:numCache>
            </c:numRef>
          </c:val>
        </c:ser>
        <c:ser>
          <c:idx val="2"/>
          <c:order val="2"/>
          <c:tx>
            <c:strRef>
              <c:f>Feuil3!$E$2</c:f>
              <c:strCache>
                <c:ptCount val="1"/>
                <c:pt idx="0">
                  <c:v>Ensemble</c:v>
                </c:pt>
              </c:strCache>
            </c:strRef>
          </c:tx>
          <c:marker>
            <c:symbol val="none"/>
          </c:marker>
          <c:dLbls>
            <c:dLblPos val="ctr"/>
            <c:showVal val="1"/>
          </c:dLbls>
          <c:cat>
            <c:strRef>
              <c:f>Feuil3!$B$3:$B$8</c:f>
              <c:strCache>
                <c:ptCount val="6"/>
                <c:pt idx="0">
                  <c:v>2022</c:v>
                </c:pt>
                <c:pt idx="1">
                  <c:v>2021</c:v>
                </c:pt>
                <c:pt idx="2">
                  <c:v>2020</c:v>
                </c:pt>
                <c:pt idx="3">
                  <c:v>2019</c:v>
                </c:pt>
                <c:pt idx="4">
                  <c:v>2018</c:v>
                </c:pt>
                <c:pt idx="5">
                  <c:v>2017</c:v>
                </c:pt>
              </c:strCache>
            </c:strRef>
          </c:cat>
          <c:val>
            <c:numRef>
              <c:f>Feuil3!$E$3:$E$8</c:f>
              <c:numCache>
                <c:formatCode>0.0</c:formatCode>
                <c:ptCount val="6"/>
                <c:pt idx="0">
                  <c:v>11.359011428314735</c:v>
                </c:pt>
                <c:pt idx="1">
                  <c:v>11.8</c:v>
                </c:pt>
                <c:pt idx="2">
                  <c:v>12.7</c:v>
                </c:pt>
                <c:pt idx="3">
                  <c:v>9.4</c:v>
                </c:pt>
                <c:pt idx="4">
                  <c:v>9.3000000000000007</c:v>
                </c:pt>
                <c:pt idx="5">
                  <c:v>10.6</c:v>
                </c:pt>
              </c:numCache>
            </c:numRef>
          </c:val>
        </c:ser>
        <c:dLbls>
          <c:showVal val="1"/>
        </c:dLbls>
        <c:marker val="1"/>
        <c:axId val="106993152"/>
        <c:axId val="106994688"/>
      </c:lineChart>
      <c:catAx>
        <c:axId val="106993152"/>
        <c:scaling>
          <c:orientation val="maxMin"/>
        </c:scaling>
        <c:axPos val="b"/>
        <c:majorTickMark val="none"/>
        <c:tickLblPos val="nextTo"/>
        <c:spPr>
          <a:ln w="9525">
            <a:noFill/>
          </a:ln>
        </c:spPr>
        <c:crossAx val="106994688"/>
        <c:crosses val="autoZero"/>
        <c:auto val="1"/>
        <c:lblAlgn val="ctr"/>
        <c:lblOffset val="100"/>
      </c:catAx>
      <c:valAx>
        <c:axId val="106994688"/>
        <c:scaling>
          <c:orientation val="minMax"/>
        </c:scaling>
        <c:delete val="1"/>
        <c:axPos val="r"/>
        <c:numFmt formatCode="0.0" sourceLinked="1"/>
        <c:majorTickMark val="none"/>
        <c:tickLblPos val="nextTo"/>
        <c:crossAx val="106993152"/>
        <c:crosses val="autoZero"/>
        <c:crossBetween val="between"/>
      </c:valAx>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6455026455026558E-2"/>
          <c:y val="3.7851904423941499E-2"/>
          <c:w val="0.95149911816578714"/>
          <c:h val="0.69379336809300562"/>
        </c:manualLayout>
      </c:layout>
      <c:barChart>
        <c:barDir val="col"/>
        <c:grouping val="clustered"/>
        <c:ser>
          <c:idx val="0"/>
          <c:order val="0"/>
          <c:tx>
            <c:strRef>
              <c:f>'[2022T3 - Note sur les chiffres clés - Tabulation #1 -DEE.xlsx]Feuil1'!$E$5</c:f>
              <c:strCache>
                <c:ptCount val="1"/>
                <c:pt idx="0">
                  <c:v>2021</c:v>
                </c:pt>
              </c:strCache>
            </c:strRef>
          </c:tx>
          <c:spPr>
            <a:solidFill>
              <a:srgbClr val="002060"/>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Tabulation #1 -DEE.xlsx]Feuil1'!$D$6:$D$13</c:f>
              <c:strCache>
                <c:ptCount val="8"/>
                <c:pt idx="0">
                  <c:v>Urbain</c:v>
                </c:pt>
                <c:pt idx="1">
                  <c:v>Rural</c:v>
                </c:pt>
                <c:pt idx="2">
                  <c:v>Hommes</c:v>
                </c:pt>
                <c:pt idx="3">
                  <c:v>Femmes</c:v>
                </c:pt>
                <c:pt idx="4">
                  <c:v>15-24 ans</c:v>
                </c:pt>
                <c:pt idx="5">
                  <c:v>Non diplômés</c:v>
                </c:pt>
                <c:pt idx="6">
                  <c:v>Diplômés</c:v>
                </c:pt>
                <c:pt idx="7">
                  <c:v>National</c:v>
                </c:pt>
              </c:strCache>
            </c:strRef>
          </c:cat>
          <c:val>
            <c:numRef>
              <c:f>'[2022T3 - Note sur les chiffres clés - Tabulation #1 -DEE.xlsx]Feuil1'!$E$6:$E$13</c:f>
              <c:numCache>
                <c:formatCode>General</c:formatCode>
                <c:ptCount val="8"/>
                <c:pt idx="0">
                  <c:v>16</c:v>
                </c:pt>
                <c:pt idx="1">
                  <c:v>5.2</c:v>
                </c:pt>
                <c:pt idx="2">
                  <c:v>10.4</c:v>
                </c:pt>
                <c:pt idx="3">
                  <c:v>16.5</c:v>
                </c:pt>
                <c:pt idx="4">
                  <c:v>31</c:v>
                </c:pt>
                <c:pt idx="5">
                  <c:v>4.4000000000000004</c:v>
                </c:pt>
                <c:pt idx="6">
                  <c:v>18.7</c:v>
                </c:pt>
                <c:pt idx="7">
                  <c:v>11.8</c:v>
                </c:pt>
              </c:numCache>
            </c:numRef>
          </c:val>
          <c:extLst xmlns:c16r2="http://schemas.microsoft.com/office/drawing/2015/06/chart">
            <c:ext xmlns:c16="http://schemas.microsoft.com/office/drawing/2014/chart" uri="{C3380CC4-5D6E-409C-BE32-E72D297353CC}">
              <c16:uniqueId val="{00000000-9956-4F4A-AC0C-F866F8BE3CEF}"/>
            </c:ext>
          </c:extLst>
        </c:ser>
        <c:ser>
          <c:idx val="1"/>
          <c:order val="1"/>
          <c:tx>
            <c:strRef>
              <c:f>'[2022T3 - Note sur les chiffres clés - Tabulation #1 -DEE.xlsx]Feuil1'!$F$5</c:f>
              <c:strCache>
                <c:ptCount val="1"/>
                <c:pt idx="0">
                  <c:v>2022</c:v>
                </c:pt>
              </c:strCache>
            </c:strRef>
          </c:tx>
          <c:spPr>
            <a:solidFill>
              <a:srgbClr val="00B05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Tabulation #1 -DEE.xlsx]Feuil1'!$D$6:$D$13</c:f>
              <c:strCache>
                <c:ptCount val="8"/>
                <c:pt idx="0">
                  <c:v>Urbain</c:v>
                </c:pt>
                <c:pt idx="1">
                  <c:v>Rural</c:v>
                </c:pt>
                <c:pt idx="2">
                  <c:v>Hommes</c:v>
                </c:pt>
                <c:pt idx="3">
                  <c:v>Femmes</c:v>
                </c:pt>
                <c:pt idx="4">
                  <c:v>15-24 ans</c:v>
                </c:pt>
                <c:pt idx="5">
                  <c:v>Non diplômés</c:v>
                </c:pt>
                <c:pt idx="6">
                  <c:v>Diplômés</c:v>
                </c:pt>
                <c:pt idx="7">
                  <c:v>National</c:v>
                </c:pt>
              </c:strCache>
            </c:strRef>
          </c:cat>
          <c:val>
            <c:numRef>
              <c:f>'[2022T3 - Note sur les chiffres clés - Tabulation #1 -DEE.xlsx]Feuil1'!$F$6:$F$13</c:f>
              <c:numCache>
                <c:formatCode>General</c:formatCode>
                <c:ptCount val="8"/>
                <c:pt idx="0">
                  <c:v>15</c:v>
                </c:pt>
                <c:pt idx="1">
                  <c:v>5.2</c:v>
                </c:pt>
                <c:pt idx="2">
                  <c:v>9.5</c:v>
                </c:pt>
                <c:pt idx="3">
                  <c:v>17.8</c:v>
                </c:pt>
                <c:pt idx="4">
                  <c:v>31.7</c:v>
                </c:pt>
                <c:pt idx="5">
                  <c:v>4.0999999999999996</c:v>
                </c:pt>
                <c:pt idx="6">
                  <c:v>17.7</c:v>
                </c:pt>
                <c:pt idx="7">
                  <c:v>11.4</c:v>
                </c:pt>
              </c:numCache>
            </c:numRef>
          </c:val>
          <c:extLst xmlns:c16r2="http://schemas.microsoft.com/office/drawing/2015/06/chart">
            <c:ext xmlns:c16="http://schemas.microsoft.com/office/drawing/2014/chart" uri="{C3380CC4-5D6E-409C-BE32-E72D297353CC}">
              <c16:uniqueId val="{00000001-9956-4F4A-AC0C-F866F8BE3CEF}"/>
            </c:ext>
          </c:extLst>
        </c:ser>
        <c:gapWidth val="219"/>
        <c:overlap val="-27"/>
        <c:axId val="107074688"/>
        <c:axId val="107076224"/>
      </c:barChart>
      <c:catAx>
        <c:axId val="1070746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7076224"/>
        <c:crosses val="autoZero"/>
        <c:auto val="1"/>
        <c:lblAlgn val="ctr"/>
        <c:lblOffset val="100"/>
      </c:catAx>
      <c:valAx>
        <c:axId val="107076224"/>
        <c:scaling>
          <c:orientation val="minMax"/>
        </c:scaling>
        <c:delete val="1"/>
        <c:axPos val="l"/>
        <c:numFmt formatCode="General" sourceLinked="1"/>
        <c:majorTickMark val="none"/>
        <c:tickLblPos val="nextTo"/>
        <c:crossAx val="1070746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'[2022T3 - Note sur les chiffres clés - Tabulation #1 -DEE.xlsx]Feuil1'!$E$27</c:f>
              <c:strCache>
                <c:ptCount val="1"/>
                <c:pt idx="0">
                  <c:v>2021</c:v>
                </c:pt>
              </c:strCache>
            </c:strRef>
          </c:tx>
          <c:spPr>
            <a:solidFill>
              <a:srgbClr val="002060"/>
            </a:solidFill>
            <a:ln>
              <a:noFill/>
            </a:ln>
            <a:effectLst/>
          </c:spPr>
          <c:dLbls>
            <c:dLbl>
              <c:idx val="1"/>
              <c:tx>
                <c:rich>
                  <a:bodyPr/>
                  <a:lstStyle/>
                  <a:p>
                    <a:r>
                      <a:rPr lang="en-US"/>
                      <a:t>10,8</a:t>
                    </a:r>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Tabulation #1 -DEE.xlsx]Feuil1'!$D$28:$D$30</c:f>
              <c:strCache>
                <c:ptCount val="3"/>
                <c:pt idx="0">
                  <c:v>Urbain</c:v>
                </c:pt>
                <c:pt idx="1">
                  <c:v>Rural</c:v>
                </c:pt>
                <c:pt idx="2">
                  <c:v>National</c:v>
                </c:pt>
              </c:strCache>
            </c:strRef>
          </c:cat>
          <c:val>
            <c:numRef>
              <c:f>'[2022T3 - Note sur les chiffres clés - Tabulation #1 -DEE.xlsx]Feuil1'!$E$28:$E$30</c:f>
              <c:numCache>
                <c:formatCode>General</c:formatCode>
                <c:ptCount val="3"/>
                <c:pt idx="0">
                  <c:v>8.6</c:v>
                </c:pt>
                <c:pt idx="1">
                  <c:v>10.6</c:v>
                </c:pt>
                <c:pt idx="2">
                  <c:v>9.5</c:v>
                </c:pt>
              </c:numCache>
            </c:numRef>
          </c:val>
          <c:extLst xmlns:c16r2="http://schemas.microsoft.com/office/drawing/2015/06/chart">
            <c:ext xmlns:c16="http://schemas.microsoft.com/office/drawing/2014/chart" uri="{C3380CC4-5D6E-409C-BE32-E72D297353CC}">
              <c16:uniqueId val="{00000000-83F3-4D6D-9295-B5AEEEF267B9}"/>
            </c:ext>
          </c:extLst>
        </c:ser>
        <c:ser>
          <c:idx val="1"/>
          <c:order val="1"/>
          <c:tx>
            <c:strRef>
              <c:f>'[2022T3 - Note sur les chiffres clés - Tabulation #1 -DEE.xlsx]Feuil1'!$F$27</c:f>
              <c:strCache>
                <c:ptCount val="1"/>
                <c:pt idx="0">
                  <c:v>2022</c:v>
                </c:pt>
              </c:strCache>
            </c:strRef>
          </c:tx>
          <c:spPr>
            <a:solidFill>
              <a:srgbClr val="00B05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Tabulation #1 -DEE.xlsx]Feuil1'!$D$28:$D$30</c:f>
              <c:strCache>
                <c:ptCount val="3"/>
                <c:pt idx="0">
                  <c:v>Urbain</c:v>
                </c:pt>
                <c:pt idx="1">
                  <c:v>Rural</c:v>
                </c:pt>
                <c:pt idx="2">
                  <c:v>National</c:v>
                </c:pt>
              </c:strCache>
            </c:strRef>
          </c:cat>
          <c:val>
            <c:numRef>
              <c:f>'[2022T3 - Note sur les chiffres clés - Tabulation #1 -DEE.xlsx]Feuil1'!$F$28:$F$30</c:f>
              <c:numCache>
                <c:formatCode>General</c:formatCode>
                <c:ptCount val="3"/>
                <c:pt idx="0">
                  <c:v>7.5</c:v>
                </c:pt>
                <c:pt idx="1">
                  <c:v>9.9</c:v>
                </c:pt>
                <c:pt idx="2">
                  <c:v>8.5</c:v>
                </c:pt>
              </c:numCache>
            </c:numRef>
          </c:val>
          <c:extLst xmlns:c16r2="http://schemas.microsoft.com/office/drawing/2015/06/chart">
            <c:ext xmlns:c16="http://schemas.microsoft.com/office/drawing/2014/chart" uri="{C3380CC4-5D6E-409C-BE32-E72D297353CC}">
              <c16:uniqueId val="{00000001-83F3-4D6D-9295-B5AEEEF267B9}"/>
            </c:ext>
          </c:extLst>
        </c:ser>
        <c:gapWidth val="219"/>
        <c:overlap val="-27"/>
        <c:axId val="107122048"/>
        <c:axId val="107132032"/>
      </c:barChart>
      <c:catAx>
        <c:axId val="1071220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7132032"/>
        <c:crosses val="autoZero"/>
        <c:auto val="1"/>
        <c:lblAlgn val="ctr"/>
        <c:lblOffset val="100"/>
      </c:catAx>
      <c:valAx>
        <c:axId val="107132032"/>
        <c:scaling>
          <c:orientation val="minMax"/>
        </c:scaling>
        <c:delete val="1"/>
        <c:axPos val="l"/>
        <c:numFmt formatCode="General" sourceLinked="1"/>
        <c:majorTickMark val="none"/>
        <c:tickLblPos val="nextTo"/>
        <c:crossAx val="1071220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spPr>
            <a:solidFill>
              <a:srgbClr val="002060"/>
            </a:solidFill>
            <a:ln>
              <a:noFill/>
            </a:ln>
            <a:effectLst/>
          </c:spPr>
          <c:dPt>
            <c:idx val="6"/>
            <c:spPr>
              <a:solidFill>
                <a:srgbClr val="00B050"/>
              </a:solidFill>
              <a:ln>
                <a:noFill/>
              </a:ln>
              <a:effectLst/>
            </c:spPr>
            <c:extLst xmlns:c16r2="http://schemas.microsoft.com/office/drawing/2015/06/chart">
              <c:ext xmlns:c16="http://schemas.microsoft.com/office/drawing/2014/chart" uri="{C3380CC4-5D6E-409C-BE32-E72D297353CC}">
                <c16:uniqueId val="{00000001-2F70-46CE-B40D-6D462C62A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Annexe -DEE.xlsx]Feuil1'!$A$4:$A$14</c:f>
              <c:strCache>
                <c:ptCount val="11"/>
                <c:pt idx="0">
                  <c:v>Souss-Massa</c:v>
                </c:pt>
                <c:pt idx="1">
                  <c:v>Drâa-Tafilalet</c:v>
                </c:pt>
                <c:pt idx="2">
                  <c:v>Béni Mellal-Khénifra</c:v>
                </c:pt>
                <c:pt idx="3">
                  <c:v>Oriental</c:v>
                </c:pt>
                <c:pt idx="4">
                  <c:v>Fès-Meknès</c:v>
                </c:pt>
                <c:pt idx="5">
                  <c:v>Régions du Sud</c:v>
                </c:pt>
                <c:pt idx="6">
                  <c:v>Ensemble</c:v>
                </c:pt>
                <c:pt idx="7">
                  <c:v>Rabat-Salé-Kénitra</c:v>
                </c:pt>
                <c:pt idx="8">
                  <c:v>Marrakech-Safi</c:v>
                </c:pt>
                <c:pt idx="9">
                  <c:v>Casablanca-Settat</c:v>
                </c:pt>
                <c:pt idx="10">
                  <c:v>Tanger-Tétouan-Al Hoceïma</c:v>
                </c:pt>
              </c:strCache>
            </c:strRef>
          </c:cat>
          <c:val>
            <c:numRef>
              <c:f>'[2022T3 - Note sur les chiffres clés - Annexe -DEE.xlsx]Feuil1'!$B$4:$B$14</c:f>
              <c:numCache>
                <c:formatCode>0.0</c:formatCode>
                <c:ptCount val="11"/>
                <c:pt idx="0">
                  <c:v>37.687635023213744</c:v>
                </c:pt>
                <c:pt idx="1">
                  <c:v>38.463377106502691</c:v>
                </c:pt>
                <c:pt idx="2">
                  <c:v>40.904379921037091</c:v>
                </c:pt>
                <c:pt idx="3">
                  <c:v>41.615727116688547</c:v>
                </c:pt>
                <c:pt idx="4">
                  <c:v>42.496019095713294</c:v>
                </c:pt>
                <c:pt idx="5">
                  <c:v>42.90956124436871</c:v>
                </c:pt>
                <c:pt idx="6">
                  <c:v>44.018776058966594</c:v>
                </c:pt>
                <c:pt idx="7">
                  <c:v>44.370511260558239</c:v>
                </c:pt>
                <c:pt idx="8">
                  <c:v>45.234332273076213</c:v>
                </c:pt>
                <c:pt idx="9">
                  <c:v>46.577553861087104</c:v>
                </c:pt>
                <c:pt idx="10">
                  <c:v>49.889698084891364</c:v>
                </c:pt>
              </c:numCache>
            </c:numRef>
          </c:val>
          <c:extLst xmlns:c16r2="http://schemas.microsoft.com/office/drawing/2015/06/chart">
            <c:ext xmlns:c16="http://schemas.microsoft.com/office/drawing/2014/chart" uri="{C3380CC4-5D6E-409C-BE32-E72D297353CC}">
              <c16:uniqueId val="{00000002-2F70-46CE-B40D-6D462C62AE85}"/>
            </c:ext>
          </c:extLst>
        </c:ser>
        <c:dLbls>
          <c:showVal val="1"/>
        </c:dLbls>
        <c:gapWidth val="182"/>
        <c:axId val="107148416"/>
        <c:axId val="107149952"/>
      </c:barChart>
      <c:catAx>
        <c:axId val="1071484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07149952"/>
        <c:crosses val="autoZero"/>
        <c:auto val="1"/>
        <c:lblAlgn val="ctr"/>
        <c:lblOffset val="100"/>
      </c:catAx>
      <c:valAx>
        <c:axId val="107149952"/>
        <c:scaling>
          <c:orientation val="minMax"/>
        </c:scaling>
        <c:delete val="1"/>
        <c:axPos val="b"/>
        <c:numFmt formatCode="0.0" sourceLinked="1"/>
        <c:majorTickMark val="none"/>
        <c:tickLblPos val="nextTo"/>
        <c:crossAx val="107148416"/>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bar"/>
        <c:grouping val="clustered"/>
        <c:ser>
          <c:idx val="0"/>
          <c:order val="0"/>
          <c:spPr>
            <a:solidFill>
              <a:srgbClr val="002060"/>
            </a:solidFill>
            <a:ln>
              <a:noFill/>
            </a:ln>
            <a:effectLst/>
          </c:spPr>
          <c:dPt>
            <c:idx val="4"/>
            <c:spPr>
              <a:solidFill>
                <a:srgbClr val="00B050"/>
              </a:solidFill>
              <a:ln>
                <a:noFill/>
              </a:ln>
              <a:effectLst/>
            </c:spPr>
            <c:extLst xmlns:c16r2="http://schemas.microsoft.com/office/drawing/2015/06/chart">
              <c:ext xmlns:c16="http://schemas.microsoft.com/office/drawing/2014/chart" uri="{C3380CC4-5D6E-409C-BE32-E72D297353CC}">
                <c16:uniqueId val="{00000001-C912-4359-A7C3-3F8020E30E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'[2022T3 - Note sur les chiffres clés - Annexe -DEE.xlsx]Feuil1'!$A$24:$A$34</c:f>
              <c:strCache>
                <c:ptCount val="11"/>
                <c:pt idx="0">
                  <c:v>Marrakech-Safi</c:v>
                </c:pt>
                <c:pt idx="1">
                  <c:v>Tanger-Tétouan-Al Hoceïma</c:v>
                </c:pt>
                <c:pt idx="2">
                  <c:v>Drâa-Tafilalet</c:v>
                </c:pt>
                <c:pt idx="3">
                  <c:v>Rabat-Salé-Kénitra</c:v>
                </c:pt>
                <c:pt idx="4">
                  <c:v>Ensemble</c:v>
                </c:pt>
                <c:pt idx="5">
                  <c:v>Béni Mellal-Khénifra</c:v>
                </c:pt>
                <c:pt idx="6">
                  <c:v>Souss-Massa</c:v>
                </c:pt>
                <c:pt idx="7">
                  <c:v>Casablanca-Settat</c:v>
                </c:pt>
                <c:pt idx="8">
                  <c:v>Fès-Meknès</c:v>
                </c:pt>
                <c:pt idx="9">
                  <c:v>Oriental</c:v>
                </c:pt>
                <c:pt idx="10">
                  <c:v>Régions du Sud</c:v>
                </c:pt>
              </c:strCache>
            </c:strRef>
          </c:cat>
          <c:val>
            <c:numRef>
              <c:f>'[2022T3 - Note sur les chiffres clés - Annexe -DEE.xlsx]Feuil1'!$B$24:$B$34</c:f>
              <c:numCache>
                <c:formatCode>0.0</c:formatCode>
                <c:ptCount val="11"/>
                <c:pt idx="0">
                  <c:v>6.9138471117889022</c:v>
                </c:pt>
                <c:pt idx="1">
                  <c:v>8.7648780977466423</c:v>
                </c:pt>
                <c:pt idx="2">
                  <c:v>10.002888840766056</c:v>
                </c:pt>
                <c:pt idx="3">
                  <c:v>11.179998792490148</c:v>
                </c:pt>
                <c:pt idx="4">
                  <c:v>11.359011428314735</c:v>
                </c:pt>
                <c:pt idx="5">
                  <c:v>11.616637349980724</c:v>
                </c:pt>
                <c:pt idx="6">
                  <c:v>11.690211259809132</c:v>
                </c:pt>
                <c:pt idx="7">
                  <c:v>12.527445514871268</c:v>
                </c:pt>
                <c:pt idx="8">
                  <c:v>12.982351307488782</c:v>
                </c:pt>
                <c:pt idx="9">
                  <c:v>14.648209505466538</c:v>
                </c:pt>
                <c:pt idx="10">
                  <c:v>21.009406092303589</c:v>
                </c:pt>
              </c:numCache>
            </c:numRef>
          </c:val>
          <c:extLst xmlns:c16r2="http://schemas.microsoft.com/office/drawing/2015/06/chart">
            <c:ext xmlns:c16="http://schemas.microsoft.com/office/drawing/2014/chart" uri="{C3380CC4-5D6E-409C-BE32-E72D297353CC}">
              <c16:uniqueId val="{00000000-C912-4359-A7C3-3F8020E30E5C}"/>
            </c:ext>
          </c:extLst>
        </c:ser>
        <c:dLbls>
          <c:showVal val="1"/>
        </c:dLbls>
        <c:gapWidth val="182"/>
        <c:axId val="108525824"/>
        <c:axId val="108814336"/>
      </c:barChart>
      <c:catAx>
        <c:axId val="10852582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108814336"/>
        <c:crosses val="autoZero"/>
        <c:auto val="1"/>
        <c:lblAlgn val="ctr"/>
        <c:lblOffset val="100"/>
      </c:catAx>
      <c:valAx>
        <c:axId val="108814336"/>
        <c:scaling>
          <c:orientation val="minMax"/>
        </c:scaling>
        <c:delete val="1"/>
        <c:axPos val="b"/>
        <c:numFmt formatCode="0.0" sourceLinked="1"/>
        <c:majorTickMark val="none"/>
        <c:tickLblPos val="nextTo"/>
        <c:crossAx val="10852582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F257-12DA-4CC2-8C46-7069CDF1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1772</Words>
  <Characters>9750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 El Ouazzani Touhami ET AL</dc:creator>
  <cp:lastModifiedBy>User</cp:lastModifiedBy>
  <cp:revision>9</cp:revision>
  <cp:lastPrinted>2022-10-26T12:33:00Z</cp:lastPrinted>
  <dcterms:created xsi:type="dcterms:W3CDTF">2022-10-27T20:10:00Z</dcterms:created>
  <dcterms:modified xsi:type="dcterms:W3CDTF">2022-11-02T14:33:00Z</dcterms:modified>
</cp:coreProperties>
</file>