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999" w:rsidRDefault="00E42E1C" w:rsidP="00F51F24">
      <w:pPr>
        <w:spacing w:before="240" w:line="312" w:lineRule="auto"/>
        <w:ind w:left="-181"/>
        <w:jc w:val="center"/>
        <w:rPr>
          <w:rFonts w:ascii="Book Antiqua" w:eastAsia="Book Antiqua" w:hAnsi="Book Antiqua" w:cs="Book Antiqua"/>
          <w:b/>
          <w:color w:val="323E4F" w:themeColor="text2" w:themeShade="BF"/>
          <w:sz w:val="26"/>
          <w:szCs w:val="26"/>
        </w:rPr>
      </w:pPr>
      <w:r>
        <w:rPr>
          <w:rFonts w:ascii="Book Antiqua" w:eastAsia="Book Antiqua" w:hAnsi="Book Antiqua" w:cs="Book Antiqua"/>
          <w:b/>
          <w:color w:val="323E4F" w:themeColor="text2" w:themeShade="BF"/>
          <w:sz w:val="26"/>
          <w:szCs w:val="26"/>
        </w:rPr>
        <w:t xml:space="preserve">       </w:t>
      </w:r>
    </w:p>
    <w:p w:rsidR="00F51F24" w:rsidRPr="00BD4B64" w:rsidRDefault="00F51F24" w:rsidP="00F51F24">
      <w:pPr>
        <w:spacing w:before="240" w:line="312" w:lineRule="auto"/>
        <w:ind w:left="-181"/>
        <w:jc w:val="center"/>
        <w:rPr>
          <w:rFonts w:ascii="Book Antiqua" w:eastAsia="Book Antiqua" w:hAnsi="Book Antiqua" w:cs="Book Antiqua"/>
          <w:b/>
          <w:color w:val="ED7D31" w:themeColor="accent2"/>
          <w:sz w:val="26"/>
          <w:szCs w:val="26"/>
        </w:rPr>
      </w:pPr>
      <w:r w:rsidRPr="00BD4B64">
        <w:rPr>
          <w:rFonts w:ascii="Book Antiqua" w:eastAsia="Book Antiqua" w:hAnsi="Book Antiqua" w:cs="Book Antiqua"/>
          <w:b/>
          <w:color w:val="ED7D31" w:themeColor="accent2"/>
          <w:sz w:val="26"/>
          <w:szCs w:val="26"/>
        </w:rPr>
        <w:t xml:space="preserve">NOTE D’INFORMATION DU HAUT-COMMISSARIAT AU PLAN RELATIVE A LA SITUATION DU MARCHÉ DU TRAVAIL EN </w:t>
      </w:r>
      <w:r w:rsidR="00F26F34" w:rsidRPr="00BD4B64">
        <w:rPr>
          <w:rFonts w:ascii="Book Antiqua" w:eastAsia="Book Antiqua" w:hAnsi="Book Antiqua" w:cs="Book Antiqua"/>
          <w:b/>
          <w:color w:val="ED7D31" w:themeColor="accent2"/>
          <w:sz w:val="26"/>
          <w:szCs w:val="26"/>
        </w:rPr>
        <w:t>2022</w:t>
      </w:r>
    </w:p>
    <w:p w:rsidR="00BB745B" w:rsidRDefault="00C11080" w:rsidP="00C11080">
      <w:pPr>
        <w:shd w:val="clear" w:color="auto" w:fill="FFFFFF"/>
        <w:spacing w:before="240" w:after="240" w:line="288" w:lineRule="auto"/>
        <w:jc w:val="both"/>
        <w:rPr>
          <w:rFonts w:ascii="Book Antiqua" w:hAnsi="Book Antiqua"/>
          <w:b/>
          <w:bCs/>
          <w:color w:val="4472C4"/>
          <w:sz w:val="26"/>
          <w:szCs w:val="26"/>
          <w:shd w:val="clear" w:color="auto" w:fill="FFFFFF"/>
        </w:rPr>
      </w:pPr>
      <w:bookmarkStart w:id="0" w:name="m_-7401311542936427547__Hlk125637456"/>
      <w:bookmarkStart w:id="1" w:name="_Hlk125637456"/>
      <w:r>
        <w:rPr>
          <w:rFonts w:ascii="Book Antiqua" w:hAnsi="Book Antiqua"/>
          <w:b/>
          <w:bCs/>
          <w:color w:val="4472C4"/>
          <w:sz w:val="26"/>
          <w:szCs w:val="26"/>
          <w:shd w:val="clear" w:color="auto" w:fill="FFFFFF"/>
        </w:rPr>
        <w:t>L</w:t>
      </w:r>
      <w:r w:rsidR="00BB745B">
        <w:rPr>
          <w:rFonts w:ascii="Book Antiqua" w:hAnsi="Book Antiqua"/>
          <w:b/>
          <w:bCs/>
          <w:color w:val="4472C4"/>
          <w:sz w:val="26"/>
          <w:szCs w:val="26"/>
          <w:shd w:val="clear" w:color="auto" w:fill="FFFFFF"/>
        </w:rPr>
        <w:t>a situation du marché de</w:t>
      </w:r>
      <w:r w:rsidR="00830E76">
        <w:rPr>
          <w:rFonts w:ascii="Book Antiqua" w:hAnsi="Book Antiqua"/>
          <w:b/>
          <w:bCs/>
          <w:color w:val="4472C4"/>
          <w:sz w:val="26"/>
          <w:szCs w:val="26"/>
          <w:shd w:val="clear" w:color="auto" w:fill="FFFFFF"/>
        </w:rPr>
        <w:t xml:space="preserve"> travail</w:t>
      </w:r>
      <w:r>
        <w:rPr>
          <w:rFonts w:ascii="Book Antiqua" w:hAnsi="Book Antiqua"/>
          <w:b/>
          <w:bCs/>
          <w:color w:val="4472C4"/>
          <w:sz w:val="26"/>
          <w:szCs w:val="26"/>
          <w:shd w:val="clear" w:color="auto" w:fill="FFFFFF"/>
        </w:rPr>
        <w:t xml:space="preserve"> en 2022 </w:t>
      </w:r>
      <w:r w:rsidR="00830E76">
        <w:rPr>
          <w:rFonts w:ascii="Book Antiqua" w:hAnsi="Book Antiqua"/>
          <w:b/>
          <w:bCs/>
          <w:color w:val="4472C4"/>
          <w:sz w:val="26"/>
          <w:szCs w:val="26"/>
          <w:shd w:val="clear" w:color="auto" w:fill="FFFFFF"/>
        </w:rPr>
        <w:t xml:space="preserve">a connu une </w:t>
      </w:r>
      <w:r>
        <w:rPr>
          <w:rFonts w:ascii="Book Antiqua" w:hAnsi="Book Antiqua"/>
          <w:b/>
          <w:bCs/>
          <w:color w:val="4472C4"/>
          <w:sz w:val="26"/>
          <w:szCs w:val="26"/>
          <w:shd w:val="clear" w:color="auto" w:fill="FFFFFF"/>
        </w:rPr>
        <w:t xml:space="preserve">relative </w:t>
      </w:r>
      <w:r w:rsidR="00830E76">
        <w:rPr>
          <w:rFonts w:ascii="Book Antiqua" w:hAnsi="Book Antiqua"/>
          <w:b/>
          <w:bCs/>
          <w:color w:val="4472C4"/>
          <w:sz w:val="26"/>
          <w:szCs w:val="26"/>
          <w:shd w:val="clear" w:color="auto" w:fill="FFFFFF"/>
        </w:rPr>
        <w:t>amélioration en milieu urbain et</w:t>
      </w:r>
      <w:r>
        <w:rPr>
          <w:rFonts w:ascii="Book Antiqua" w:hAnsi="Book Antiqua"/>
          <w:b/>
          <w:bCs/>
          <w:color w:val="4472C4"/>
          <w:sz w:val="26"/>
          <w:szCs w:val="26"/>
          <w:shd w:val="clear" w:color="auto" w:fill="FFFFFF"/>
        </w:rPr>
        <w:t xml:space="preserve"> demeure </w:t>
      </w:r>
      <w:r w:rsidR="00830E76">
        <w:rPr>
          <w:rFonts w:ascii="Book Antiqua" w:hAnsi="Book Antiqua"/>
          <w:b/>
          <w:bCs/>
          <w:color w:val="4472C4"/>
          <w:sz w:val="26"/>
          <w:szCs w:val="26"/>
          <w:shd w:val="clear" w:color="auto" w:fill="FFFFFF"/>
        </w:rPr>
        <w:t xml:space="preserve">impactée par les effets de la sécheresse en milieu rural. </w:t>
      </w:r>
    </w:p>
    <w:p w:rsidR="00DD5608" w:rsidRDefault="00C11080" w:rsidP="00082582">
      <w:pPr>
        <w:shd w:val="clear" w:color="auto" w:fill="FFFFFF"/>
        <w:spacing w:before="240" w:after="240" w:line="288" w:lineRule="auto"/>
        <w:jc w:val="both"/>
        <w:rPr>
          <w:rFonts w:ascii="Book Antiqua" w:eastAsia="Times New Roman" w:hAnsi="Book Antiqua"/>
          <w:b/>
          <w:bCs/>
          <w:color w:val="4472C4"/>
          <w:sz w:val="26"/>
          <w:szCs w:val="26"/>
        </w:rPr>
      </w:pPr>
      <w:r>
        <w:rPr>
          <w:rFonts w:ascii="Book Antiqua" w:hAnsi="Book Antiqua"/>
          <w:b/>
          <w:bCs/>
          <w:color w:val="4472C4"/>
          <w:sz w:val="26"/>
          <w:szCs w:val="26"/>
          <w:shd w:val="clear" w:color="auto" w:fill="FFFFFF"/>
        </w:rPr>
        <w:t>Avec une création de 150.000 postes d’emploi en milieu urbain et une perte de</w:t>
      </w:r>
      <w:r>
        <w:rPr>
          <w:rFonts w:hint="cs"/>
          <w:b/>
          <w:bCs/>
          <w:color w:val="4472C4"/>
          <w:sz w:val="26"/>
          <w:szCs w:val="26"/>
          <w:shd w:val="clear" w:color="auto" w:fill="FFFFFF"/>
          <w:rtl/>
        </w:rPr>
        <w:t> </w:t>
      </w:r>
      <w:r>
        <w:rPr>
          <w:rFonts w:ascii="Book Antiqua" w:hAnsi="Book Antiqua"/>
          <w:b/>
          <w:bCs/>
          <w:color w:val="4472C4"/>
          <w:sz w:val="26"/>
          <w:szCs w:val="26"/>
          <w:shd w:val="clear" w:color="auto" w:fill="FFFFFF"/>
        </w:rPr>
        <w:t>174.000 en milieu rural, l</w:t>
      </w:r>
      <w:r w:rsidR="00830E76">
        <w:rPr>
          <w:rFonts w:ascii="Book Antiqua" w:hAnsi="Book Antiqua"/>
          <w:b/>
          <w:bCs/>
          <w:color w:val="4472C4"/>
          <w:sz w:val="26"/>
          <w:szCs w:val="26"/>
          <w:shd w:val="clear" w:color="auto" w:fill="FFFFFF"/>
        </w:rPr>
        <w:t xml:space="preserve">’économie nationale </w:t>
      </w:r>
      <w:bookmarkEnd w:id="0"/>
      <w:r>
        <w:rPr>
          <w:rFonts w:ascii="Book Antiqua" w:hAnsi="Book Antiqua"/>
          <w:b/>
          <w:bCs/>
          <w:color w:val="4472C4"/>
          <w:sz w:val="26"/>
          <w:szCs w:val="26"/>
          <w:shd w:val="clear" w:color="auto" w:fill="FFFFFF"/>
        </w:rPr>
        <w:t xml:space="preserve">a ainsi perdu au total, </w:t>
      </w:r>
      <w:r w:rsidR="00830E76">
        <w:rPr>
          <w:rFonts w:ascii="Book Antiqua" w:hAnsi="Book Antiqua"/>
          <w:b/>
          <w:bCs/>
          <w:color w:val="4472C4"/>
          <w:sz w:val="26"/>
          <w:szCs w:val="26"/>
          <w:shd w:val="clear" w:color="auto" w:fill="FFFFFF"/>
        </w:rPr>
        <w:t>entre 2021</w:t>
      </w:r>
      <w:r w:rsidR="00082582">
        <w:rPr>
          <w:rFonts w:ascii="Book Antiqua" w:hAnsi="Book Antiqua"/>
          <w:b/>
          <w:bCs/>
          <w:color w:val="4472C4"/>
          <w:sz w:val="26"/>
          <w:szCs w:val="26"/>
          <w:shd w:val="clear" w:color="auto" w:fill="FFFFFF"/>
        </w:rPr>
        <w:t xml:space="preserve"> </w:t>
      </w:r>
      <w:r w:rsidR="00830E76">
        <w:rPr>
          <w:rFonts w:ascii="Book Antiqua" w:hAnsi="Book Antiqua"/>
          <w:b/>
          <w:bCs/>
          <w:color w:val="4472C4"/>
          <w:sz w:val="26"/>
          <w:szCs w:val="26"/>
          <w:shd w:val="clear" w:color="auto" w:fill="FFFFFF"/>
        </w:rPr>
        <w:t>et 2022,</w:t>
      </w:r>
      <w:r w:rsidR="00830E76">
        <w:rPr>
          <w:b/>
          <w:bCs/>
          <w:color w:val="4472C4"/>
          <w:sz w:val="26"/>
          <w:szCs w:val="26"/>
          <w:shd w:val="clear" w:color="auto" w:fill="FFFFFF"/>
          <w:rtl/>
        </w:rPr>
        <w:t> </w:t>
      </w:r>
      <w:r>
        <w:rPr>
          <w:rFonts w:ascii="Book Antiqua" w:hAnsi="Book Antiqua"/>
          <w:b/>
          <w:bCs/>
          <w:color w:val="4472C4"/>
          <w:sz w:val="26"/>
          <w:szCs w:val="26"/>
          <w:shd w:val="clear" w:color="auto" w:fill="FFFFFF"/>
        </w:rPr>
        <w:t>24.000 postes d’emploi</w:t>
      </w:r>
      <w:r w:rsidR="00830E76">
        <w:rPr>
          <w:rFonts w:ascii="Book Antiqua" w:hAnsi="Book Antiqua"/>
          <w:b/>
          <w:bCs/>
          <w:color w:val="4472C4"/>
          <w:sz w:val="26"/>
          <w:szCs w:val="26"/>
          <w:shd w:val="clear" w:color="auto" w:fill="FFFFFF"/>
        </w:rPr>
        <w:t xml:space="preserve">, </w:t>
      </w:r>
      <w:r>
        <w:rPr>
          <w:rFonts w:ascii="Book Antiqua" w:hAnsi="Book Antiqua"/>
          <w:b/>
          <w:bCs/>
          <w:color w:val="4472C4"/>
          <w:sz w:val="26"/>
          <w:szCs w:val="26"/>
          <w:shd w:val="clear" w:color="auto" w:fill="FFFFFF"/>
        </w:rPr>
        <w:t>après avoir perdu 432.000 dans les conditions de la pandémie de Covid en 2020</w:t>
      </w:r>
      <w:r w:rsidR="00082582">
        <w:rPr>
          <w:rFonts w:ascii="Book Antiqua" w:hAnsi="Book Antiqua"/>
          <w:b/>
          <w:bCs/>
          <w:color w:val="4472C4"/>
          <w:sz w:val="26"/>
          <w:szCs w:val="26"/>
          <w:shd w:val="clear" w:color="auto" w:fill="FFFFFF"/>
        </w:rPr>
        <w:t xml:space="preserve"> </w:t>
      </w:r>
      <w:r>
        <w:rPr>
          <w:rFonts w:ascii="Book Antiqua" w:hAnsi="Book Antiqua"/>
          <w:b/>
          <w:bCs/>
          <w:color w:val="4472C4"/>
          <w:sz w:val="26"/>
          <w:szCs w:val="26"/>
          <w:shd w:val="clear" w:color="auto" w:fill="FFFFFF"/>
        </w:rPr>
        <w:t>et créé</w:t>
      </w:r>
      <w:r w:rsidR="00830E76">
        <w:rPr>
          <w:rFonts w:ascii="Book Antiqua" w:hAnsi="Book Antiqua"/>
          <w:b/>
          <w:bCs/>
          <w:color w:val="4472C4"/>
          <w:sz w:val="26"/>
          <w:szCs w:val="26"/>
          <w:shd w:val="clear" w:color="auto" w:fill="FFFFFF"/>
        </w:rPr>
        <w:t xml:space="preserve"> 230.000 postes en 2021</w:t>
      </w:r>
      <w:r>
        <w:rPr>
          <w:rFonts w:ascii="Book Antiqua" w:hAnsi="Book Antiqua"/>
          <w:b/>
          <w:bCs/>
          <w:color w:val="4472C4"/>
          <w:sz w:val="26"/>
          <w:szCs w:val="26"/>
          <w:shd w:val="clear" w:color="auto" w:fill="FFFFFF"/>
        </w:rPr>
        <w:t xml:space="preserve">. </w:t>
      </w:r>
    </w:p>
    <w:bookmarkEnd w:id="1"/>
    <w:p w:rsidR="006B43CB" w:rsidRDefault="000D15FF" w:rsidP="00842E5A">
      <w:pPr>
        <w:autoSpaceDE w:val="0"/>
        <w:autoSpaceDN w:val="0"/>
        <w:adjustRightInd w:val="0"/>
        <w:spacing w:before="120" w:after="120" w:line="288" w:lineRule="auto"/>
        <w:jc w:val="both"/>
        <w:rPr>
          <w:rFonts w:ascii="Book Antiqua" w:eastAsia="Times New Roman" w:hAnsi="Book Antiqua"/>
          <w:b/>
          <w:bCs/>
          <w:color w:val="4472C4"/>
          <w:sz w:val="26"/>
          <w:szCs w:val="26"/>
        </w:rPr>
      </w:pPr>
      <w:r w:rsidRPr="007147C6">
        <w:rPr>
          <w:rFonts w:ascii="Book Antiqua" w:eastAsia="Times New Roman" w:hAnsi="Book Antiqua"/>
          <w:b/>
          <w:bCs/>
          <w:color w:val="4472C4"/>
          <w:sz w:val="26"/>
          <w:szCs w:val="26"/>
        </w:rPr>
        <w:t xml:space="preserve">Le </w:t>
      </w:r>
      <w:r w:rsidR="009107AD" w:rsidRPr="007147C6">
        <w:rPr>
          <w:rFonts w:ascii="Book Antiqua" w:eastAsia="Times New Roman" w:hAnsi="Book Antiqua"/>
          <w:b/>
          <w:bCs/>
          <w:color w:val="4472C4"/>
          <w:sz w:val="26"/>
          <w:szCs w:val="26"/>
        </w:rPr>
        <w:t>secteur des</w:t>
      </w:r>
      <w:r w:rsidRPr="007147C6">
        <w:rPr>
          <w:rFonts w:ascii="Book Antiqua" w:eastAsia="Times New Roman" w:hAnsi="Book Antiqua"/>
          <w:b/>
          <w:bCs/>
          <w:color w:val="4472C4"/>
          <w:sz w:val="26"/>
          <w:szCs w:val="26"/>
        </w:rPr>
        <w:t xml:space="preserve"> services a </w:t>
      </w:r>
      <w:r w:rsidR="00C11080">
        <w:rPr>
          <w:rFonts w:ascii="Book Antiqua" w:eastAsia="Times New Roman" w:hAnsi="Book Antiqua"/>
          <w:b/>
          <w:bCs/>
          <w:color w:val="4472C4"/>
          <w:sz w:val="26"/>
          <w:szCs w:val="26"/>
        </w:rPr>
        <w:t>contribué à</w:t>
      </w:r>
      <w:r w:rsidRPr="007147C6">
        <w:rPr>
          <w:rFonts w:ascii="Book Antiqua" w:eastAsia="Times New Roman" w:hAnsi="Book Antiqua"/>
          <w:b/>
          <w:bCs/>
          <w:color w:val="4472C4"/>
          <w:sz w:val="26"/>
          <w:szCs w:val="26"/>
        </w:rPr>
        <w:t xml:space="preserve"> </w:t>
      </w:r>
      <w:r w:rsidR="002B5B52">
        <w:rPr>
          <w:rFonts w:ascii="Book Antiqua" w:eastAsia="Times New Roman" w:hAnsi="Book Antiqua"/>
          <w:b/>
          <w:bCs/>
          <w:color w:val="4472C4"/>
          <w:sz w:val="26"/>
          <w:szCs w:val="26"/>
        </w:rPr>
        <w:t xml:space="preserve">la création de </w:t>
      </w:r>
      <w:r w:rsidR="002F4D68" w:rsidRPr="007147C6">
        <w:rPr>
          <w:rFonts w:ascii="Book Antiqua" w:eastAsia="Times New Roman" w:hAnsi="Book Antiqua"/>
          <w:b/>
          <w:bCs/>
          <w:color w:val="4472C4"/>
          <w:sz w:val="26"/>
          <w:szCs w:val="26"/>
        </w:rPr>
        <w:t>1</w:t>
      </w:r>
      <w:r w:rsidR="00835A1D" w:rsidRPr="007147C6">
        <w:rPr>
          <w:rFonts w:ascii="Book Antiqua" w:eastAsia="Times New Roman" w:hAnsi="Book Antiqua"/>
          <w:b/>
          <w:bCs/>
          <w:color w:val="4472C4"/>
          <w:sz w:val="26"/>
          <w:szCs w:val="26"/>
        </w:rPr>
        <w:t>64</w:t>
      </w:r>
      <w:r w:rsidRPr="007147C6">
        <w:rPr>
          <w:rFonts w:ascii="Book Antiqua" w:eastAsia="Times New Roman" w:hAnsi="Book Antiqua"/>
          <w:b/>
          <w:bCs/>
          <w:color w:val="4472C4"/>
          <w:sz w:val="26"/>
          <w:szCs w:val="26"/>
        </w:rPr>
        <w:t xml:space="preserve">.000 </w:t>
      </w:r>
      <w:r w:rsidRPr="00BF1812">
        <w:rPr>
          <w:rFonts w:ascii="Book Antiqua" w:eastAsia="Times New Roman" w:hAnsi="Book Antiqua"/>
          <w:b/>
          <w:bCs/>
          <w:color w:val="4472C4"/>
          <w:sz w:val="26"/>
          <w:szCs w:val="26"/>
        </w:rPr>
        <w:t>postes</w:t>
      </w:r>
      <w:r w:rsidR="00AF24B1">
        <w:rPr>
          <w:rFonts w:ascii="Book Antiqua" w:eastAsia="Times New Roman" w:hAnsi="Book Antiqua"/>
          <w:b/>
          <w:bCs/>
          <w:color w:val="4472C4"/>
          <w:sz w:val="26"/>
          <w:szCs w:val="26"/>
        </w:rPr>
        <w:t xml:space="preserve"> d’emploi</w:t>
      </w:r>
      <w:r w:rsidRPr="00BF1812">
        <w:rPr>
          <w:rFonts w:ascii="Book Antiqua" w:eastAsia="Times New Roman" w:hAnsi="Book Antiqua"/>
          <w:b/>
          <w:bCs/>
          <w:color w:val="4472C4"/>
          <w:sz w:val="26"/>
          <w:szCs w:val="26"/>
        </w:rPr>
        <w:t xml:space="preserve">, </w:t>
      </w:r>
      <w:r w:rsidR="00AF24B1">
        <w:rPr>
          <w:rFonts w:ascii="Book Antiqua" w:eastAsia="Times New Roman" w:hAnsi="Book Antiqua"/>
          <w:b/>
          <w:bCs/>
          <w:color w:val="4472C4"/>
          <w:sz w:val="26"/>
          <w:szCs w:val="26"/>
        </w:rPr>
        <w:t xml:space="preserve">celui de </w:t>
      </w:r>
      <w:r w:rsidR="007241D8" w:rsidRPr="00442023">
        <w:rPr>
          <w:rFonts w:ascii="Book Antiqua" w:eastAsia="Times New Roman" w:hAnsi="Book Antiqua"/>
          <w:b/>
          <w:bCs/>
          <w:color w:val="4472C4"/>
          <w:sz w:val="26"/>
          <w:szCs w:val="26"/>
        </w:rPr>
        <w:t>l’"industrie</w:t>
      </w:r>
      <w:r w:rsidR="002B5B52">
        <w:rPr>
          <w:rFonts w:ascii="Book Antiqua" w:eastAsia="Times New Roman" w:hAnsi="Book Antiqua"/>
          <w:b/>
          <w:bCs/>
          <w:color w:val="4472C4"/>
          <w:sz w:val="26"/>
          <w:szCs w:val="26"/>
        </w:rPr>
        <w:t xml:space="preserve"> </w:t>
      </w:r>
      <w:r w:rsidR="00225147" w:rsidRPr="009D6CEE">
        <w:rPr>
          <w:rFonts w:ascii="Book Antiqua" w:eastAsia="Times New Roman" w:hAnsi="Book Antiqua"/>
          <w:b/>
          <w:bCs/>
          <w:color w:val="4472C4"/>
          <w:sz w:val="26"/>
          <w:szCs w:val="26"/>
        </w:rPr>
        <w:t>y compris l’artisanat</w:t>
      </w:r>
      <w:r w:rsidR="00835A1D" w:rsidRPr="00442023">
        <w:rPr>
          <w:rFonts w:ascii="Book Antiqua" w:eastAsia="Times New Roman" w:hAnsi="Book Antiqua"/>
          <w:b/>
          <w:bCs/>
          <w:color w:val="4472C4"/>
          <w:sz w:val="26"/>
          <w:szCs w:val="26"/>
        </w:rPr>
        <w:t>"</w:t>
      </w:r>
      <w:r w:rsidR="00842E5A">
        <w:rPr>
          <w:rFonts w:ascii="Book Antiqua" w:eastAsia="Times New Roman" w:hAnsi="Book Antiqua"/>
          <w:b/>
          <w:bCs/>
          <w:color w:val="4472C4"/>
          <w:sz w:val="26"/>
          <w:szCs w:val="26"/>
        </w:rPr>
        <w:t xml:space="preserve"> </w:t>
      </w:r>
      <w:r w:rsidR="00835A1D" w:rsidRPr="00442023">
        <w:rPr>
          <w:rFonts w:ascii="Book Antiqua" w:eastAsia="Times New Roman" w:hAnsi="Book Antiqua"/>
          <w:b/>
          <w:bCs/>
          <w:color w:val="4472C4"/>
          <w:sz w:val="26"/>
          <w:szCs w:val="26"/>
        </w:rPr>
        <w:t>28</w:t>
      </w:r>
      <w:r w:rsidR="00835A1D" w:rsidRPr="007147C6">
        <w:rPr>
          <w:rFonts w:ascii="Book Antiqua" w:eastAsia="Times New Roman" w:hAnsi="Book Antiqua"/>
          <w:b/>
          <w:bCs/>
          <w:color w:val="4472C4"/>
          <w:sz w:val="26"/>
          <w:szCs w:val="26"/>
        </w:rPr>
        <w:t>.000</w:t>
      </w:r>
      <w:r w:rsidR="00842E5A">
        <w:rPr>
          <w:rFonts w:ascii="Book Antiqua" w:eastAsia="Times New Roman" w:hAnsi="Book Antiqua"/>
          <w:b/>
          <w:bCs/>
          <w:color w:val="4472C4"/>
          <w:sz w:val="26"/>
          <w:szCs w:val="26"/>
        </w:rPr>
        <w:t xml:space="preserve"> </w:t>
      </w:r>
      <w:r w:rsidR="00AF24B1">
        <w:rPr>
          <w:rFonts w:ascii="Book Antiqua" w:eastAsia="Times New Roman" w:hAnsi="Book Antiqua"/>
          <w:b/>
          <w:bCs/>
          <w:color w:val="4472C4"/>
          <w:sz w:val="26"/>
          <w:szCs w:val="26"/>
        </w:rPr>
        <w:t>postes</w:t>
      </w:r>
      <w:r w:rsidR="00835A1D" w:rsidRPr="007147C6">
        <w:rPr>
          <w:rFonts w:ascii="Book Antiqua" w:eastAsia="Times New Roman" w:hAnsi="Book Antiqua"/>
          <w:b/>
          <w:bCs/>
          <w:color w:val="4472C4"/>
          <w:sz w:val="26"/>
          <w:szCs w:val="26"/>
        </w:rPr>
        <w:t>,</w:t>
      </w:r>
      <w:r w:rsidR="00842E5A">
        <w:rPr>
          <w:rFonts w:ascii="Book Antiqua" w:eastAsia="Times New Roman" w:hAnsi="Book Antiqua"/>
          <w:b/>
          <w:bCs/>
          <w:color w:val="4472C4"/>
          <w:sz w:val="26"/>
          <w:szCs w:val="26"/>
        </w:rPr>
        <w:t xml:space="preserve"> </w:t>
      </w:r>
      <w:r w:rsidR="00835A1D" w:rsidRPr="007147C6">
        <w:rPr>
          <w:rFonts w:ascii="Book Antiqua" w:eastAsia="Times New Roman" w:hAnsi="Book Antiqua"/>
          <w:b/>
          <w:bCs/>
          <w:color w:val="4472C4"/>
          <w:sz w:val="26"/>
          <w:szCs w:val="26"/>
        </w:rPr>
        <w:t>alors</w:t>
      </w:r>
      <w:r w:rsidR="00842E5A">
        <w:rPr>
          <w:rFonts w:ascii="Book Antiqua" w:eastAsia="Times New Roman" w:hAnsi="Book Antiqua"/>
          <w:b/>
          <w:bCs/>
          <w:color w:val="4472C4"/>
          <w:sz w:val="26"/>
          <w:szCs w:val="26"/>
        </w:rPr>
        <w:t xml:space="preserve"> </w:t>
      </w:r>
      <w:r w:rsidR="00835A1D" w:rsidRPr="007147C6">
        <w:rPr>
          <w:rFonts w:ascii="Book Antiqua" w:eastAsia="Times New Roman" w:hAnsi="Book Antiqua"/>
          <w:b/>
          <w:bCs/>
          <w:color w:val="4472C4"/>
          <w:sz w:val="26"/>
          <w:szCs w:val="26"/>
        </w:rPr>
        <w:t>que</w:t>
      </w:r>
      <w:r w:rsidR="002F4D68" w:rsidRPr="007147C6">
        <w:rPr>
          <w:rFonts w:ascii="Book Antiqua" w:eastAsia="Times New Roman" w:hAnsi="Book Antiqua"/>
          <w:b/>
          <w:bCs/>
          <w:color w:val="4472C4"/>
          <w:sz w:val="26"/>
          <w:szCs w:val="26"/>
        </w:rPr>
        <w:t xml:space="preserve"> l’"agriculture, forêt et pêche" </w:t>
      </w:r>
      <w:r w:rsidR="00835A1D" w:rsidRPr="007147C6">
        <w:rPr>
          <w:rFonts w:ascii="Book Antiqua" w:eastAsia="Times New Roman" w:hAnsi="Book Antiqua"/>
          <w:b/>
          <w:bCs/>
          <w:color w:val="4472C4"/>
          <w:sz w:val="26"/>
          <w:szCs w:val="26"/>
        </w:rPr>
        <w:t xml:space="preserve">a </w:t>
      </w:r>
      <w:r w:rsidR="00C11080">
        <w:rPr>
          <w:rFonts w:ascii="Book Antiqua" w:eastAsia="Times New Roman" w:hAnsi="Book Antiqua"/>
          <w:b/>
          <w:bCs/>
          <w:color w:val="4472C4"/>
          <w:sz w:val="26"/>
          <w:szCs w:val="26"/>
        </w:rPr>
        <w:t>détruit</w:t>
      </w:r>
      <w:r w:rsidR="00835A1D" w:rsidRPr="007147C6">
        <w:rPr>
          <w:rFonts w:ascii="Book Antiqua" w:eastAsia="Times New Roman" w:hAnsi="Book Antiqua"/>
          <w:b/>
          <w:bCs/>
          <w:color w:val="4472C4"/>
          <w:sz w:val="26"/>
          <w:szCs w:val="26"/>
        </w:rPr>
        <w:t xml:space="preserve"> 215</w:t>
      </w:r>
      <w:r w:rsidR="002F4D68" w:rsidRPr="007147C6">
        <w:rPr>
          <w:rFonts w:ascii="Book Antiqua" w:eastAsia="Times New Roman" w:hAnsi="Book Antiqua"/>
          <w:b/>
          <w:bCs/>
          <w:color w:val="4472C4"/>
          <w:sz w:val="26"/>
          <w:szCs w:val="26"/>
        </w:rPr>
        <w:t>.000</w:t>
      </w:r>
      <w:r w:rsidR="00C11080">
        <w:rPr>
          <w:rFonts w:ascii="Book Antiqua" w:eastAsia="Times New Roman" w:hAnsi="Book Antiqua"/>
          <w:b/>
          <w:bCs/>
          <w:color w:val="4472C4"/>
          <w:sz w:val="26"/>
          <w:szCs w:val="26"/>
        </w:rPr>
        <w:t xml:space="preserve"> </w:t>
      </w:r>
      <w:r w:rsidR="00960906" w:rsidRPr="007147C6">
        <w:rPr>
          <w:rFonts w:ascii="Book Antiqua" w:eastAsia="Times New Roman" w:hAnsi="Book Antiqua"/>
          <w:b/>
          <w:bCs/>
          <w:color w:val="4472C4"/>
          <w:sz w:val="26"/>
          <w:szCs w:val="26"/>
        </w:rPr>
        <w:t xml:space="preserve">et </w:t>
      </w:r>
      <w:r w:rsidR="00835A1D" w:rsidRPr="007147C6">
        <w:rPr>
          <w:rFonts w:ascii="Book Antiqua" w:eastAsia="Times New Roman" w:hAnsi="Book Antiqua"/>
          <w:b/>
          <w:bCs/>
          <w:color w:val="4472C4"/>
          <w:sz w:val="26"/>
          <w:szCs w:val="26"/>
        </w:rPr>
        <w:t>les BTP</w:t>
      </w:r>
      <w:r w:rsidR="00C11080">
        <w:rPr>
          <w:rFonts w:ascii="Book Antiqua" w:eastAsia="Times New Roman" w:hAnsi="Book Antiqua"/>
          <w:b/>
          <w:bCs/>
          <w:color w:val="4472C4"/>
          <w:sz w:val="26"/>
          <w:szCs w:val="26"/>
        </w:rPr>
        <w:t xml:space="preserve"> </w:t>
      </w:r>
      <w:r w:rsidR="00835A1D" w:rsidRPr="007147C6">
        <w:rPr>
          <w:rFonts w:ascii="Book Antiqua" w:eastAsia="Times New Roman" w:hAnsi="Book Antiqua"/>
          <w:b/>
          <w:bCs/>
          <w:color w:val="4472C4"/>
          <w:sz w:val="26"/>
          <w:szCs w:val="26"/>
        </w:rPr>
        <w:t>1.000</w:t>
      </w:r>
      <w:r w:rsidR="009107AD" w:rsidRPr="007147C6">
        <w:rPr>
          <w:rFonts w:ascii="Book Antiqua" w:eastAsia="Times New Roman" w:hAnsi="Book Antiqua"/>
          <w:b/>
          <w:bCs/>
          <w:color w:val="4472C4"/>
          <w:sz w:val="26"/>
          <w:szCs w:val="26"/>
        </w:rPr>
        <w:t>.</w:t>
      </w:r>
    </w:p>
    <w:p w:rsidR="00AC2D21" w:rsidRDefault="001B5767" w:rsidP="00C11080">
      <w:pPr>
        <w:autoSpaceDE w:val="0"/>
        <w:autoSpaceDN w:val="0"/>
        <w:adjustRightInd w:val="0"/>
        <w:spacing w:before="120" w:after="120" w:line="288" w:lineRule="auto"/>
        <w:jc w:val="both"/>
        <w:rPr>
          <w:rFonts w:ascii="Book Antiqua" w:eastAsia="Times New Roman" w:hAnsi="Book Antiqua"/>
          <w:b/>
          <w:bCs/>
          <w:color w:val="4472C4"/>
          <w:sz w:val="26"/>
          <w:szCs w:val="26"/>
        </w:rPr>
      </w:pPr>
      <w:r w:rsidRPr="007147C6">
        <w:rPr>
          <w:rFonts w:ascii="Book Antiqua" w:eastAsia="Times New Roman" w:hAnsi="Book Antiqua"/>
          <w:b/>
          <w:bCs/>
          <w:color w:val="4472C4"/>
          <w:sz w:val="26"/>
          <w:szCs w:val="26"/>
        </w:rPr>
        <w:t>Dans ce contexte, l</w:t>
      </w:r>
      <w:r w:rsidR="008503D4" w:rsidRPr="007147C6">
        <w:rPr>
          <w:rFonts w:ascii="Book Antiqua" w:eastAsia="Times New Roman" w:hAnsi="Book Antiqua"/>
          <w:b/>
          <w:bCs/>
          <w:color w:val="4472C4"/>
          <w:sz w:val="26"/>
          <w:szCs w:val="26"/>
        </w:rPr>
        <w:t xml:space="preserve">e nombre total de chômeurs a reculé de 66.000 </w:t>
      </w:r>
      <w:r w:rsidR="00F40FAF" w:rsidRPr="007147C6">
        <w:rPr>
          <w:rFonts w:ascii="Book Antiqua" w:eastAsia="Times New Roman" w:hAnsi="Book Antiqua"/>
          <w:b/>
          <w:bCs/>
          <w:color w:val="4472C4"/>
          <w:sz w:val="26"/>
          <w:szCs w:val="26"/>
        </w:rPr>
        <w:t xml:space="preserve">personnes au niveau national, </w:t>
      </w:r>
      <w:r w:rsidR="00AF24B1">
        <w:rPr>
          <w:rFonts w:ascii="Book Antiqua" w:eastAsia="Times New Roman" w:hAnsi="Book Antiqua"/>
          <w:b/>
          <w:bCs/>
          <w:color w:val="4472C4"/>
          <w:sz w:val="26"/>
          <w:szCs w:val="26"/>
        </w:rPr>
        <w:t>s’établissant à</w:t>
      </w:r>
      <w:r w:rsidR="002B0766">
        <w:rPr>
          <w:rFonts w:ascii="Book Antiqua" w:eastAsia="Times New Roman" w:hAnsi="Book Antiqua"/>
          <w:b/>
          <w:bCs/>
          <w:color w:val="4472C4"/>
          <w:sz w:val="26"/>
          <w:szCs w:val="26"/>
        </w:rPr>
        <w:t xml:space="preserve"> </w:t>
      </w:r>
      <w:r w:rsidR="008503D4" w:rsidRPr="007147C6">
        <w:rPr>
          <w:rFonts w:ascii="Book Antiqua" w:eastAsia="Times New Roman" w:hAnsi="Book Antiqua"/>
          <w:b/>
          <w:bCs/>
          <w:color w:val="4472C4"/>
          <w:sz w:val="26"/>
          <w:szCs w:val="26"/>
        </w:rPr>
        <w:t>1.442.000 chômeurs</w:t>
      </w:r>
      <w:r w:rsidR="00C11080">
        <w:rPr>
          <w:rFonts w:ascii="Book Antiqua" w:eastAsia="Times New Roman" w:hAnsi="Book Antiqua"/>
          <w:b/>
          <w:bCs/>
          <w:color w:val="4472C4"/>
          <w:sz w:val="26"/>
          <w:szCs w:val="26"/>
        </w:rPr>
        <w:t xml:space="preserve">, résultat </w:t>
      </w:r>
      <w:r w:rsidR="00AC2D21" w:rsidRPr="007147C6">
        <w:rPr>
          <w:rFonts w:ascii="Book Antiqua" w:eastAsia="Times New Roman" w:hAnsi="Book Antiqua"/>
          <w:b/>
          <w:bCs/>
          <w:color w:val="4472C4"/>
          <w:sz w:val="26"/>
          <w:szCs w:val="26"/>
        </w:rPr>
        <w:t xml:space="preserve">d’une </w:t>
      </w:r>
      <w:r w:rsidR="00F40FAF" w:rsidRPr="007147C6">
        <w:rPr>
          <w:rFonts w:ascii="Book Antiqua" w:eastAsia="Times New Roman" w:hAnsi="Book Antiqua"/>
          <w:b/>
          <w:bCs/>
          <w:color w:val="4472C4"/>
          <w:sz w:val="26"/>
          <w:szCs w:val="26"/>
        </w:rPr>
        <w:t>baisse</w:t>
      </w:r>
      <w:r w:rsidR="00AC2D21" w:rsidRPr="007147C6">
        <w:rPr>
          <w:rFonts w:ascii="Book Antiqua" w:eastAsia="Times New Roman" w:hAnsi="Book Antiqua"/>
          <w:b/>
          <w:bCs/>
          <w:color w:val="4472C4"/>
          <w:sz w:val="26"/>
          <w:szCs w:val="26"/>
        </w:rPr>
        <w:t xml:space="preserve"> de </w:t>
      </w:r>
      <w:r w:rsidR="008503D4" w:rsidRPr="007147C6">
        <w:rPr>
          <w:rFonts w:ascii="Book Antiqua" w:eastAsia="Times New Roman" w:hAnsi="Book Antiqua"/>
          <w:b/>
          <w:bCs/>
          <w:color w:val="4472C4"/>
          <w:sz w:val="26"/>
          <w:szCs w:val="26"/>
        </w:rPr>
        <w:t>70</w:t>
      </w:r>
      <w:r w:rsidR="00AC2D21" w:rsidRPr="007147C6">
        <w:rPr>
          <w:rFonts w:ascii="Book Antiqua" w:eastAsia="Times New Roman" w:hAnsi="Book Antiqua"/>
          <w:b/>
          <w:bCs/>
          <w:color w:val="4472C4"/>
          <w:sz w:val="26"/>
          <w:szCs w:val="26"/>
        </w:rPr>
        <w:t xml:space="preserve">.000 chômeurs en milieu </w:t>
      </w:r>
      <w:r w:rsidR="008503D4" w:rsidRPr="007147C6">
        <w:rPr>
          <w:rFonts w:ascii="Book Antiqua" w:eastAsia="Times New Roman" w:hAnsi="Book Antiqua"/>
          <w:b/>
          <w:bCs/>
          <w:color w:val="4472C4"/>
          <w:sz w:val="26"/>
          <w:szCs w:val="26"/>
        </w:rPr>
        <w:t xml:space="preserve">urbain </w:t>
      </w:r>
      <w:r w:rsidR="00AC2D21" w:rsidRPr="007147C6">
        <w:rPr>
          <w:rFonts w:ascii="Book Antiqua" w:eastAsia="Times New Roman" w:hAnsi="Book Antiqua"/>
          <w:b/>
          <w:bCs/>
          <w:color w:val="4472C4"/>
          <w:sz w:val="26"/>
          <w:szCs w:val="26"/>
        </w:rPr>
        <w:t xml:space="preserve">et d’une </w:t>
      </w:r>
      <w:r w:rsidR="00AF24B1">
        <w:rPr>
          <w:rFonts w:ascii="Book Antiqua" w:eastAsia="Times New Roman" w:hAnsi="Book Antiqua"/>
          <w:b/>
          <w:bCs/>
          <w:color w:val="4472C4"/>
          <w:sz w:val="26"/>
          <w:szCs w:val="26"/>
        </w:rPr>
        <w:t>hausse</w:t>
      </w:r>
      <w:r w:rsidR="00C11080">
        <w:rPr>
          <w:rFonts w:ascii="Book Antiqua" w:eastAsia="Times New Roman" w:hAnsi="Book Antiqua"/>
          <w:b/>
          <w:bCs/>
          <w:color w:val="4472C4"/>
          <w:sz w:val="26"/>
          <w:szCs w:val="26"/>
        </w:rPr>
        <w:t xml:space="preserve"> </w:t>
      </w:r>
      <w:r w:rsidR="00AC2D21" w:rsidRPr="007147C6">
        <w:rPr>
          <w:rFonts w:ascii="Book Antiqua" w:eastAsia="Times New Roman" w:hAnsi="Book Antiqua"/>
          <w:b/>
          <w:bCs/>
          <w:color w:val="4472C4"/>
          <w:sz w:val="26"/>
          <w:szCs w:val="26"/>
        </w:rPr>
        <w:t xml:space="preserve">de </w:t>
      </w:r>
      <w:r w:rsidR="008503D4" w:rsidRPr="007147C6">
        <w:rPr>
          <w:rFonts w:ascii="Book Antiqua" w:eastAsia="Times New Roman" w:hAnsi="Book Antiqua"/>
          <w:b/>
          <w:bCs/>
          <w:color w:val="4472C4"/>
          <w:sz w:val="26"/>
          <w:szCs w:val="26"/>
        </w:rPr>
        <w:t>4</w:t>
      </w:r>
      <w:r w:rsidR="00AC2D21" w:rsidRPr="007147C6">
        <w:rPr>
          <w:rFonts w:ascii="Book Antiqua" w:eastAsia="Times New Roman" w:hAnsi="Book Antiqua"/>
          <w:b/>
          <w:bCs/>
          <w:color w:val="4472C4"/>
          <w:sz w:val="26"/>
          <w:szCs w:val="26"/>
        </w:rPr>
        <w:t>.000 en milieu</w:t>
      </w:r>
      <w:r w:rsidR="008503D4" w:rsidRPr="007147C6">
        <w:rPr>
          <w:rFonts w:ascii="Book Antiqua" w:eastAsia="Times New Roman" w:hAnsi="Book Antiqua"/>
          <w:b/>
          <w:bCs/>
          <w:color w:val="4472C4"/>
          <w:sz w:val="26"/>
          <w:szCs w:val="26"/>
        </w:rPr>
        <w:t xml:space="preserve"> rural.</w:t>
      </w:r>
    </w:p>
    <w:p w:rsidR="003F5612" w:rsidRDefault="006B43CB" w:rsidP="00397253">
      <w:pPr>
        <w:autoSpaceDE w:val="0"/>
        <w:autoSpaceDN w:val="0"/>
        <w:adjustRightInd w:val="0"/>
        <w:spacing w:before="120" w:after="120" w:line="288" w:lineRule="auto"/>
        <w:jc w:val="both"/>
        <w:rPr>
          <w:rFonts w:ascii="Book Antiqua" w:eastAsia="Times New Roman" w:hAnsi="Book Antiqua"/>
          <w:b/>
          <w:bCs/>
          <w:color w:val="4472C4"/>
          <w:sz w:val="26"/>
          <w:szCs w:val="26"/>
        </w:rPr>
      </w:pPr>
      <w:r>
        <w:rPr>
          <w:rFonts w:ascii="Book Antiqua" w:eastAsia="Times New Roman" w:hAnsi="Book Antiqua"/>
          <w:b/>
          <w:bCs/>
          <w:color w:val="4472C4"/>
          <w:sz w:val="26"/>
          <w:szCs w:val="26"/>
        </w:rPr>
        <w:t>L</w:t>
      </w:r>
      <w:r w:rsidR="00AC2D21" w:rsidRPr="007147C6">
        <w:rPr>
          <w:rFonts w:ascii="Book Antiqua" w:eastAsia="Times New Roman" w:hAnsi="Book Antiqua"/>
          <w:b/>
          <w:bCs/>
          <w:color w:val="4472C4"/>
          <w:sz w:val="26"/>
          <w:szCs w:val="26"/>
        </w:rPr>
        <w:t xml:space="preserve">e taux de chômage est ainsi passé de </w:t>
      </w:r>
      <w:r w:rsidR="008503D4" w:rsidRPr="007147C6">
        <w:rPr>
          <w:rFonts w:ascii="Book Antiqua" w:eastAsia="Times New Roman" w:hAnsi="Book Antiqua"/>
          <w:b/>
          <w:bCs/>
          <w:color w:val="4472C4"/>
          <w:sz w:val="26"/>
          <w:szCs w:val="26"/>
        </w:rPr>
        <w:t xml:space="preserve">12,3% à </w:t>
      </w:r>
      <w:r w:rsidR="00AC2D21" w:rsidRPr="007147C6">
        <w:rPr>
          <w:rFonts w:ascii="Book Antiqua" w:eastAsia="Times New Roman" w:hAnsi="Book Antiqua"/>
          <w:b/>
          <w:bCs/>
          <w:color w:val="4472C4"/>
          <w:sz w:val="26"/>
          <w:szCs w:val="26"/>
        </w:rPr>
        <w:t>11,</w:t>
      </w:r>
      <w:r w:rsidR="008503D4" w:rsidRPr="007147C6">
        <w:rPr>
          <w:rFonts w:ascii="Book Antiqua" w:eastAsia="Times New Roman" w:hAnsi="Book Antiqua"/>
          <w:b/>
          <w:bCs/>
          <w:color w:val="4472C4"/>
          <w:sz w:val="26"/>
          <w:szCs w:val="26"/>
        </w:rPr>
        <w:t>8</w:t>
      </w:r>
      <w:r w:rsidR="00AC2D21" w:rsidRPr="007147C6">
        <w:rPr>
          <w:rFonts w:ascii="Book Antiqua" w:eastAsia="Times New Roman" w:hAnsi="Book Antiqua"/>
          <w:b/>
          <w:bCs/>
          <w:color w:val="4472C4"/>
          <w:sz w:val="26"/>
          <w:szCs w:val="26"/>
        </w:rPr>
        <w:t xml:space="preserve">% au niveau national, de </w:t>
      </w:r>
      <w:r w:rsidR="008503D4" w:rsidRPr="007147C6">
        <w:rPr>
          <w:rFonts w:ascii="Book Antiqua" w:eastAsia="Times New Roman" w:hAnsi="Book Antiqua"/>
          <w:b/>
          <w:bCs/>
          <w:color w:val="4472C4"/>
          <w:sz w:val="26"/>
          <w:szCs w:val="26"/>
        </w:rPr>
        <w:t xml:space="preserve">16,9% à </w:t>
      </w:r>
      <w:r w:rsidR="00AC2D21" w:rsidRPr="007147C6">
        <w:rPr>
          <w:rFonts w:ascii="Book Antiqua" w:eastAsia="Times New Roman" w:hAnsi="Book Antiqua"/>
          <w:b/>
          <w:bCs/>
          <w:color w:val="4472C4"/>
          <w:sz w:val="26"/>
          <w:szCs w:val="26"/>
        </w:rPr>
        <w:t>15,8%</w:t>
      </w:r>
      <w:r w:rsidR="002B5B52">
        <w:rPr>
          <w:rFonts w:ascii="Book Antiqua" w:eastAsia="Times New Roman" w:hAnsi="Book Antiqua"/>
          <w:b/>
          <w:bCs/>
          <w:color w:val="4472C4"/>
          <w:sz w:val="26"/>
          <w:szCs w:val="26"/>
        </w:rPr>
        <w:t xml:space="preserve"> </w:t>
      </w:r>
      <w:r w:rsidR="00AC2D21" w:rsidRPr="007147C6">
        <w:rPr>
          <w:rFonts w:ascii="Book Antiqua" w:eastAsia="Times New Roman" w:hAnsi="Book Antiqua"/>
          <w:b/>
          <w:bCs/>
          <w:color w:val="4472C4"/>
          <w:sz w:val="26"/>
          <w:szCs w:val="26"/>
        </w:rPr>
        <w:t xml:space="preserve"> en milieu urbain et de 5% à 5</w:t>
      </w:r>
      <w:r w:rsidR="008503D4" w:rsidRPr="007147C6">
        <w:rPr>
          <w:rFonts w:ascii="Book Antiqua" w:eastAsia="Times New Roman" w:hAnsi="Book Antiqua"/>
          <w:b/>
          <w:bCs/>
          <w:color w:val="4472C4"/>
          <w:sz w:val="26"/>
          <w:szCs w:val="26"/>
        </w:rPr>
        <w:t>,2</w:t>
      </w:r>
      <w:r w:rsidR="00AC2D21" w:rsidRPr="007147C6">
        <w:rPr>
          <w:rFonts w:ascii="Book Antiqua" w:eastAsia="Times New Roman" w:hAnsi="Book Antiqua"/>
          <w:b/>
          <w:bCs/>
          <w:color w:val="4472C4"/>
          <w:sz w:val="26"/>
          <w:szCs w:val="26"/>
        </w:rPr>
        <w:t xml:space="preserve">% en milieu rural. Il </w:t>
      </w:r>
      <w:r w:rsidR="000E2CF0">
        <w:rPr>
          <w:rFonts w:ascii="Book Antiqua" w:eastAsia="Times New Roman" w:hAnsi="Book Antiqua"/>
          <w:b/>
          <w:bCs/>
          <w:color w:val="4472C4"/>
          <w:sz w:val="26"/>
          <w:szCs w:val="26"/>
        </w:rPr>
        <w:t>reste</w:t>
      </w:r>
      <w:r w:rsidR="005154A3">
        <w:rPr>
          <w:rFonts w:ascii="Book Antiqua" w:eastAsia="Times New Roman" w:hAnsi="Book Antiqua"/>
          <w:b/>
          <w:bCs/>
          <w:color w:val="4472C4"/>
          <w:sz w:val="26"/>
          <w:szCs w:val="26"/>
        </w:rPr>
        <w:t xml:space="preserve"> </w:t>
      </w:r>
      <w:r w:rsidR="00AC2D21" w:rsidRPr="007147C6">
        <w:rPr>
          <w:rFonts w:ascii="Book Antiqua" w:eastAsia="Times New Roman" w:hAnsi="Book Antiqua"/>
          <w:b/>
          <w:bCs/>
          <w:color w:val="4472C4"/>
          <w:sz w:val="26"/>
          <w:szCs w:val="26"/>
        </w:rPr>
        <w:t>plus élevé parmi les jeunes de 15 à 24 ans (3</w:t>
      </w:r>
      <w:r w:rsidR="004474D2" w:rsidRPr="007147C6">
        <w:rPr>
          <w:rFonts w:ascii="Book Antiqua" w:eastAsia="Times New Roman" w:hAnsi="Book Antiqua"/>
          <w:b/>
          <w:bCs/>
          <w:color w:val="4472C4"/>
          <w:sz w:val="26"/>
          <w:szCs w:val="26"/>
        </w:rPr>
        <w:t>2</w:t>
      </w:r>
      <w:r w:rsidR="00AC2D21" w:rsidRPr="007147C6">
        <w:rPr>
          <w:rFonts w:ascii="Book Antiqua" w:eastAsia="Times New Roman" w:hAnsi="Book Antiqua"/>
          <w:b/>
          <w:bCs/>
          <w:color w:val="4472C4"/>
          <w:sz w:val="26"/>
          <w:szCs w:val="26"/>
        </w:rPr>
        <w:t>,</w:t>
      </w:r>
      <w:r w:rsidR="004474D2" w:rsidRPr="007147C6">
        <w:rPr>
          <w:rFonts w:ascii="Book Antiqua" w:eastAsia="Times New Roman" w:hAnsi="Book Antiqua"/>
          <w:b/>
          <w:bCs/>
          <w:color w:val="4472C4"/>
          <w:sz w:val="26"/>
          <w:szCs w:val="26"/>
        </w:rPr>
        <w:t>7</w:t>
      </w:r>
      <w:r w:rsidR="00AC2D21" w:rsidRPr="007147C6">
        <w:rPr>
          <w:rFonts w:ascii="Book Antiqua" w:eastAsia="Times New Roman" w:hAnsi="Book Antiqua"/>
          <w:b/>
          <w:bCs/>
          <w:color w:val="4472C4"/>
          <w:sz w:val="26"/>
          <w:szCs w:val="26"/>
        </w:rPr>
        <w:t>%), les diplômés (1</w:t>
      </w:r>
      <w:r w:rsidR="004474D2" w:rsidRPr="007147C6">
        <w:rPr>
          <w:rFonts w:ascii="Book Antiqua" w:eastAsia="Times New Roman" w:hAnsi="Book Antiqua"/>
          <w:b/>
          <w:bCs/>
          <w:color w:val="4472C4"/>
          <w:sz w:val="26"/>
          <w:szCs w:val="26"/>
        </w:rPr>
        <w:t>8</w:t>
      </w:r>
      <w:r w:rsidR="00AC2D21" w:rsidRPr="007147C6">
        <w:rPr>
          <w:rFonts w:ascii="Book Antiqua" w:eastAsia="Times New Roman" w:hAnsi="Book Antiqua"/>
          <w:b/>
          <w:bCs/>
          <w:color w:val="4472C4"/>
          <w:sz w:val="26"/>
          <w:szCs w:val="26"/>
        </w:rPr>
        <w:t>,</w:t>
      </w:r>
      <w:r w:rsidR="003F5612" w:rsidRPr="007147C6">
        <w:rPr>
          <w:rFonts w:ascii="Book Antiqua" w:eastAsia="Times New Roman" w:hAnsi="Book Antiqua"/>
          <w:b/>
          <w:bCs/>
          <w:color w:val="4472C4"/>
          <w:sz w:val="26"/>
          <w:szCs w:val="26"/>
        </w:rPr>
        <w:t>6</w:t>
      </w:r>
      <w:r w:rsidR="00AC2D21" w:rsidRPr="007147C6">
        <w:rPr>
          <w:rFonts w:ascii="Book Antiqua" w:eastAsia="Times New Roman" w:hAnsi="Book Antiqua"/>
          <w:b/>
          <w:bCs/>
          <w:color w:val="4472C4"/>
          <w:sz w:val="26"/>
          <w:szCs w:val="26"/>
        </w:rPr>
        <w:t>%) et les femmes (1</w:t>
      </w:r>
      <w:r w:rsidR="004474D2" w:rsidRPr="007147C6">
        <w:rPr>
          <w:rFonts w:ascii="Book Antiqua" w:eastAsia="Times New Roman" w:hAnsi="Book Antiqua"/>
          <w:b/>
          <w:bCs/>
          <w:color w:val="4472C4"/>
          <w:sz w:val="26"/>
          <w:szCs w:val="26"/>
        </w:rPr>
        <w:t>7</w:t>
      </w:r>
      <w:r w:rsidR="003F5612" w:rsidRPr="007147C6">
        <w:rPr>
          <w:rFonts w:ascii="Book Antiqua" w:eastAsia="Times New Roman" w:hAnsi="Book Antiqua"/>
          <w:b/>
          <w:bCs/>
          <w:color w:val="4472C4"/>
          <w:sz w:val="26"/>
          <w:szCs w:val="26"/>
        </w:rPr>
        <w:t>,</w:t>
      </w:r>
      <w:r w:rsidR="004474D2" w:rsidRPr="007147C6">
        <w:rPr>
          <w:rFonts w:ascii="Book Antiqua" w:eastAsia="Times New Roman" w:hAnsi="Book Antiqua"/>
          <w:b/>
          <w:bCs/>
          <w:color w:val="4472C4"/>
          <w:sz w:val="26"/>
          <w:szCs w:val="26"/>
        </w:rPr>
        <w:t>2</w:t>
      </w:r>
      <w:r w:rsidR="00AC2D21" w:rsidRPr="007147C6">
        <w:rPr>
          <w:rFonts w:ascii="Book Antiqua" w:eastAsia="Times New Roman" w:hAnsi="Book Antiqua"/>
          <w:b/>
          <w:bCs/>
          <w:color w:val="4472C4"/>
          <w:sz w:val="26"/>
          <w:szCs w:val="26"/>
        </w:rPr>
        <w:t>%).</w:t>
      </w:r>
    </w:p>
    <w:p w:rsidR="009C1F60" w:rsidRPr="009D6CEE" w:rsidRDefault="009C1F60" w:rsidP="000B0D5C">
      <w:pPr>
        <w:spacing w:before="100" w:beforeAutospacing="1" w:after="100" w:afterAutospacing="1"/>
        <w:jc w:val="both"/>
        <w:rPr>
          <w:rFonts w:ascii="Book Antiqua" w:eastAsia="Times New Roman" w:hAnsi="Book Antiqua"/>
          <w:b/>
          <w:bCs/>
          <w:color w:val="4472C4"/>
          <w:sz w:val="26"/>
          <w:szCs w:val="26"/>
        </w:rPr>
      </w:pPr>
      <w:r w:rsidRPr="00C11080">
        <w:rPr>
          <w:rFonts w:ascii="Book Antiqua" w:eastAsia="Times New Roman" w:hAnsi="Book Antiqua"/>
          <w:b/>
          <w:bCs/>
          <w:color w:val="4472C4"/>
          <w:sz w:val="26"/>
          <w:szCs w:val="26"/>
        </w:rPr>
        <w:t>Le taux d’activité</w:t>
      </w:r>
      <w:r w:rsidR="00F15342" w:rsidRPr="00C11080">
        <w:rPr>
          <w:rFonts w:ascii="Book Antiqua" w:eastAsia="Times New Roman" w:hAnsi="Book Antiqua"/>
          <w:b/>
          <w:bCs/>
          <w:color w:val="4472C4"/>
          <w:sz w:val="26"/>
          <w:szCs w:val="26"/>
        </w:rPr>
        <w:t xml:space="preserve"> a</w:t>
      </w:r>
      <w:r w:rsidR="00005241" w:rsidRPr="00C11080">
        <w:rPr>
          <w:rFonts w:ascii="Book Antiqua" w:eastAsia="Times New Roman" w:hAnsi="Book Antiqua"/>
          <w:b/>
          <w:bCs/>
          <w:color w:val="4472C4"/>
          <w:sz w:val="26"/>
          <w:szCs w:val="26"/>
        </w:rPr>
        <w:t xml:space="preserve"> continué sa baisse enregistr</w:t>
      </w:r>
      <w:r w:rsidR="000E1598" w:rsidRPr="00C11080">
        <w:rPr>
          <w:rFonts w:ascii="Book Antiqua" w:eastAsia="Times New Roman" w:hAnsi="Book Antiqua"/>
          <w:b/>
          <w:bCs/>
          <w:color w:val="4472C4"/>
          <w:sz w:val="26"/>
          <w:szCs w:val="26"/>
        </w:rPr>
        <w:t>ant</w:t>
      </w:r>
      <w:r w:rsidR="00005241" w:rsidRPr="00C11080">
        <w:rPr>
          <w:rFonts w:ascii="Book Antiqua" w:eastAsia="Times New Roman" w:hAnsi="Book Antiqua"/>
          <w:b/>
          <w:bCs/>
          <w:color w:val="4472C4"/>
          <w:sz w:val="26"/>
          <w:szCs w:val="26"/>
        </w:rPr>
        <w:t xml:space="preserve"> 44,3% (</w:t>
      </w:r>
      <w:r w:rsidR="000E1598" w:rsidRPr="00C11080">
        <w:rPr>
          <w:rFonts w:ascii="Book Antiqua" w:eastAsia="Times New Roman" w:hAnsi="Book Antiqua"/>
          <w:b/>
          <w:bCs/>
          <w:color w:val="4472C4"/>
          <w:sz w:val="26"/>
          <w:szCs w:val="26"/>
        </w:rPr>
        <w:t>-</w:t>
      </w:r>
      <w:r w:rsidRPr="00C11080">
        <w:rPr>
          <w:rFonts w:ascii="Book Antiqua" w:eastAsia="Times New Roman" w:hAnsi="Book Antiqua"/>
          <w:b/>
          <w:bCs/>
          <w:color w:val="4472C4"/>
          <w:sz w:val="26"/>
          <w:szCs w:val="26"/>
        </w:rPr>
        <w:t>0,</w:t>
      </w:r>
      <w:r w:rsidR="000B0D5C">
        <w:rPr>
          <w:rFonts w:ascii="Book Antiqua" w:eastAsia="Times New Roman" w:hAnsi="Book Antiqua" w:hint="cs"/>
          <w:b/>
          <w:bCs/>
          <w:color w:val="4472C4"/>
          <w:sz w:val="26"/>
          <w:szCs w:val="26"/>
          <w:rtl/>
          <w:lang w:bidi="tzm-Arab-MA"/>
        </w:rPr>
        <w:t>8</w:t>
      </w:r>
      <w:r w:rsidRPr="00C11080">
        <w:rPr>
          <w:rFonts w:ascii="Book Antiqua" w:eastAsia="Times New Roman" w:hAnsi="Book Antiqua"/>
          <w:b/>
          <w:bCs/>
          <w:color w:val="4472C4"/>
          <w:sz w:val="26"/>
          <w:szCs w:val="26"/>
        </w:rPr>
        <w:t xml:space="preserve"> point</w:t>
      </w:r>
      <w:r w:rsidR="00005241" w:rsidRPr="00C11080">
        <w:rPr>
          <w:rFonts w:ascii="Book Antiqua" w:eastAsia="Times New Roman" w:hAnsi="Book Antiqua"/>
          <w:b/>
          <w:bCs/>
          <w:color w:val="4472C4"/>
          <w:sz w:val="26"/>
          <w:szCs w:val="26"/>
        </w:rPr>
        <w:t>)</w:t>
      </w:r>
      <w:r w:rsidRPr="00C11080">
        <w:rPr>
          <w:rFonts w:ascii="Book Antiqua" w:eastAsia="Times New Roman" w:hAnsi="Book Antiqua"/>
          <w:b/>
          <w:bCs/>
          <w:color w:val="4472C4"/>
          <w:sz w:val="26"/>
          <w:szCs w:val="26"/>
        </w:rPr>
        <w:t>.  Cette baisse est plus prononcée en milieu rural (-1,</w:t>
      </w:r>
      <w:r w:rsidR="000B0D5C">
        <w:rPr>
          <w:rFonts w:ascii="Book Antiqua" w:eastAsia="Times New Roman" w:hAnsi="Book Antiqua" w:hint="cs"/>
          <w:b/>
          <w:bCs/>
          <w:color w:val="4472C4"/>
          <w:sz w:val="26"/>
          <w:szCs w:val="26"/>
          <w:rtl/>
          <w:lang w:bidi="tzm-Arab-MA"/>
        </w:rPr>
        <w:t>8</w:t>
      </w:r>
      <w:r w:rsidRPr="00C11080">
        <w:rPr>
          <w:rFonts w:ascii="Book Antiqua" w:eastAsia="Times New Roman" w:hAnsi="Book Antiqua"/>
          <w:b/>
          <w:bCs/>
          <w:color w:val="4472C4"/>
          <w:sz w:val="26"/>
          <w:szCs w:val="26"/>
        </w:rPr>
        <w:t xml:space="preserve"> point), passant de 50,9% à 49,1%, qu’en milieu urbain (-0,4 point), passant de 42,3%</w:t>
      </w:r>
      <w:r w:rsidR="00D52906">
        <w:rPr>
          <w:rFonts w:ascii="Book Antiqua" w:eastAsia="Times New Roman" w:hAnsi="Book Antiqua"/>
          <w:b/>
          <w:bCs/>
          <w:color w:val="4472C4"/>
          <w:sz w:val="26"/>
          <w:szCs w:val="26"/>
        </w:rPr>
        <w:t xml:space="preserve"> </w:t>
      </w:r>
      <w:r w:rsidRPr="00C11080">
        <w:rPr>
          <w:rFonts w:ascii="Book Antiqua" w:eastAsia="Times New Roman" w:hAnsi="Book Antiqua"/>
          <w:b/>
          <w:bCs/>
          <w:color w:val="4472C4"/>
          <w:sz w:val="26"/>
          <w:szCs w:val="26"/>
        </w:rPr>
        <w:t>à 41,9%.</w:t>
      </w:r>
    </w:p>
    <w:p w:rsidR="000C22AC" w:rsidRPr="00BD4B64" w:rsidRDefault="00134746" w:rsidP="0090682D">
      <w:pPr>
        <w:autoSpaceDE w:val="0"/>
        <w:autoSpaceDN w:val="0"/>
        <w:adjustRightInd w:val="0"/>
        <w:spacing w:before="120" w:after="120" w:line="288" w:lineRule="auto"/>
        <w:jc w:val="both"/>
        <w:rPr>
          <w:rFonts w:ascii="Book Antiqua" w:eastAsia="Book Antiqua" w:hAnsi="Book Antiqua" w:cs="Book Antiqua"/>
          <w:b/>
          <w:bCs/>
          <w:color w:val="4472C4" w:themeColor="accent1"/>
          <w:sz w:val="26"/>
          <w:szCs w:val="26"/>
        </w:rPr>
      </w:pPr>
      <w:r w:rsidRPr="007147C6">
        <w:rPr>
          <w:rFonts w:ascii="Book Antiqua" w:eastAsia="Times New Roman" w:hAnsi="Book Antiqua"/>
          <w:b/>
          <w:bCs/>
          <w:color w:val="4472C4"/>
          <w:sz w:val="26"/>
          <w:szCs w:val="26"/>
        </w:rPr>
        <w:t>Le volume du sous-emploi est</w:t>
      </w:r>
      <w:r w:rsidR="00C11080">
        <w:rPr>
          <w:rFonts w:ascii="Book Antiqua" w:eastAsia="Times New Roman" w:hAnsi="Book Antiqua"/>
          <w:b/>
          <w:bCs/>
          <w:color w:val="4472C4"/>
          <w:sz w:val="26"/>
          <w:szCs w:val="26"/>
        </w:rPr>
        <w:t>, de son côté,</w:t>
      </w:r>
      <w:r w:rsidRPr="007147C6">
        <w:rPr>
          <w:rFonts w:ascii="Book Antiqua" w:eastAsia="Times New Roman" w:hAnsi="Book Antiqua"/>
          <w:b/>
          <w:bCs/>
          <w:color w:val="4472C4"/>
          <w:sz w:val="26"/>
          <w:szCs w:val="26"/>
        </w:rPr>
        <w:t xml:space="preserve"> passé, durant la même période, de </w:t>
      </w:r>
      <w:r w:rsidR="004474D2" w:rsidRPr="007147C6">
        <w:rPr>
          <w:rFonts w:ascii="Book Antiqua" w:eastAsia="Times New Roman" w:hAnsi="Book Antiqua"/>
          <w:b/>
          <w:bCs/>
          <w:color w:val="4472C4"/>
          <w:sz w:val="26"/>
          <w:szCs w:val="26"/>
        </w:rPr>
        <w:t xml:space="preserve">1.003.000 </w:t>
      </w:r>
      <w:r w:rsidRPr="007147C6">
        <w:rPr>
          <w:rFonts w:ascii="Book Antiqua" w:eastAsia="Times New Roman" w:hAnsi="Book Antiqua"/>
          <w:b/>
          <w:bCs/>
          <w:color w:val="4472C4"/>
          <w:sz w:val="26"/>
          <w:szCs w:val="26"/>
        </w:rPr>
        <w:t>à</w:t>
      </w:r>
      <w:r w:rsidR="004474D2" w:rsidRPr="007147C6">
        <w:rPr>
          <w:rFonts w:ascii="Book Antiqua" w:eastAsia="Times New Roman" w:hAnsi="Book Antiqua"/>
          <w:b/>
          <w:bCs/>
          <w:color w:val="4472C4"/>
          <w:sz w:val="26"/>
          <w:szCs w:val="26"/>
        </w:rPr>
        <w:t xml:space="preserve"> 972.000 </w:t>
      </w:r>
      <w:r w:rsidRPr="007147C6">
        <w:rPr>
          <w:rFonts w:ascii="Book Antiqua" w:eastAsia="Times New Roman" w:hAnsi="Book Antiqua"/>
          <w:b/>
          <w:bCs/>
          <w:color w:val="4472C4"/>
          <w:sz w:val="26"/>
          <w:szCs w:val="26"/>
        </w:rPr>
        <w:t>personnes</w:t>
      </w:r>
      <w:r w:rsidR="000E2CF0">
        <w:rPr>
          <w:rFonts w:ascii="Book Antiqua" w:eastAsia="Times New Roman" w:hAnsi="Book Antiqua"/>
          <w:b/>
          <w:bCs/>
          <w:color w:val="4472C4"/>
          <w:sz w:val="26"/>
          <w:szCs w:val="26"/>
        </w:rPr>
        <w:t xml:space="preserve"> au niveau national</w:t>
      </w:r>
      <w:r w:rsidRPr="007147C6">
        <w:rPr>
          <w:rFonts w:ascii="Book Antiqua" w:eastAsia="Times New Roman" w:hAnsi="Book Antiqua"/>
          <w:b/>
          <w:bCs/>
          <w:color w:val="4472C4"/>
          <w:sz w:val="26"/>
          <w:szCs w:val="26"/>
        </w:rPr>
        <w:t xml:space="preserve">, de </w:t>
      </w:r>
      <w:r w:rsidR="004474D2" w:rsidRPr="007147C6">
        <w:rPr>
          <w:rFonts w:ascii="Book Antiqua" w:eastAsia="Times New Roman" w:hAnsi="Book Antiqua"/>
          <w:b/>
          <w:bCs/>
          <w:color w:val="4472C4"/>
          <w:sz w:val="26"/>
          <w:szCs w:val="26"/>
        </w:rPr>
        <w:t>550.000 à 52</w:t>
      </w:r>
      <w:r w:rsidRPr="007147C6">
        <w:rPr>
          <w:rFonts w:ascii="Book Antiqua" w:eastAsia="Times New Roman" w:hAnsi="Book Antiqua"/>
          <w:b/>
          <w:bCs/>
          <w:color w:val="4472C4"/>
          <w:sz w:val="26"/>
          <w:szCs w:val="26"/>
        </w:rPr>
        <w:t xml:space="preserve">0.000 </w:t>
      </w:r>
      <w:r w:rsidR="004474D2" w:rsidRPr="007147C6">
        <w:rPr>
          <w:rFonts w:ascii="Book Antiqua" w:eastAsia="Times New Roman" w:hAnsi="Book Antiqua"/>
          <w:b/>
          <w:bCs/>
          <w:color w:val="4472C4"/>
          <w:sz w:val="26"/>
          <w:szCs w:val="26"/>
        </w:rPr>
        <w:t>en milieu urbain</w:t>
      </w:r>
      <w:r w:rsidRPr="007147C6">
        <w:rPr>
          <w:rFonts w:ascii="Book Antiqua" w:eastAsia="Times New Roman" w:hAnsi="Book Antiqua"/>
          <w:b/>
          <w:bCs/>
          <w:color w:val="4472C4"/>
          <w:sz w:val="26"/>
          <w:szCs w:val="26"/>
        </w:rPr>
        <w:t xml:space="preserve"> et de </w:t>
      </w:r>
      <w:r w:rsidR="00E83464" w:rsidRPr="007147C6">
        <w:rPr>
          <w:rFonts w:ascii="Book Antiqua" w:eastAsia="Times New Roman" w:hAnsi="Book Antiqua"/>
          <w:b/>
          <w:bCs/>
          <w:color w:val="4472C4"/>
          <w:sz w:val="26"/>
          <w:szCs w:val="26"/>
        </w:rPr>
        <w:t>453.000 à 452</w:t>
      </w:r>
      <w:r w:rsidRPr="007147C6">
        <w:rPr>
          <w:rFonts w:ascii="Book Antiqua" w:eastAsia="Times New Roman" w:hAnsi="Book Antiqua"/>
          <w:b/>
          <w:bCs/>
          <w:color w:val="4472C4"/>
          <w:sz w:val="26"/>
          <w:szCs w:val="26"/>
        </w:rPr>
        <w:t>.000</w:t>
      </w:r>
      <w:r w:rsidR="002B5B52">
        <w:rPr>
          <w:rFonts w:ascii="Book Antiqua" w:eastAsia="Times New Roman" w:hAnsi="Book Antiqua"/>
          <w:b/>
          <w:bCs/>
          <w:color w:val="4472C4"/>
          <w:sz w:val="26"/>
          <w:szCs w:val="26"/>
        </w:rPr>
        <w:t xml:space="preserve"> </w:t>
      </w:r>
      <w:r w:rsidR="00E83464" w:rsidRPr="007147C6">
        <w:rPr>
          <w:rFonts w:ascii="Book Antiqua" w:eastAsia="Times New Roman" w:hAnsi="Book Antiqua"/>
          <w:b/>
          <w:bCs/>
          <w:color w:val="4472C4"/>
          <w:sz w:val="26"/>
          <w:szCs w:val="26"/>
        </w:rPr>
        <w:t>en milieu rural</w:t>
      </w:r>
      <w:r w:rsidRPr="007147C6">
        <w:rPr>
          <w:rFonts w:ascii="Book Antiqua" w:eastAsia="Times New Roman" w:hAnsi="Book Antiqua"/>
          <w:b/>
          <w:bCs/>
          <w:color w:val="4472C4"/>
          <w:sz w:val="26"/>
          <w:szCs w:val="26"/>
        </w:rPr>
        <w:t>. Le taux de sous-emploi</w:t>
      </w:r>
      <w:r w:rsidR="00C11080">
        <w:rPr>
          <w:rFonts w:ascii="Book Antiqua" w:eastAsia="Times New Roman" w:hAnsi="Book Antiqua"/>
          <w:b/>
          <w:bCs/>
          <w:color w:val="4472C4"/>
          <w:sz w:val="26"/>
          <w:szCs w:val="26"/>
        </w:rPr>
        <w:t>, qui était de</w:t>
      </w:r>
      <w:r w:rsidRPr="007147C6">
        <w:rPr>
          <w:rFonts w:ascii="Book Antiqua" w:eastAsia="Times New Roman" w:hAnsi="Book Antiqua"/>
          <w:b/>
          <w:bCs/>
          <w:color w:val="4472C4"/>
          <w:sz w:val="26"/>
          <w:szCs w:val="26"/>
        </w:rPr>
        <w:t xml:space="preserve"> </w:t>
      </w:r>
      <w:r w:rsidR="00E83464" w:rsidRPr="007147C6">
        <w:rPr>
          <w:rFonts w:ascii="Book Antiqua" w:eastAsia="Times New Roman" w:hAnsi="Book Antiqua"/>
          <w:b/>
          <w:bCs/>
          <w:color w:val="4472C4"/>
          <w:sz w:val="26"/>
          <w:szCs w:val="26"/>
        </w:rPr>
        <w:t>9,3%</w:t>
      </w:r>
      <w:r w:rsidR="00C11080">
        <w:rPr>
          <w:rFonts w:ascii="Book Antiqua" w:eastAsia="Times New Roman" w:hAnsi="Book Antiqua"/>
          <w:b/>
          <w:bCs/>
          <w:color w:val="4472C4"/>
          <w:sz w:val="26"/>
          <w:szCs w:val="26"/>
        </w:rPr>
        <w:t xml:space="preserve">, s’est </w:t>
      </w:r>
      <w:r w:rsidR="00D52906">
        <w:rPr>
          <w:rFonts w:ascii="Book Antiqua" w:eastAsia="Times New Roman" w:hAnsi="Book Antiqua"/>
          <w:b/>
          <w:bCs/>
          <w:color w:val="4472C4"/>
          <w:sz w:val="26"/>
          <w:szCs w:val="26"/>
        </w:rPr>
        <w:t>in</w:t>
      </w:r>
      <w:r w:rsidR="00C11080">
        <w:rPr>
          <w:rFonts w:ascii="Book Antiqua" w:eastAsia="Times New Roman" w:hAnsi="Book Antiqua"/>
          <w:b/>
          <w:bCs/>
          <w:color w:val="4472C4"/>
          <w:sz w:val="26"/>
          <w:szCs w:val="26"/>
        </w:rPr>
        <w:t xml:space="preserve">fléchi </w:t>
      </w:r>
      <w:r w:rsidR="00E83464" w:rsidRPr="007147C6">
        <w:rPr>
          <w:rFonts w:ascii="Book Antiqua" w:eastAsia="Times New Roman" w:hAnsi="Book Antiqua"/>
          <w:b/>
          <w:bCs/>
          <w:color w:val="4472C4"/>
          <w:sz w:val="26"/>
          <w:szCs w:val="26"/>
        </w:rPr>
        <w:t>à 9</w:t>
      </w:r>
      <w:r w:rsidRPr="007147C6">
        <w:rPr>
          <w:rFonts w:ascii="Book Antiqua" w:eastAsia="Times New Roman" w:hAnsi="Book Antiqua"/>
          <w:b/>
          <w:bCs/>
          <w:color w:val="4472C4"/>
          <w:sz w:val="26"/>
          <w:szCs w:val="26"/>
        </w:rPr>
        <w:t>%</w:t>
      </w:r>
      <w:r w:rsidR="000E2CF0">
        <w:rPr>
          <w:rFonts w:ascii="Book Antiqua" w:eastAsia="Times New Roman" w:hAnsi="Book Antiqua"/>
          <w:b/>
          <w:bCs/>
          <w:color w:val="4472C4"/>
          <w:sz w:val="26"/>
          <w:szCs w:val="26"/>
        </w:rPr>
        <w:t xml:space="preserve"> au niveau national</w:t>
      </w:r>
      <w:r w:rsidRPr="007147C6">
        <w:rPr>
          <w:rFonts w:ascii="Book Antiqua" w:eastAsia="Times New Roman" w:hAnsi="Book Antiqua"/>
          <w:b/>
          <w:bCs/>
          <w:color w:val="4472C4"/>
          <w:sz w:val="26"/>
          <w:szCs w:val="26"/>
        </w:rPr>
        <w:t xml:space="preserve">, </w:t>
      </w:r>
      <w:r w:rsidR="0090682D">
        <w:rPr>
          <w:rFonts w:ascii="Book Antiqua" w:eastAsia="Times New Roman" w:hAnsi="Book Antiqua"/>
          <w:b/>
          <w:bCs/>
          <w:color w:val="4472C4"/>
          <w:sz w:val="26"/>
          <w:szCs w:val="26"/>
        </w:rPr>
        <w:t>de</w:t>
      </w:r>
      <w:r w:rsidRPr="007147C6">
        <w:rPr>
          <w:rFonts w:ascii="Book Antiqua" w:eastAsia="Times New Roman" w:hAnsi="Book Antiqua"/>
          <w:b/>
          <w:bCs/>
          <w:color w:val="4472C4"/>
          <w:sz w:val="26"/>
          <w:szCs w:val="26"/>
        </w:rPr>
        <w:t xml:space="preserve"> </w:t>
      </w:r>
      <w:r w:rsidR="00E83464" w:rsidRPr="007147C6">
        <w:rPr>
          <w:rFonts w:ascii="Book Antiqua" w:eastAsia="Times New Roman" w:hAnsi="Book Antiqua"/>
          <w:b/>
          <w:bCs/>
          <w:color w:val="4472C4"/>
          <w:sz w:val="26"/>
          <w:szCs w:val="26"/>
        </w:rPr>
        <w:t>8,8</w:t>
      </w:r>
      <w:r w:rsidRPr="007147C6">
        <w:rPr>
          <w:rFonts w:ascii="Book Antiqua" w:eastAsia="Times New Roman" w:hAnsi="Book Antiqua"/>
          <w:b/>
          <w:bCs/>
          <w:color w:val="4472C4"/>
          <w:sz w:val="26"/>
          <w:szCs w:val="26"/>
        </w:rPr>
        <w:t>% à 8,</w:t>
      </w:r>
      <w:r w:rsidR="00E83464" w:rsidRPr="007147C6">
        <w:rPr>
          <w:rFonts w:ascii="Book Antiqua" w:eastAsia="Times New Roman" w:hAnsi="Book Antiqua"/>
          <w:b/>
          <w:bCs/>
          <w:color w:val="4472C4"/>
          <w:sz w:val="26"/>
          <w:szCs w:val="26"/>
        </w:rPr>
        <w:t>1</w:t>
      </w:r>
      <w:r w:rsidRPr="007147C6">
        <w:rPr>
          <w:rFonts w:ascii="Book Antiqua" w:eastAsia="Times New Roman" w:hAnsi="Book Antiqua"/>
          <w:b/>
          <w:bCs/>
          <w:color w:val="4472C4"/>
          <w:sz w:val="26"/>
          <w:szCs w:val="26"/>
        </w:rPr>
        <w:t>% en milieu urbain et de 1</w:t>
      </w:r>
      <w:r w:rsidR="00E83464" w:rsidRPr="007147C6">
        <w:rPr>
          <w:rFonts w:ascii="Book Antiqua" w:eastAsia="Times New Roman" w:hAnsi="Book Antiqua"/>
          <w:b/>
          <w:bCs/>
          <w:color w:val="4472C4"/>
          <w:sz w:val="26"/>
          <w:szCs w:val="26"/>
        </w:rPr>
        <w:t>0</w:t>
      </w:r>
      <w:r w:rsidRPr="007147C6">
        <w:rPr>
          <w:rFonts w:ascii="Book Antiqua" w:eastAsia="Times New Roman" w:hAnsi="Book Antiqua"/>
          <w:b/>
          <w:bCs/>
          <w:color w:val="4472C4"/>
          <w:sz w:val="26"/>
          <w:szCs w:val="26"/>
        </w:rPr>
        <w:t>% à 10</w:t>
      </w:r>
      <w:r w:rsidR="00E83464" w:rsidRPr="007147C6">
        <w:rPr>
          <w:rFonts w:ascii="Book Antiqua" w:eastAsia="Times New Roman" w:hAnsi="Book Antiqua"/>
          <w:b/>
          <w:bCs/>
          <w:color w:val="4472C4"/>
          <w:sz w:val="26"/>
          <w:szCs w:val="26"/>
        </w:rPr>
        <w:t>,4</w:t>
      </w:r>
      <w:r w:rsidRPr="007147C6">
        <w:rPr>
          <w:rFonts w:ascii="Book Antiqua" w:eastAsia="Times New Roman" w:hAnsi="Book Antiqua"/>
          <w:b/>
          <w:bCs/>
          <w:color w:val="4472C4"/>
          <w:sz w:val="26"/>
          <w:szCs w:val="26"/>
        </w:rPr>
        <w:t>% en milieu rural.</w:t>
      </w:r>
      <w:r w:rsidR="000C22AC" w:rsidRPr="00BD4B64">
        <w:rPr>
          <w:rFonts w:ascii="Book Antiqua" w:eastAsia="Book Antiqua" w:hAnsi="Book Antiqua" w:cs="Book Antiqua"/>
          <w:b/>
          <w:bCs/>
          <w:color w:val="4472C4" w:themeColor="accent1"/>
          <w:sz w:val="26"/>
          <w:szCs w:val="26"/>
        </w:rPr>
        <w:br w:type="page"/>
      </w:r>
    </w:p>
    <w:p w:rsidR="008865DA" w:rsidRPr="00BD4B64" w:rsidRDefault="008865DA" w:rsidP="008865DA">
      <w:pPr>
        <w:spacing w:before="240" w:line="312" w:lineRule="auto"/>
        <w:ind w:left="-181"/>
        <w:jc w:val="center"/>
        <w:rPr>
          <w:rFonts w:ascii="Book Antiqua" w:eastAsia="Book Antiqua" w:hAnsi="Book Antiqua" w:cs="Book Antiqua"/>
          <w:b/>
          <w:color w:val="323E4F" w:themeColor="text2" w:themeShade="BF"/>
          <w:sz w:val="26"/>
          <w:szCs w:val="26"/>
        </w:rPr>
      </w:pPr>
    </w:p>
    <w:p w:rsidR="008865DA" w:rsidRPr="00BD4B64" w:rsidRDefault="008865DA" w:rsidP="008865DA">
      <w:pPr>
        <w:pStyle w:val="MMTopic2"/>
        <w:numPr>
          <w:ilvl w:val="0"/>
          <w:numId w:val="0"/>
        </w:numPr>
        <w:spacing w:line="360" w:lineRule="auto"/>
        <w:jc w:val="both"/>
        <w:rPr>
          <w:rFonts w:ascii="Book Antiqua" w:hAnsi="Book Antiqua" w:cstheme="majorHAnsi"/>
          <w:b/>
          <w:bCs/>
          <w:color w:val="1F3864" w:themeColor="accent1" w:themeShade="80"/>
          <w:spacing w:val="-10"/>
          <w:kern w:val="28"/>
          <w:sz w:val="24"/>
          <w:szCs w:val="24"/>
          <w:lang w:val="fr-FR"/>
        </w:rPr>
      </w:pPr>
      <w:r w:rsidRPr="00BD4B64">
        <w:rPr>
          <w:rFonts w:ascii="Book Antiqua" w:hAnsi="Book Antiqua" w:cstheme="majorHAnsi"/>
          <w:b/>
          <w:bCs/>
          <w:color w:val="1F3864" w:themeColor="accent1" w:themeShade="80"/>
          <w:spacing w:val="-10"/>
          <w:kern w:val="28"/>
          <w:sz w:val="28"/>
          <w:szCs w:val="28"/>
          <w:lang w:val="fr-FR"/>
        </w:rPr>
        <w:t>I. Activité et emploi</w:t>
      </w:r>
    </w:p>
    <w:p w:rsidR="008865DA" w:rsidRPr="00BD4B64" w:rsidRDefault="008865DA" w:rsidP="00B95F61">
      <w:pPr>
        <w:rPr>
          <w:rFonts w:ascii="Book Antiqua" w:eastAsia="Book Antiqua" w:hAnsi="Book Antiqua" w:cs="Book Antiqua"/>
          <w:b/>
          <w:bCs/>
          <w:color w:val="4472C4" w:themeColor="accent1"/>
          <w:sz w:val="26"/>
          <w:szCs w:val="26"/>
        </w:rPr>
      </w:pPr>
      <w:r w:rsidRPr="00BD4B64">
        <w:rPr>
          <w:rFonts w:ascii="Book Antiqua" w:eastAsia="Book Antiqua" w:hAnsi="Book Antiqua" w:cs="Book Antiqua"/>
          <w:b/>
          <w:bCs/>
          <w:color w:val="4472C4" w:themeColor="accent1"/>
          <w:sz w:val="26"/>
          <w:szCs w:val="26"/>
        </w:rPr>
        <w:t>Baisse</w:t>
      </w:r>
      <w:r w:rsidR="005154A3">
        <w:rPr>
          <w:rFonts w:ascii="Book Antiqua" w:eastAsia="Book Antiqua" w:hAnsi="Book Antiqua" w:cs="Book Antiqua"/>
          <w:b/>
          <w:bCs/>
          <w:color w:val="4472C4" w:themeColor="accent1"/>
          <w:sz w:val="26"/>
          <w:szCs w:val="26"/>
        </w:rPr>
        <w:t xml:space="preserve"> </w:t>
      </w:r>
      <w:r w:rsidRPr="00BD4B64">
        <w:rPr>
          <w:rFonts w:ascii="Book Antiqua" w:eastAsia="Book Antiqua" w:hAnsi="Book Antiqua" w:cs="Book Antiqua"/>
          <w:b/>
          <w:bCs/>
          <w:color w:val="4472C4" w:themeColor="accent1"/>
          <w:sz w:val="26"/>
          <w:szCs w:val="26"/>
        </w:rPr>
        <w:t>d</w:t>
      </w:r>
      <w:r w:rsidR="00D52033">
        <w:rPr>
          <w:rFonts w:ascii="Book Antiqua" w:eastAsia="Book Antiqua" w:hAnsi="Book Antiqua" w:cs="Book Antiqua"/>
          <w:b/>
          <w:bCs/>
          <w:color w:val="4472C4" w:themeColor="accent1"/>
          <w:sz w:val="26"/>
          <w:szCs w:val="26"/>
        </w:rPr>
        <w:t>es</w:t>
      </w:r>
      <w:r w:rsidR="00B95F61" w:rsidRPr="00BD4B64">
        <w:rPr>
          <w:rFonts w:ascii="Book Antiqua" w:eastAsia="Book Antiqua" w:hAnsi="Book Antiqua" w:cs="Book Antiqua"/>
          <w:b/>
          <w:bCs/>
          <w:color w:val="4472C4" w:themeColor="accent1"/>
          <w:sz w:val="26"/>
          <w:szCs w:val="26"/>
        </w:rPr>
        <w:t xml:space="preserve"> taux d</w:t>
      </w:r>
      <w:r w:rsidRPr="00BD4B64">
        <w:rPr>
          <w:rFonts w:ascii="Book Antiqua" w:eastAsia="Book Antiqua" w:hAnsi="Book Antiqua" w:cs="Book Antiqua"/>
          <w:b/>
          <w:bCs/>
          <w:color w:val="4472C4" w:themeColor="accent1"/>
          <w:sz w:val="26"/>
          <w:szCs w:val="26"/>
        </w:rPr>
        <w:t>’activité</w:t>
      </w:r>
      <w:r w:rsidR="005154A3">
        <w:rPr>
          <w:rFonts w:ascii="Book Antiqua" w:eastAsia="Book Antiqua" w:hAnsi="Book Antiqua" w:cs="Book Antiqua"/>
          <w:b/>
          <w:bCs/>
          <w:color w:val="4472C4" w:themeColor="accent1"/>
          <w:sz w:val="26"/>
          <w:szCs w:val="26"/>
        </w:rPr>
        <w:t xml:space="preserve"> </w:t>
      </w:r>
      <w:r w:rsidR="00B95F61" w:rsidRPr="00BD4B64">
        <w:rPr>
          <w:rFonts w:ascii="Book Antiqua" w:eastAsia="Book Antiqua" w:hAnsi="Book Antiqua" w:cs="Book Antiqua"/>
          <w:b/>
          <w:bCs/>
          <w:color w:val="4472C4" w:themeColor="accent1"/>
          <w:sz w:val="26"/>
          <w:szCs w:val="26"/>
        </w:rPr>
        <w:t>et d’emploi</w:t>
      </w:r>
    </w:p>
    <w:p w:rsidR="00954AB3" w:rsidRPr="00BD4B64" w:rsidRDefault="008865DA" w:rsidP="0090682D">
      <w:pPr>
        <w:spacing w:before="100" w:beforeAutospacing="1" w:after="100" w:afterAutospacing="1"/>
        <w:jc w:val="both"/>
        <w:rPr>
          <w:rFonts w:ascii="Book Antiqua" w:hAnsi="Book Antiqua" w:cstheme="majorBidi"/>
          <w:sz w:val="24"/>
          <w:szCs w:val="24"/>
        </w:rPr>
      </w:pPr>
      <w:r w:rsidRPr="00BD4B64">
        <w:rPr>
          <w:rFonts w:ascii="Book Antiqua" w:hAnsi="Book Antiqua" w:cstheme="majorBidi"/>
          <w:sz w:val="24"/>
          <w:szCs w:val="24"/>
        </w:rPr>
        <w:t>Le taux d’activité a baissé</w:t>
      </w:r>
      <w:r w:rsidR="00D52033">
        <w:rPr>
          <w:rFonts w:ascii="Book Antiqua" w:hAnsi="Book Antiqua" w:cstheme="majorBidi"/>
          <w:sz w:val="24"/>
          <w:szCs w:val="24"/>
        </w:rPr>
        <w:t>, entre 2021 et 2022,</w:t>
      </w:r>
      <w:r w:rsidRPr="00BD4B64">
        <w:rPr>
          <w:rFonts w:ascii="Book Antiqua" w:hAnsi="Book Antiqua" w:cstheme="majorBidi"/>
          <w:sz w:val="24"/>
          <w:szCs w:val="24"/>
        </w:rPr>
        <w:t xml:space="preserve"> de 0,</w:t>
      </w:r>
      <w:r w:rsidR="0090682D">
        <w:rPr>
          <w:rFonts w:ascii="Book Antiqua" w:hAnsi="Book Antiqua" w:cstheme="majorBidi"/>
          <w:sz w:val="24"/>
          <w:szCs w:val="24"/>
        </w:rPr>
        <w:t>8</w:t>
      </w:r>
      <w:r w:rsidRPr="00BD4B64">
        <w:rPr>
          <w:rFonts w:ascii="Book Antiqua" w:hAnsi="Book Antiqua" w:cstheme="majorBidi"/>
          <w:sz w:val="24"/>
          <w:szCs w:val="24"/>
        </w:rPr>
        <w:t xml:space="preserve"> point pour s’établir à 44,3%.</w:t>
      </w:r>
      <w:r w:rsidR="00954AB3" w:rsidRPr="00BD4B64">
        <w:rPr>
          <w:rFonts w:ascii="Book Antiqua" w:hAnsi="Book Antiqua" w:cstheme="majorBidi"/>
          <w:sz w:val="24"/>
          <w:szCs w:val="24"/>
        </w:rPr>
        <w:t xml:space="preserve"> Cette baisse résulte de l’accroissement de la population en âge d'activité (15 ans et plus) de 1,4%et du décroissement de la population active de 1%.</w:t>
      </w:r>
    </w:p>
    <w:p w:rsidR="008865DA" w:rsidRPr="00BD4B64" w:rsidRDefault="00954AB3" w:rsidP="0090682D">
      <w:pPr>
        <w:spacing w:before="100" w:beforeAutospacing="1" w:after="100" w:afterAutospacing="1"/>
        <w:jc w:val="both"/>
        <w:rPr>
          <w:rFonts w:ascii="Book Antiqua" w:hAnsi="Book Antiqua" w:cstheme="majorBidi"/>
          <w:sz w:val="24"/>
          <w:szCs w:val="24"/>
        </w:rPr>
      </w:pPr>
      <w:r w:rsidRPr="00BD4B64">
        <w:rPr>
          <w:rFonts w:ascii="Book Antiqua" w:hAnsi="Book Antiqua" w:cstheme="majorBidi"/>
          <w:sz w:val="24"/>
          <w:szCs w:val="24"/>
        </w:rPr>
        <w:t>La</w:t>
      </w:r>
      <w:r w:rsidR="008865DA" w:rsidRPr="00BD4B64">
        <w:rPr>
          <w:rFonts w:ascii="Book Antiqua" w:hAnsi="Book Antiqua" w:cstheme="majorBidi"/>
          <w:sz w:val="24"/>
          <w:szCs w:val="24"/>
        </w:rPr>
        <w:t xml:space="preserve"> baisse</w:t>
      </w:r>
      <w:r w:rsidRPr="00BD4B64">
        <w:rPr>
          <w:rFonts w:ascii="Book Antiqua" w:hAnsi="Book Antiqua" w:cstheme="majorBidi"/>
          <w:sz w:val="24"/>
          <w:szCs w:val="24"/>
        </w:rPr>
        <w:t xml:space="preserve"> du taux d’activité</w:t>
      </w:r>
      <w:r w:rsidR="008865DA" w:rsidRPr="00BD4B64">
        <w:rPr>
          <w:rFonts w:ascii="Book Antiqua" w:hAnsi="Book Antiqua" w:cstheme="majorBidi"/>
          <w:sz w:val="24"/>
          <w:szCs w:val="24"/>
        </w:rPr>
        <w:t xml:space="preserve"> est plus prononcée en </w:t>
      </w:r>
      <w:r w:rsidR="008865DA" w:rsidRPr="00876E36">
        <w:rPr>
          <w:rFonts w:ascii="Book Antiqua" w:hAnsi="Book Antiqua" w:cstheme="majorBidi"/>
          <w:sz w:val="24"/>
          <w:szCs w:val="24"/>
        </w:rPr>
        <w:t>milieu rural (-1,</w:t>
      </w:r>
      <w:r w:rsidR="0090682D">
        <w:rPr>
          <w:rFonts w:ascii="Book Antiqua" w:hAnsi="Book Antiqua" w:cstheme="majorBidi"/>
          <w:sz w:val="24"/>
          <w:szCs w:val="24"/>
        </w:rPr>
        <w:t>8</w:t>
      </w:r>
      <w:r w:rsidR="008865DA" w:rsidRPr="00876E36">
        <w:rPr>
          <w:rFonts w:ascii="Book Antiqua" w:hAnsi="Book Antiqua" w:cstheme="majorBidi"/>
          <w:sz w:val="24"/>
          <w:szCs w:val="24"/>
        </w:rPr>
        <w:t xml:space="preserve"> </w:t>
      </w:r>
      <w:r w:rsidR="008865DA" w:rsidRPr="00442023">
        <w:rPr>
          <w:rFonts w:ascii="Book Antiqua" w:hAnsi="Book Antiqua" w:cstheme="majorBidi"/>
          <w:sz w:val="24"/>
          <w:szCs w:val="24"/>
        </w:rPr>
        <w:t>point</w:t>
      </w:r>
      <w:r w:rsidR="008865DA" w:rsidRPr="00876E36">
        <w:rPr>
          <w:rFonts w:ascii="Book Antiqua" w:hAnsi="Book Antiqua" w:cstheme="majorBidi"/>
          <w:sz w:val="24"/>
          <w:szCs w:val="24"/>
        </w:rPr>
        <w:t>), passant de</w:t>
      </w:r>
      <w:r w:rsidR="0090682D">
        <w:rPr>
          <w:rFonts w:ascii="Book Antiqua" w:hAnsi="Book Antiqua" w:cstheme="majorBidi"/>
          <w:sz w:val="24"/>
          <w:szCs w:val="24"/>
        </w:rPr>
        <w:t xml:space="preserve"> </w:t>
      </w:r>
      <w:r w:rsidR="008865DA" w:rsidRPr="00BD4B64">
        <w:rPr>
          <w:rFonts w:ascii="Book Antiqua" w:hAnsi="Book Antiqua" w:cs="Browallia New"/>
          <w:sz w:val="24"/>
          <w:szCs w:val="24"/>
        </w:rPr>
        <w:t xml:space="preserve">50,9% </w:t>
      </w:r>
      <w:r w:rsidR="008865DA" w:rsidRPr="00BD4B64">
        <w:rPr>
          <w:rFonts w:ascii="Book Antiqua" w:hAnsi="Book Antiqua" w:cstheme="majorBidi"/>
          <w:sz w:val="24"/>
          <w:szCs w:val="24"/>
        </w:rPr>
        <w:t>à 49,1%</w:t>
      </w:r>
      <w:r w:rsidR="00D52033">
        <w:rPr>
          <w:rFonts w:ascii="Book Antiqua" w:hAnsi="Book Antiqua" w:cstheme="majorBidi"/>
          <w:sz w:val="24"/>
          <w:szCs w:val="24"/>
        </w:rPr>
        <w:t>,</w:t>
      </w:r>
      <w:r w:rsidR="008865DA" w:rsidRPr="00BD4B64">
        <w:rPr>
          <w:rFonts w:ascii="Book Antiqua" w:hAnsi="Book Antiqua" w:cstheme="majorBidi"/>
          <w:sz w:val="24"/>
          <w:szCs w:val="24"/>
        </w:rPr>
        <w:t xml:space="preserve"> qu’en milieu urbain (-0,4 point)</w:t>
      </w:r>
      <w:r w:rsidR="009C1F60">
        <w:rPr>
          <w:rFonts w:ascii="Book Antiqua" w:hAnsi="Book Antiqua" w:cstheme="majorBidi"/>
          <w:sz w:val="24"/>
          <w:szCs w:val="24"/>
        </w:rPr>
        <w:t>,</w:t>
      </w:r>
      <w:r w:rsidR="008865DA" w:rsidRPr="00BD4B64">
        <w:rPr>
          <w:rFonts w:ascii="Book Antiqua" w:hAnsi="Book Antiqua" w:cstheme="majorBidi"/>
          <w:sz w:val="24"/>
          <w:szCs w:val="24"/>
        </w:rPr>
        <w:t xml:space="preserve"> passant de 42,3</w:t>
      </w:r>
      <w:r w:rsidR="008865DA" w:rsidRPr="00BD4B64">
        <w:rPr>
          <w:rFonts w:ascii="Book Antiqua" w:hAnsi="Book Antiqua" w:cs="Browallia New"/>
          <w:sz w:val="24"/>
          <w:szCs w:val="24"/>
        </w:rPr>
        <w:t>%</w:t>
      </w:r>
      <w:r w:rsidR="008865DA" w:rsidRPr="00BD4B64">
        <w:rPr>
          <w:rFonts w:ascii="Book Antiqua" w:hAnsi="Book Antiqua" w:cstheme="majorBidi"/>
          <w:sz w:val="24"/>
          <w:szCs w:val="24"/>
        </w:rPr>
        <w:t>à 41,9%.</w:t>
      </w:r>
      <w:r w:rsidR="00D52033">
        <w:rPr>
          <w:rFonts w:ascii="Book Antiqua" w:hAnsi="Book Antiqua" w:cstheme="majorBidi"/>
          <w:sz w:val="24"/>
          <w:szCs w:val="24"/>
        </w:rPr>
        <w:t>Ce taux</w:t>
      </w:r>
      <w:r w:rsidR="002B5B52">
        <w:rPr>
          <w:rFonts w:ascii="Book Antiqua" w:hAnsi="Book Antiqua" w:cstheme="majorBidi"/>
          <w:sz w:val="24"/>
          <w:szCs w:val="24"/>
        </w:rPr>
        <w:t xml:space="preserve"> </w:t>
      </w:r>
      <w:r w:rsidRPr="00BD4B64">
        <w:rPr>
          <w:rFonts w:ascii="Book Antiqua" w:hAnsi="Book Antiqua" w:cstheme="majorBidi"/>
          <w:sz w:val="24"/>
          <w:szCs w:val="24"/>
        </w:rPr>
        <w:t>a</w:t>
      </w:r>
      <w:r w:rsidR="008865DA" w:rsidRPr="00BD4B64">
        <w:rPr>
          <w:rFonts w:ascii="Book Antiqua" w:hAnsi="Book Antiqua" w:cstheme="majorBidi"/>
          <w:sz w:val="24"/>
          <w:szCs w:val="24"/>
        </w:rPr>
        <w:t xml:space="preserve"> diminué de 1,1 point </w:t>
      </w:r>
      <w:r w:rsidRPr="00BD4B64">
        <w:rPr>
          <w:rFonts w:ascii="Book Antiqua" w:hAnsi="Book Antiqua" w:cstheme="majorBidi"/>
          <w:sz w:val="24"/>
          <w:szCs w:val="24"/>
        </w:rPr>
        <w:t>pour les femmes</w:t>
      </w:r>
      <w:r w:rsidR="00690BF0" w:rsidRPr="00BD4B64">
        <w:rPr>
          <w:rFonts w:ascii="Book Antiqua" w:hAnsi="Book Antiqua" w:cstheme="majorBidi"/>
          <w:sz w:val="24"/>
          <w:szCs w:val="24"/>
        </w:rPr>
        <w:t>,</w:t>
      </w:r>
      <w:r w:rsidRPr="00BD4B64">
        <w:rPr>
          <w:rFonts w:ascii="Book Antiqua" w:hAnsi="Book Antiqua" w:cstheme="majorBidi"/>
          <w:sz w:val="24"/>
          <w:szCs w:val="24"/>
        </w:rPr>
        <w:t xml:space="preserve"> s’établissant</w:t>
      </w:r>
      <w:r w:rsidR="008865DA" w:rsidRPr="00BD4B64">
        <w:rPr>
          <w:rFonts w:ascii="Book Antiqua" w:hAnsi="Book Antiqua" w:cstheme="majorBidi"/>
          <w:sz w:val="24"/>
          <w:szCs w:val="24"/>
        </w:rPr>
        <w:t xml:space="preserve"> à 19,8%</w:t>
      </w:r>
      <w:r w:rsidR="00690BF0" w:rsidRPr="00BD4B64">
        <w:rPr>
          <w:rFonts w:ascii="Book Antiqua" w:hAnsi="Book Antiqua" w:cstheme="majorBidi"/>
          <w:sz w:val="24"/>
          <w:szCs w:val="24"/>
        </w:rPr>
        <w:t>,</w:t>
      </w:r>
      <w:r w:rsidR="00D52033">
        <w:rPr>
          <w:rFonts w:ascii="Book Antiqua" w:hAnsi="Book Antiqua" w:cstheme="majorBidi"/>
          <w:sz w:val="24"/>
          <w:szCs w:val="24"/>
        </w:rPr>
        <w:t xml:space="preserve">et de </w:t>
      </w:r>
      <w:r w:rsidR="00D52033" w:rsidRPr="00BD4B64">
        <w:rPr>
          <w:rFonts w:ascii="Book Antiqua" w:hAnsi="Book Antiqua" w:cstheme="majorBidi"/>
          <w:sz w:val="24"/>
          <w:szCs w:val="24"/>
        </w:rPr>
        <w:t xml:space="preserve">0,8 point </w:t>
      </w:r>
      <w:r w:rsidR="008865DA" w:rsidRPr="00BD4B64">
        <w:rPr>
          <w:rFonts w:ascii="Book Antiqua" w:hAnsi="Book Antiqua" w:cstheme="majorBidi"/>
          <w:sz w:val="24"/>
          <w:szCs w:val="24"/>
        </w:rPr>
        <w:t>pour les hommes</w:t>
      </w:r>
      <w:r w:rsidR="00057912">
        <w:rPr>
          <w:rFonts w:ascii="Book Antiqua" w:hAnsi="Book Antiqua" w:cstheme="majorBidi"/>
          <w:sz w:val="24"/>
          <w:szCs w:val="24"/>
        </w:rPr>
        <w:t xml:space="preserve"> </w:t>
      </w:r>
      <w:r w:rsidR="00D52033">
        <w:rPr>
          <w:rFonts w:ascii="Book Antiqua" w:hAnsi="Book Antiqua" w:cstheme="majorBidi"/>
          <w:sz w:val="24"/>
          <w:szCs w:val="24"/>
        </w:rPr>
        <w:t>(</w:t>
      </w:r>
      <w:r w:rsidR="00D52033" w:rsidRPr="00BD4B64">
        <w:rPr>
          <w:rFonts w:ascii="Book Antiqua" w:hAnsi="Book Antiqua" w:cstheme="majorBidi"/>
          <w:sz w:val="24"/>
          <w:szCs w:val="24"/>
        </w:rPr>
        <w:t>69,6%</w:t>
      </w:r>
      <w:r w:rsidR="00D52033">
        <w:rPr>
          <w:rFonts w:ascii="Book Antiqua" w:hAnsi="Book Antiqua" w:cstheme="majorBidi"/>
          <w:sz w:val="24"/>
          <w:szCs w:val="24"/>
        </w:rPr>
        <w:t>)</w:t>
      </w:r>
      <w:r w:rsidR="008865DA" w:rsidRPr="00BD4B64">
        <w:rPr>
          <w:rFonts w:ascii="Book Antiqua" w:hAnsi="Book Antiqua" w:cstheme="majorBidi"/>
          <w:sz w:val="24"/>
          <w:szCs w:val="24"/>
        </w:rPr>
        <w:t>.</w:t>
      </w:r>
    </w:p>
    <w:p w:rsidR="008865DA" w:rsidRPr="00BD4B64" w:rsidRDefault="008865DA" w:rsidP="008865DA">
      <w:pPr>
        <w:spacing w:before="240" w:line="312" w:lineRule="auto"/>
        <w:jc w:val="center"/>
        <w:rPr>
          <w:rFonts w:ascii="Book Antiqua" w:eastAsia="Book Antiqua" w:hAnsi="Book Antiqua" w:cs="Book Antiqua"/>
          <w:b/>
          <w:sz w:val="20"/>
          <w:szCs w:val="20"/>
        </w:rPr>
      </w:pPr>
      <w:r w:rsidRPr="00BD4B64">
        <w:rPr>
          <w:rFonts w:ascii="Book Antiqua" w:eastAsia="Book Antiqua" w:hAnsi="Book Antiqua" w:cs="Book Antiqua"/>
          <w:b/>
          <w:sz w:val="20"/>
          <w:szCs w:val="20"/>
        </w:rPr>
        <w:t>Graphique 1 : Evolution du taux d’activité depuis l’année 2017 (en %).</w:t>
      </w:r>
    </w:p>
    <w:p w:rsidR="008865DA" w:rsidRPr="00BD4B64" w:rsidRDefault="002049EA" w:rsidP="008865DA">
      <w:pPr>
        <w:spacing w:before="240" w:after="240" w:line="312" w:lineRule="auto"/>
        <w:jc w:val="center"/>
        <w:rPr>
          <w:rFonts w:ascii="Book Antiqua" w:eastAsia="Book Antiqua" w:hAnsi="Book Antiqua" w:cs="Book Antiqua"/>
          <w:b/>
          <w:bCs/>
          <w:color w:val="8496B0" w:themeColor="text2" w:themeTint="99"/>
          <w:sz w:val="26"/>
          <w:szCs w:val="26"/>
        </w:rPr>
      </w:pPr>
      <w:r w:rsidRPr="00BD4B64">
        <w:rPr>
          <w:rFonts w:ascii="Book Antiqua" w:eastAsia="Book Antiqua" w:hAnsi="Book Antiqua" w:cs="Book Antiqua"/>
          <w:b/>
          <w:bCs/>
          <w:noProof/>
          <w:color w:val="8496B0" w:themeColor="text2" w:themeTint="99"/>
          <w:sz w:val="26"/>
          <w:szCs w:val="26"/>
        </w:rPr>
        <w:drawing>
          <wp:inline distT="0" distB="0" distL="0" distR="0">
            <wp:extent cx="4762006" cy="1840675"/>
            <wp:effectExtent l="0" t="0" r="0" b="0"/>
            <wp:docPr id="15" name="Graphique 9">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1CB790AA-3850-4CD1-850E-6A61F4E792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865DA" w:rsidRPr="00BD4B64" w:rsidRDefault="00B95F61" w:rsidP="0090682D">
      <w:pPr>
        <w:spacing w:before="100" w:beforeAutospacing="1" w:after="100" w:afterAutospacing="1"/>
        <w:jc w:val="both"/>
        <w:rPr>
          <w:rFonts w:ascii="Book Antiqua" w:hAnsi="Book Antiqua" w:cs="Times New Roman"/>
          <w:sz w:val="24"/>
          <w:szCs w:val="24"/>
        </w:rPr>
      </w:pPr>
      <w:r w:rsidRPr="00BD4B64">
        <w:rPr>
          <w:rFonts w:ascii="Book Antiqua" w:hAnsi="Book Antiqua" w:cstheme="majorBidi"/>
          <w:sz w:val="24"/>
          <w:szCs w:val="24"/>
        </w:rPr>
        <w:t>De son côté, l</w:t>
      </w:r>
      <w:r w:rsidR="008865DA" w:rsidRPr="00BD4B64">
        <w:rPr>
          <w:rFonts w:ascii="Book Antiqua" w:hAnsi="Book Antiqua" w:cstheme="majorBidi"/>
          <w:sz w:val="24"/>
          <w:szCs w:val="24"/>
        </w:rPr>
        <w:t>e taux d’emploi a reculé de 39,7% à 39,1% a</w:t>
      </w:r>
      <w:r w:rsidR="0090682D">
        <w:rPr>
          <w:rFonts w:ascii="Book Antiqua" w:hAnsi="Book Antiqua" w:cstheme="majorBidi"/>
          <w:sz w:val="24"/>
          <w:szCs w:val="24"/>
        </w:rPr>
        <w:t xml:space="preserve">u niveau national (-0,6 point), soit </w:t>
      </w:r>
      <w:r w:rsidR="00D52033">
        <w:rPr>
          <w:rFonts w:ascii="Book Antiqua" w:hAnsi="Book Antiqua" w:cstheme="majorBidi"/>
          <w:sz w:val="24"/>
          <w:szCs w:val="24"/>
        </w:rPr>
        <w:t>une hausse</w:t>
      </w:r>
      <w:r w:rsidR="008865DA" w:rsidRPr="00BD4B64">
        <w:rPr>
          <w:rFonts w:ascii="Book Antiqua" w:hAnsi="Book Antiqua" w:cstheme="majorBidi"/>
          <w:sz w:val="24"/>
          <w:szCs w:val="24"/>
        </w:rPr>
        <w:t xml:space="preserve"> de 0,</w:t>
      </w:r>
      <w:r w:rsidR="00D44735" w:rsidRPr="00BD4B64">
        <w:rPr>
          <w:rFonts w:ascii="Book Antiqua" w:hAnsi="Book Antiqua" w:cstheme="majorBidi"/>
          <w:sz w:val="24"/>
          <w:szCs w:val="24"/>
        </w:rPr>
        <w:t>2</w:t>
      </w:r>
      <w:r w:rsidR="008865DA" w:rsidRPr="00BD4B64">
        <w:rPr>
          <w:rFonts w:ascii="Book Antiqua" w:hAnsi="Book Antiqua" w:cstheme="majorBidi"/>
          <w:sz w:val="24"/>
          <w:szCs w:val="24"/>
        </w:rPr>
        <w:t xml:space="preserve"> point en milieu urbain</w:t>
      </w:r>
      <w:r w:rsidR="00D52033">
        <w:rPr>
          <w:rFonts w:ascii="Book Antiqua" w:hAnsi="Book Antiqua" w:cstheme="majorBidi"/>
          <w:sz w:val="24"/>
          <w:szCs w:val="24"/>
        </w:rPr>
        <w:t>, passant</w:t>
      </w:r>
      <w:r w:rsidR="005154A3">
        <w:rPr>
          <w:rFonts w:ascii="Book Antiqua" w:hAnsi="Book Antiqua" w:cstheme="majorBidi"/>
          <w:sz w:val="24"/>
          <w:szCs w:val="24"/>
        </w:rPr>
        <w:t xml:space="preserve"> </w:t>
      </w:r>
      <w:r w:rsidR="008865DA" w:rsidRPr="00BD4B64">
        <w:rPr>
          <w:rFonts w:ascii="Book Antiqua" w:hAnsi="Book Antiqua" w:cstheme="majorBidi"/>
          <w:sz w:val="24"/>
          <w:szCs w:val="24"/>
        </w:rPr>
        <w:t>de 35,1% à 35,3%</w:t>
      </w:r>
      <w:r w:rsidR="00D52033">
        <w:rPr>
          <w:rFonts w:ascii="Book Antiqua" w:hAnsi="Book Antiqua" w:cstheme="majorBidi"/>
          <w:sz w:val="24"/>
          <w:szCs w:val="24"/>
        </w:rPr>
        <w:t xml:space="preserve">, </w:t>
      </w:r>
      <w:r w:rsidR="008865DA" w:rsidRPr="00BD4B64">
        <w:rPr>
          <w:rFonts w:ascii="Book Antiqua" w:hAnsi="Book Antiqua" w:cstheme="majorBidi"/>
          <w:sz w:val="24"/>
          <w:szCs w:val="24"/>
        </w:rPr>
        <w:t xml:space="preserve">et </w:t>
      </w:r>
      <w:r w:rsidR="00D52033">
        <w:rPr>
          <w:rFonts w:ascii="Book Antiqua" w:hAnsi="Book Antiqua" w:cstheme="majorBidi"/>
          <w:sz w:val="24"/>
          <w:szCs w:val="24"/>
        </w:rPr>
        <w:t>une baisse</w:t>
      </w:r>
      <w:r w:rsidR="008865DA" w:rsidRPr="00BD4B64">
        <w:rPr>
          <w:rFonts w:ascii="Book Antiqua" w:hAnsi="Book Antiqua" w:cstheme="majorBidi"/>
          <w:sz w:val="24"/>
          <w:szCs w:val="24"/>
        </w:rPr>
        <w:t xml:space="preserve"> de 1,9 point en milieu rural</w:t>
      </w:r>
      <w:r w:rsidR="00D52033">
        <w:rPr>
          <w:rFonts w:ascii="Book Antiqua" w:hAnsi="Book Antiqua" w:cstheme="majorBidi"/>
          <w:sz w:val="24"/>
          <w:szCs w:val="24"/>
        </w:rPr>
        <w:t xml:space="preserve">, passant </w:t>
      </w:r>
      <w:r w:rsidR="008865DA" w:rsidRPr="00BD4B64">
        <w:rPr>
          <w:rFonts w:ascii="Book Antiqua" w:hAnsi="Book Antiqua" w:cstheme="majorBidi"/>
          <w:sz w:val="24"/>
          <w:szCs w:val="24"/>
        </w:rPr>
        <w:t xml:space="preserve">de 48,4% à 46,5%. </w:t>
      </w:r>
      <w:r w:rsidR="00D52033">
        <w:rPr>
          <w:rFonts w:ascii="Book Antiqua" w:hAnsi="Book Antiqua" w:cstheme="majorBidi"/>
          <w:sz w:val="24"/>
          <w:szCs w:val="24"/>
        </w:rPr>
        <w:t>C</w:t>
      </w:r>
      <w:r w:rsidR="008865DA" w:rsidRPr="00BD4B64">
        <w:rPr>
          <w:rFonts w:ascii="Book Antiqua" w:hAnsi="Book Antiqua" w:cstheme="majorBidi"/>
          <w:sz w:val="24"/>
          <w:szCs w:val="24"/>
        </w:rPr>
        <w:t xml:space="preserve">e taux a baissé </w:t>
      </w:r>
      <w:r w:rsidR="00C13AC5" w:rsidRPr="00BD4B64">
        <w:rPr>
          <w:rFonts w:ascii="Book Antiqua" w:hAnsi="Book Antiqua" w:cstheme="majorBidi"/>
          <w:sz w:val="24"/>
          <w:szCs w:val="24"/>
        </w:rPr>
        <w:t>d’un point</w:t>
      </w:r>
      <w:r w:rsidR="005154A3">
        <w:rPr>
          <w:rFonts w:ascii="Book Antiqua" w:hAnsi="Book Antiqua" w:cstheme="majorBidi"/>
          <w:sz w:val="24"/>
          <w:szCs w:val="24"/>
        </w:rPr>
        <w:t xml:space="preserve"> </w:t>
      </w:r>
      <w:r w:rsidR="00D52033">
        <w:rPr>
          <w:rFonts w:ascii="Book Antiqua" w:hAnsi="Book Antiqua" w:cstheme="majorBidi"/>
          <w:sz w:val="24"/>
          <w:szCs w:val="24"/>
        </w:rPr>
        <w:t>pour</w:t>
      </w:r>
      <w:r w:rsidR="005154A3">
        <w:rPr>
          <w:rFonts w:ascii="Book Antiqua" w:hAnsi="Book Antiqua" w:cstheme="majorBidi"/>
          <w:sz w:val="24"/>
          <w:szCs w:val="24"/>
        </w:rPr>
        <w:t xml:space="preserve"> </w:t>
      </w:r>
      <w:r w:rsidR="00C13AC5" w:rsidRPr="00BD4B64">
        <w:rPr>
          <w:rFonts w:ascii="Book Antiqua" w:hAnsi="Book Antiqua" w:cstheme="majorBidi"/>
          <w:sz w:val="24"/>
          <w:szCs w:val="24"/>
        </w:rPr>
        <w:t xml:space="preserve">les femmes et de 0,3 point </w:t>
      </w:r>
      <w:r w:rsidR="00D52033">
        <w:rPr>
          <w:rFonts w:ascii="Book Antiqua" w:hAnsi="Book Antiqua" w:cstheme="majorBidi"/>
          <w:sz w:val="24"/>
          <w:szCs w:val="24"/>
        </w:rPr>
        <w:t>pour</w:t>
      </w:r>
      <w:r w:rsidR="005154A3">
        <w:rPr>
          <w:rFonts w:ascii="Book Antiqua" w:hAnsi="Book Antiqua" w:cstheme="majorBidi"/>
          <w:sz w:val="24"/>
          <w:szCs w:val="24"/>
        </w:rPr>
        <w:t xml:space="preserve"> </w:t>
      </w:r>
      <w:r w:rsidR="008865DA" w:rsidRPr="00BD4B64">
        <w:rPr>
          <w:rFonts w:ascii="Book Antiqua" w:hAnsi="Book Antiqua" w:cstheme="majorBidi"/>
          <w:sz w:val="24"/>
          <w:szCs w:val="24"/>
        </w:rPr>
        <w:t>les hommes</w:t>
      </w:r>
      <w:r w:rsidR="00C13AC5" w:rsidRPr="00BD4B64">
        <w:rPr>
          <w:rFonts w:ascii="Book Antiqua" w:hAnsi="Book Antiqua" w:cstheme="majorBidi"/>
          <w:sz w:val="24"/>
          <w:szCs w:val="24"/>
        </w:rPr>
        <w:t>.</w:t>
      </w:r>
    </w:p>
    <w:p w:rsidR="008865DA" w:rsidRPr="00BD4B64" w:rsidRDefault="008865DA" w:rsidP="008865DA">
      <w:pPr>
        <w:spacing w:line="259" w:lineRule="auto"/>
        <w:jc w:val="center"/>
        <w:rPr>
          <w:rFonts w:ascii="Book Antiqua" w:hAnsi="Book Antiqua" w:cs="Times New Roman"/>
          <w:b/>
          <w:bCs/>
          <w:sz w:val="20"/>
          <w:szCs w:val="20"/>
        </w:rPr>
      </w:pPr>
      <w:r w:rsidRPr="00BD4B64">
        <w:rPr>
          <w:rFonts w:ascii="Book Antiqua" w:eastAsia="Book Antiqua" w:hAnsi="Book Antiqua" w:cs="Book Antiqua"/>
          <w:b/>
          <w:sz w:val="20"/>
          <w:szCs w:val="20"/>
        </w:rPr>
        <w:t>Graphique 2 : Evolution du taux d’emploi depuis l’année 2017</w:t>
      </w:r>
      <w:r w:rsidR="00840838">
        <w:rPr>
          <w:rFonts w:ascii="Book Antiqua" w:eastAsia="Book Antiqua" w:hAnsi="Book Antiqua" w:cs="Book Antiqua"/>
          <w:b/>
          <w:sz w:val="20"/>
          <w:szCs w:val="20"/>
        </w:rPr>
        <w:t xml:space="preserve"> </w:t>
      </w:r>
      <w:r w:rsidRPr="00BD4B64">
        <w:rPr>
          <w:rFonts w:ascii="Book Antiqua" w:eastAsia="Book Antiqua" w:hAnsi="Book Antiqua" w:cs="Book Antiqua"/>
          <w:b/>
          <w:sz w:val="20"/>
          <w:szCs w:val="20"/>
        </w:rPr>
        <w:t>(en %).</w:t>
      </w:r>
    </w:p>
    <w:p w:rsidR="008865DA" w:rsidRPr="00BD4B64" w:rsidRDefault="00B95F61" w:rsidP="008865DA">
      <w:pPr>
        <w:spacing w:before="240" w:line="312" w:lineRule="auto"/>
        <w:jc w:val="center"/>
        <w:rPr>
          <w:rFonts w:ascii="Book Antiqua" w:hAnsi="Book Antiqua"/>
        </w:rPr>
      </w:pPr>
      <w:r w:rsidRPr="00BD4B64">
        <w:rPr>
          <w:rFonts w:ascii="Book Antiqua" w:hAnsi="Book Antiqua"/>
          <w:noProof/>
        </w:rPr>
        <w:drawing>
          <wp:inline distT="0" distB="0" distL="0" distR="0">
            <wp:extent cx="5009927" cy="1626920"/>
            <wp:effectExtent l="0" t="0" r="0" b="0"/>
            <wp:docPr id="19" name="Graphique 10">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81461EC6-8CB1-41F8-B2E9-7536A8542A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827D6" w:rsidRPr="00BD4B64" w:rsidRDefault="004827D6" w:rsidP="008865DA">
      <w:pPr>
        <w:spacing w:before="240" w:after="240" w:line="312" w:lineRule="auto"/>
        <w:jc w:val="both"/>
        <w:rPr>
          <w:rFonts w:ascii="Book Antiqua" w:eastAsia="Book Antiqua" w:hAnsi="Book Antiqua" w:cs="Book Antiqua"/>
          <w:b/>
          <w:bCs/>
          <w:color w:val="8496B0" w:themeColor="text2" w:themeTint="99"/>
          <w:sz w:val="26"/>
          <w:szCs w:val="26"/>
        </w:rPr>
      </w:pPr>
    </w:p>
    <w:p w:rsidR="004827D6" w:rsidRPr="00BD4B64" w:rsidRDefault="004827D6" w:rsidP="008865DA">
      <w:pPr>
        <w:spacing w:before="240" w:after="240" w:line="312" w:lineRule="auto"/>
        <w:jc w:val="both"/>
        <w:rPr>
          <w:rFonts w:ascii="Book Antiqua" w:eastAsia="Book Antiqua" w:hAnsi="Book Antiqua" w:cs="Book Antiqua"/>
          <w:b/>
          <w:bCs/>
          <w:color w:val="8496B0" w:themeColor="text2" w:themeTint="99"/>
          <w:sz w:val="26"/>
          <w:szCs w:val="26"/>
        </w:rPr>
      </w:pPr>
    </w:p>
    <w:p w:rsidR="008865DA" w:rsidRPr="00BD4B64" w:rsidRDefault="009D6CEE" w:rsidP="009D6CEE">
      <w:pPr>
        <w:spacing w:before="240" w:after="240" w:line="312" w:lineRule="auto"/>
        <w:jc w:val="both"/>
        <w:rPr>
          <w:rFonts w:ascii="Book Antiqua" w:eastAsia="Book Antiqua" w:hAnsi="Book Antiqua" w:cs="Book Antiqua"/>
          <w:b/>
          <w:bCs/>
          <w:color w:val="8496B0" w:themeColor="text2" w:themeTint="99"/>
          <w:sz w:val="26"/>
          <w:szCs w:val="26"/>
        </w:rPr>
      </w:pPr>
      <w:r w:rsidRPr="009D6CEE">
        <w:rPr>
          <w:rFonts w:ascii="Book Antiqua" w:eastAsia="Book Antiqua" w:hAnsi="Book Antiqua" w:cs="Book Antiqua"/>
          <w:b/>
          <w:bCs/>
          <w:color w:val="8496B0" w:themeColor="text2" w:themeTint="99"/>
          <w:sz w:val="26"/>
          <w:szCs w:val="26"/>
        </w:rPr>
        <w:lastRenderedPageBreak/>
        <w:t>Perte de l’emploi</w:t>
      </w:r>
      <w:r>
        <w:rPr>
          <w:rFonts w:ascii="Book Antiqua" w:eastAsia="Book Antiqua" w:hAnsi="Book Antiqua" w:cs="Book Antiqua"/>
          <w:b/>
          <w:bCs/>
          <w:color w:val="8496B0" w:themeColor="text2" w:themeTint="99"/>
          <w:sz w:val="26"/>
          <w:szCs w:val="26"/>
        </w:rPr>
        <w:t>,</w:t>
      </w:r>
      <w:r w:rsidR="002B0766">
        <w:rPr>
          <w:rFonts w:ascii="Book Antiqua" w:eastAsia="Book Antiqua" w:hAnsi="Book Antiqua" w:cs="Book Antiqua"/>
          <w:b/>
          <w:bCs/>
          <w:color w:val="8496B0" w:themeColor="text2" w:themeTint="99"/>
          <w:sz w:val="26"/>
          <w:szCs w:val="26"/>
        </w:rPr>
        <w:t xml:space="preserve"> </w:t>
      </w:r>
      <w:r w:rsidR="00C13AC5" w:rsidRPr="009D6CEE">
        <w:rPr>
          <w:rFonts w:ascii="Book Antiqua" w:eastAsia="Book Antiqua" w:hAnsi="Book Antiqua" w:cs="Book Antiqua"/>
          <w:b/>
          <w:bCs/>
          <w:color w:val="8496B0" w:themeColor="text2" w:themeTint="99"/>
          <w:sz w:val="26"/>
          <w:szCs w:val="26"/>
        </w:rPr>
        <w:t>exclusivement</w:t>
      </w:r>
      <w:r w:rsidR="002B0766">
        <w:rPr>
          <w:rFonts w:ascii="Book Antiqua" w:eastAsia="Book Antiqua" w:hAnsi="Book Antiqua" w:cs="Book Antiqua"/>
          <w:b/>
          <w:bCs/>
          <w:color w:val="8496B0" w:themeColor="text2" w:themeTint="99"/>
          <w:sz w:val="26"/>
          <w:szCs w:val="26"/>
        </w:rPr>
        <w:t xml:space="preserve"> </w:t>
      </w:r>
      <w:r>
        <w:rPr>
          <w:rFonts w:ascii="Book Antiqua" w:eastAsia="Book Antiqua" w:hAnsi="Book Antiqua" w:cs="Book Antiqua"/>
          <w:b/>
          <w:bCs/>
          <w:color w:val="8496B0" w:themeColor="text2" w:themeTint="99"/>
          <w:sz w:val="26"/>
          <w:szCs w:val="26"/>
        </w:rPr>
        <w:t>en milieu rural</w:t>
      </w:r>
    </w:p>
    <w:p w:rsidR="008865DA" w:rsidRPr="00BD4B64" w:rsidRDefault="008865DA" w:rsidP="00DD5608">
      <w:pPr>
        <w:spacing w:before="240" w:after="240" w:line="312" w:lineRule="auto"/>
        <w:jc w:val="both"/>
        <w:rPr>
          <w:rFonts w:ascii="Book Antiqua" w:hAnsi="Book Antiqua" w:cstheme="majorBidi"/>
          <w:sz w:val="24"/>
          <w:szCs w:val="24"/>
        </w:rPr>
      </w:pPr>
      <w:r w:rsidRPr="00BD4B64">
        <w:rPr>
          <w:rFonts w:ascii="Book Antiqua" w:hAnsi="Book Antiqua" w:cstheme="majorBidi"/>
          <w:sz w:val="24"/>
          <w:szCs w:val="24"/>
        </w:rPr>
        <w:t>Après une création de 230.000 postes d’emploi une année auparavant, l’économie nationale a perdu</w:t>
      </w:r>
      <w:r w:rsidR="00D52033">
        <w:rPr>
          <w:rFonts w:ascii="Book Antiqua" w:hAnsi="Book Antiqua" w:cstheme="majorBidi"/>
          <w:sz w:val="24"/>
          <w:szCs w:val="24"/>
        </w:rPr>
        <w:t>, en 2022,</w:t>
      </w:r>
      <w:r w:rsidRPr="00BD4B64">
        <w:rPr>
          <w:rFonts w:ascii="Book Antiqua" w:hAnsi="Book Antiqua" w:cstheme="majorBidi"/>
          <w:sz w:val="24"/>
          <w:szCs w:val="24"/>
        </w:rPr>
        <w:t xml:space="preserve"> 24.000 postes, résultat d’une création de 150.000 postes en milieu urbain et </w:t>
      </w:r>
      <w:r w:rsidR="001B5767" w:rsidRPr="00BD4B64">
        <w:rPr>
          <w:rFonts w:ascii="Book Antiqua" w:hAnsi="Book Antiqua" w:cstheme="majorBidi"/>
          <w:sz w:val="24"/>
          <w:szCs w:val="24"/>
        </w:rPr>
        <w:t>d’</w:t>
      </w:r>
      <w:r w:rsidRPr="00BD4B64">
        <w:rPr>
          <w:rFonts w:ascii="Book Antiqua" w:hAnsi="Book Antiqua" w:cstheme="majorBidi"/>
          <w:sz w:val="24"/>
          <w:szCs w:val="24"/>
        </w:rPr>
        <w:t>une perte de 174.000 en milieu rural.</w:t>
      </w:r>
    </w:p>
    <w:p w:rsidR="008865DA" w:rsidRPr="00BD4B64" w:rsidRDefault="008865DA" w:rsidP="004827D6">
      <w:pPr>
        <w:spacing w:before="240" w:after="240" w:line="312" w:lineRule="auto"/>
        <w:jc w:val="both"/>
        <w:rPr>
          <w:rFonts w:ascii="Book Antiqua" w:hAnsi="Book Antiqua" w:cstheme="majorBidi"/>
          <w:sz w:val="24"/>
          <w:szCs w:val="24"/>
        </w:rPr>
      </w:pPr>
      <w:r w:rsidRPr="00BD4B64">
        <w:rPr>
          <w:rFonts w:ascii="Book Antiqua" w:hAnsi="Book Antiqua" w:cstheme="majorBidi"/>
          <w:sz w:val="24"/>
          <w:szCs w:val="24"/>
        </w:rPr>
        <w:t xml:space="preserve">Par type d’emploi, 136.000 postes d’emplois rémunérés ont été créés, résultat d’une création de 161.000 </w:t>
      </w:r>
      <w:r w:rsidR="00C264DA">
        <w:rPr>
          <w:rFonts w:ascii="Book Antiqua" w:hAnsi="Book Antiqua" w:cstheme="majorBidi"/>
          <w:sz w:val="24"/>
          <w:szCs w:val="24"/>
        </w:rPr>
        <w:t xml:space="preserve">postes </w:t>
      </w:r>
      <w:r w:rsidRPr="00BD4B64">
        <w:rPr>
          <w:rFonts w:ascii="Book Antiqua" w:hAnsi="Book Antiqua" w:cstheme="majorBidi"/>
          <w:sz w:val="24"/>
          <w:szCs w:val="24"/>
        </w:rPr>
        <w:t xml:space="preserve">en milieu urbain et </w:t>
      </w:r>
      <w:r w:rsidR="00C264DA">
        <w:rPr>
          <w:rFonts w:ascii="Book Antiqua" w:hAnsi="Book Antiqua" w:cstheme="majorBidi"/>
          <w:sz w:val="24"/>
          <w:szCs w:val="24"/>
        </w:rPr>
        <w:t>d’</w:t>
      </w:r>
      <w:r w:rsidRPr="00BD4B64">
        <w:rPr>
          <w:rFonts w:ascii="Book Antiqua" w:hAnsi="Book Antiqua" w:cstheme="majorBidi"/>
          <w:sz w:val="24"/>
          <w:szCs w:val="24"/>
        </w:rPr>
        <w:t>une perte de 25.000 en milieu rural. L’emploi non rémunéré a</w:t>
      </w:r>
      <w:r w:rsidR="00C264DA">
        <w:rPr>
          <w:rFonts w:ascii="Book Antiqua" w:hAnsi="Book Antiqua" w:cstheme="majorBidi"/>
          <w:sz w:val="24"/>
          <w:szCs w:val="24"/>
        </w:rPr>
        <w:t>, de son côté,</w:t>
      </w:r>
      <w:r w:rsidR="002B5B52">
        <w:rPr>
          <w:rFonts w:ascii="Book Antiqua" w:hAnsi="Book Antiqua" w:cstheme="majorBidi"/>
          <w:sz w:val="24"/>
          <w:szCs w:val="24"/>
        </w:rPr>
        <w:t xml:space="preserve"> </w:t>
      </w:r>
      <w:r w:rsidR="00C264DA">
        <w:rPr>
          <w:rFonts w:ascii="Book Antiqua" w:hAnsi="Book Antiqua" w:cstheme="majorBidi"/>
          <w:sz w:val="24"/>
          <w:szCs w:val="24"/>
        </w:rPr>
        <w:t>connu une baisse</w:t>
      </w:r>
      <w:r w:rsidR="002B5B52">
        <w:rPr>
          <w:rFonts w:ascii="Book Antiqua" w:hAnsi="Book Antiqua" w:cstheme="majorBidi"/>
          <w:sz w:val="24"/>
          <w:szCs w:val="24"/>
        </w:rPr>
        <w:t xml:space="preserve"> </w:t>
      </w:r>
      <w:r w:rsidRPr="00BD4B64">
        <w:rPr>
          <w:rFonts w:ascii="Book Antiqua" w:hAnsi="Book Antiqua" w:cstheme="majorBidi"/>
          <w:sz w:val="24"/>
          <w:szCs w:val="24"/>
        </w:rPr>
        <w:t xml:space="preserve">de 160.000 postes, due essentiellement </w:t>
      </w:r>
      <w:r w:rsidR="00C264DA">
        <w:rPr>
          <w:rFonts w:ascii="Book Antiqua" w:hAnsi="Book Antiqua" w:cstheme="majorBidi"/>
          <w:sz w:val="24"/>
          <w:szCs w:val="24"/>
        </w:rPr>
        <w:t>au recul</w:t>
      </w:r>
      <w:r w:rsidR="004827D6" w:rsidRPr="00BD4B64">
        <w:rPr>
          <w:rFonts w:ascii="Book Antiqua" w:hAnsi="Book Antiqua" w:cstheme="majorBidi"/>
          <w:sz w:val="24"/>
          <w:szCs w:val="24"/>
        </w:rPr>
        <w:t xml:space="preserve"> de ce type d’emploi en</w:t>
      </w:r>
      <w:r w:rsidRPr="00BD4B64">
        <w:rPr>
          <w:rFonts w:ascii="Book Antiqua" w:hAnsi="Book Antiqua" w:cstheme="majorBidi"/>
          <w:sz w:val="24"/>
          <w:szCs w:val="24"/>
        </w:rPr>
        <w:t xml:space="preserve"> milieu rural</w:t>
      </w:r>
      <w:r w:rsidR="00C264DA">
        <w:rPr>
          <w:rFonts w:ascii="Book Antiqua" w:hAnsi="Book Antiqua" w:cstheme="majorBidi"/>
          <w:sz w:val="24"/>
          <w:szCs w:val="24"/>
        </w:rPr>
        <w:t xml:space="preserve"> de </w:t>
      </w:r>
      <w:r w:rsidRPr="00BD4B64">
        <w:rPr>
          <w:rFonts w:ascii="Book Antiqua" w:hAnsi="Book Antiqua" w:cstheme="majorBidi"/>
          <w:sz w:val="24"/>
          <w:szCs w:val="24"/>
        </w:rPr>
        <w:t>150.000 postes.</w:t>
      </w:r>
    </w:p>
    <w:p w:rsidR="008865DA" w:rsidRPr="00BD4B64" w:rsidRDefault="008865DA" w:rsidP="008865DA">
      <w:pPr>
        <w:rPr>
          <w:rFonts w:ascii="Book Antiqua" w:eastAsia="Book Antiqua" w:hAnsi="Book Antiqua" w:cs="Book Antiqua"/>
          <w:b/>
          <w:color w:val="0D0D0D" w:themeColor="text1" w:themeTint="F2"/>
          <w:sz w:val="20"/>
          <w:szCs w:val="20"/>
        </w:rPr>
      </w:pPr>
      <w:r w:rsidRPr="00BD4B64">
        <w:rPr>
          <w:rFonts w:ascii="Book Antiqua" w:eastAsia="Book Antiqua" w:hAnsi="Book Antiqua" w:cs="Book Antiqua"/>
          <w:b/>
          <w:color w:val="0D0D0D" w:themeColor="text1" w:themeTint="F2"/>
          <w:sz w:val="20"/>
          <w:szCs w:val="20"/>
        </w:rPr>
        <w:t>Graphique 3 : Variation nette d’emploi entre 2021 et 2022 selon le type d’emploi et le milieu de résidence.</w:t>
      </w:r>
    </w:p>
    <w:p w:rsidR="008865DA" w:rsidRPr="00BD4B64" w:rsidRDefault="008865DA" w:rsidP="008865DA">
      <w:pPr>
        <w:rPr>
          <w:rFonts w:ascii="Book Antiqua" w:eastAsia="Book Antiqua" w:hAnsi="Book Antiqua" w:cs="Book Antiqua"/>
          <w:b/>
          <w:color w:val="0D0D0D" w:themeColor="text1" w:themeTint="F2"/>
          <w:sz w:val="20"/>
          <w:szCs w:val="20"/>
        </w:rPr>
      </w:pPr>
    </w:p>
    <w:p w:rsidR="008865DA" w:rsidRPr="00BD4B64" w:rsidRDefault="008865DA" w:rsidP="008865DA">
      <w:pPr>
        <w:jc w:val="center"/>
        <w:rPr>
          <w:rFonts w:ascii="Book Antiqua" w:eastAsia="Book Antiqua" w:hAnsi="Book Antiqua" w:cs="Book Antiqua"/>
          <w:color w:val="0070C0"/>
          <w:sz w:val="24"/>
          <w:szCs w:val="24"/>
        </w:rPr>
      </w:pPr>
      <w:r w:rsidRPr="00BD4B64">
        <w:rPr>
          <w:noProof/>
        </w:rPr>
        <w:drawing>
          <wp:inline distT="0" distB="0" distL="0" distR="0">
            <wp:extent cx="5455252" cy="1923803"/>
            <wp:effectExtent l="0" t="0" r="0" b="0"/>
            <wp:docPr id="8"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865DA" w:rsidRPr="00BD4B64" w:rsidRDefault="008865DA" w:rsidP="008865DA">
      <w:pPr>
        <w:spacing w:after="160" w:line="259" w:lineRule="auto"/>
        <w:rPr>
          <w:rFonts w:ascii="Book Antiqua" w:eastAsia="Book Antiqua" w:hAnsi="Book Antiqua" w:cs="Book Antiqua"/>
          <w:b/>
          <w:bCs/>
          <w:color w:val="8496B0" w:themeColor="text2" w:themeTint="99"/>
          <w:sz w:val="26"/>
          <w:szCs w:val="26"/>
        </w:rPr>
      </w:pPr>
    </w:p>
    <w:p w:rsidR="008865DA" w:rsidRPr="00BD4B64" w:rsidRDefault="008865DA" w:rsidP="008865DA">
      <w:pPr>
        <w:spacing w:after="240" w:line="312" w:lineRule="auto"/>
        <w:jc w:val="both"/>
        <w:rPr>
          <w:rFonts w:ascii="Book Antiqua" w:eastAsia="Book Antiqua" w:hAnsi="Book Antiqua" w:cs="Book Antiqua"/>
          <w:b/>
          <w:bCs/>
          <w:color w:val="8496B0" w:themeColor="text2" w:themeTint="99"/>
          <w:sz w:val="26"/>
          <w:szCs w:val="26"/>
        </w:rPr>
      </w:pPr>
      <w:r w:rsidRPr="00BD4B64">
        <w:rPr>
          <w:rFonts w:ascii="Book Antiqua" w:eastAsia="Book Antiqua" w:hAnsi="Book Antiqua" w:cs="Book Antiqua"/>
          <w:b/>
          <w:bCs/>
          <w:color w:val="8496B0" w:themeColor="text2" w:themeTint="99"/>
          <w:sz w:val="26"/>
          <w:szCs w:val="26"/>
        </w:rPr>
        <w:t>Les secteurs des services et de l’"agriculture, forêt et pêche" demeurent les premiers pourvoyeurs d'emploi</w:t>
      </w:r>
    </w:p>
    <w:p w:rsidR="008865DA" w:rsidRDefault="00701DCF" w:rsidP="00840838">
      <w:pPr>
        <w:spacing w:after="200"/>
        <w:jc w:val="both"/>
        <w:rPr>
          <w:rFonts w:ascii="Book Antiqua" w:hAnsi="Book Antiqua" w:cs="Times New Roman"/>
          <w:sz w:val="24"/>
          <w:szCs w:val="24"/>
        </w:rPr>
      </w:pPr>
      <w:r>
        <w:rPr>
          <w:rFonts w:ascii="Book Antiqua" w:hAnsi="Book Antiqua" w:cs="Times New Roman"/>
          <w:sz w:val="24"/>
          <w:szCs w:val="24"/>
        </w:rPr>
        <w:t>E</w:t>
      </w:r>
      <w:r w:rsidR="005154A3">
        <w:rPr>
          <w:rFonts w:ascii="Book Antiqua" w:hAnsi="Book Antiqua" w:cs="Times New Roman"/>
          <w:sz w:val="24"/>
          <w:szCs w:val="24"/>
        </w:rPr>
        <w:t>n 2022</w:t>
      </w:r>
      <w:r w:rsidR="00C264DA">
        <w:rPr>
          <w:rFonts w:ascii="Book Antiqua" w:hAnsi="Book Antiqua" w:cs="Times New Roman"/>
          <w:sz w:val="24"/>
          <w:szCs w:val="24"/>
        </w:rPr>
        <w:t>,</w:t>
      </w:r>
      <w:r w:rsidR="008865DA" w:rsidRPr="00BD4B64">
        <w:rPr>
          <w:rFonts w:ascii="Book Antiqua" w:hAnsi="Book Antiqua" w:cs="Times New Roman"/>
          <w:sz w:val="24"/>
          <w:szCs w:val="24"/>
        </w:rPr>
        <w:t xml:space="preserve"> </w:t>
      </w:r>
      <w:r w:rsidR="005154A3">
        <w:rPr>
          <w:rFonts w:ascii="Book Antiqua" w:hAnsi="Book Antiqua" w:cs="Times New Roman"/>
          <w:sz w:val="24"/>
          <w:szCs w:val="24"/>
        </w:rPr>
        <w:t xml:space="preserve">le secteur des "services" </w:t>
      </w:r>
      <w:r w:rsidR="002B5B52">
        <w:rPr>
          <w:rFonts w:ascii="Book Antiqua" w:hAnsi="Book Antiqua" w:cs="Times New Roman"/>
          <w:sz w:val="24"/>
          <w:szCs w:val="24"/>
        </w:rPr>
        <w:t>emploie</w:t>
      </w:r>
      <w:r w:rsidR="005154A3">
        <w:rPr>
          <w:rFonts w:ascii="Book Antiqua" w:hAnsi="Book Antiqua" w:cs="Times New Roman"/>
          <w:sz w:val="24"/>
          <w:szCs w:val="24"/>
        </w:rPr>
        <w:t xml:space="preserve"> </w:t>
      </w:r>
      <w:r w:rsidR="008865DA" w:rsidRPr="00BD4B64">
        <w:rPr>
          <w:rFonts w:ascii="Book Antiqua" w:hAnsi="Book Antiqua" w:cs="Times New Roman"/>
          <w:sz w:val="24"/>
          <w:szCs w:val="24"/>
        </w:rPr>
        <w:t>47,4%</w:t>
      </w:r>
      <w:r w:rsidR="005154A3">
        <w:rPr>
          <w:rFonts w:ascii="Book Antiqua" w:hAnsi="Book Antiqua" w:cs="Times New Roman"/>
          <w:sz w:val="24"/>
          <w:szCs w:val="24"/>
        </w:rPr>
        <w:t xml:space="preserve"> des actifs occupés</w:t>
      </w:r>
      <w:r w:rsidR="008865DA" w:rsidRPr="00BD4B64">
        <w:rPr>
          <w:rFonts w:ascii="Book Antiqua" w:hAnsi="Book Antiqua" w:cs="Times New Roman"/>
          <w:sz w:val="24"/>
          <w:szCs w:val="24"/>
        </w:rPr>
        <w:t>, suivi de l’"agriculture, forêt et pêc</w:t>
      </w:r>
      <w:r w:rsidR="005154A3">
        <w:rPr>
          <w:rFonts w:ascii="Book Antiqua" w:hAnsi="Book Antiqua" w:cs="Times New Roman"/>
          <w:sz w:val="24"/>
          <w:szCs w:val="24"/>
        </w:rPr>
        <w:t>he" avec 29,3%. L</w:t>
      </w:r>
      <w:r w:rsidR="001B5767" w:rsidRPr="00BD4B64">
        <w:rPr>
          <w:rFonts w:ascii="Book Antiqua" w:hAnsi="Book Antiqua" w:cs="Times New Roman"/>
          <w:sz w:val="24"/>
          <w:szCs w:val="24"/>
        </w:rPr>
        <w:t>’"</w:t>
      </w:r>
      <w:r w:rsidR="001B5767" w:rsidRPr="00992729">
        <w:rPr>
          <w:rFonts w:ascii="Book Antiqua" w:hAnsi="Book Antiqua" w:cs="Times New Roman"/>
          <w:sz w:val="24"/>
          <w:szCs w:val="24"/>
        </w:rPr>
        <w:t>industrie</w:t>
      </w:r>
      <w:r w:rsidR="002B5B52">
        <w:rPr>
          <w:rFonts w:ascii="Book Antiqua" w:hAnsi="Book Antiqua" w:cs="Times New Roman"/>
          <w:sz w:val="24"/>
          <w:szCs w:val="24"/>
        </w:rPr>
        <w:t xml:space="preserve"> </w:t>
      </w:r>
      <w:r w:rsidR="00225147" w:rsidRPr="000E1598">
        <w:rPr>
          <w:rFonts w:ascii="Book Antiqua" w:hAnsi="Book Antiqua" w:cs="Times New Roman"/>
          <w:sz w:val="24"/>
          <w:szCs w:val="24"/>
        </w:rPr>
        <w:t>y compris l’artisanat</w:t>
      </w:r>
      <w:r w:rsidR="008865DA" w:rsidRPr="00992729">
        <w:rPr>
          <w:rFonts w:ascii="Book Antiqua" w:hAnsi="Book Antiqua" w:cs="Times New Roman"/>
          <w:sz w:val="24"/>
          <w:szCs w:val="24"/>
        </w:rPr>
        <w:t>"</w:t>
      </w:r>
      <w:r w:rsidR="005154A3">
        <w:rPr>
          <w:rFonts w:ascii="Book Antiqua" w:hAnsi="Book Antiqua" w:cs="Times New Roman"/>
          <w:sz w:val="24"/>
          <w:szCs w:val="24"/>
        </w:rPr>
        <w:t xml:space="preserve">, </w:t>
      </w:r>
      <w:r>
        <w:rPr>
          <w:rFonts w:ascii="Book Antiqua" w:hAnsi="Book Antiqua" w:cs="Times New Roman"/>
          <w:sz w:val="24"/>
          <w:szCs w:val="24"/>
        </w:rPr>
        <w:t xml:space="preserve">contribue, </w:t>
      </w:r>
      <w:r w:rsidR="005154A3">
        <w:rPr>
          <w:rFonts w:ascii="Book Antiqua" w:hAnsi="Book Antiqua" w:cs="Times New Roman"/>
          <w:sz w:val="24"/>
          <w:szCs w:val="24"/>
        </w:rPr>
        <w:t xml:space="preserve">de son côté, pour </w:t>
      </w:r>
      <w:r w:rsidR="008865DA" w:rsidRPr="00BB745B">
        <w:rPr>
          <w:rFonts w:ascii="Book Antiqua" w:hAnsi="Book Antiqua" w:cs="Times New Roman"/>
          <w:sz w:val="24"/>
          <w:szCs w:val="24"/>
        </w:rPr>
        <w:t>12</w:t>
      </w:r>
      <w:r w:rsidR="00BB745B" w:rsidRPr="00BB745B">
        <w:rPr>
          <w:rFonts w:ascii="Book Antiqua" w:hAnsi="Book Antiqua" w:cs="Times New Roman"/>
          <w:sz w:val="24"/>
          <w:szCs w:val="24"/>
        </w:rPr>
        <w:t>%</w:t>
      </w:r>
      <w:r w:rsidR="00057912">
        <w:rPr>
          <w:rFonts w:ascii="Book Antiqua" w:hAnsi="Book Antiqua" w:cs="Times New Roman"/>
          <w:sz w:val="24"/>
          <w:szCs w:val="24"/>
        </w:rPr>
        <w:t>,</w:t>
      </w:r>
      <w:r w:rsidR="005F50A5">
        <w:rPr>
          <w:rFonts w:ascii="Book Antiqua" w:hAnsi="Book Antiqua" w:cs="Times New Roman"/>
          <w:sz w:val="24"/>
          <w:szCs w:val="24"/>
        </w:rPr>
        <w:t xml:space="preserve"> </w:t>
      </w:r>
      <w:r w:rsidR="005F50A5" w:rsidRPr="00082582">
        <w:rPr>
          <w:rFonts w:ascii="Book Antiqua" w:hAnsi="Book Antiqua" w:cs="Times New Roman"/>
          <w:sz w:val="24"/>
          <w:szCs w:val="24"/>
        </w:rPr>
        <w:t xml:space="preserve">avec </w:t>
      </w:r>
      <w:r w:rsidR="008865DA" w:rsidRPr="00082582">
        <w:rPr>
          <w:rFonts w:ascii="Book Antiqua" w:hAnsi="Book Antiqua" w:cs="Times New Roman"/>
          <w:sz w:val="24"/>
          <w:szCs w:val="24"/>
        </w:rPr>
        <w:t>4</w:t>
      </w:r>
      <w:r w:rsidR="00C16D6A" w:rsidRPr="00082582">
        <w:rPr>
          <w:rFonts w:ascii="Book Antiqua" w:hAnsi="Book Antiqua" w:cs="Times New Roman"/>
          <w:sz w:val="24"/>
          <w:szCs w:val="24"/>
        </w:rPr>
        <w:t>5</w:t>
      </w:r>
      <w:r w:rsidR="008865DA" w:rsidRPr="00082582">
        <w:rPr>
          <w:rFonts w:ascii="Book Antiqua" w:hAnsi="Book Antiqua" w:cs="Times New Roman"/>
          <w:sz w:val="24"/>
          <w:szCs w:val="24"/>
        </w:rPr>
        <w:t>,6%</w:t>
      </w:r>
      <w:r w:rsidR="006E542F" w:rsidRPr="00082582">
        <w:rPr>
          <w:rFonts w:ascii="Book Antiqua" w:hAnsi="Book Antiqua" w:cs="Times New Roman"/>
          <w:sz w:val="24"/>
          <w:szCs w:val="24"/>
          <w:vertAlign w:val="superscript"/>
        </w:rPr>
        <w:footnoteReference w:id="2"/>
      </w:r>
      <w:r w:rsidR="002B0766" w:rsidRPr="00082582">
        <w:rPr>
          <w:rFonts w:ascii="Book Antiqua" w:hAnsi="Book Antiqua" w:cs="Times New Roman"/>
          <w:sz w:val="24"/>
          <w:szCs w:val="24"/>
        </w:rPr>
        <w:t xml:space="preserve"> </w:t>
      </w:r>
      <w:r w:rsidR="00BB745B" w:rsidRPr="00082582">
        <w:rPr>
          <w:rFonts w:ascii="Book Antiqua" w:hAnsi="Book Antiqua" w:cs="Times New Roman"/>
          <w:sz w:val="24"/>
          <w:szCs w:val="24"/>
        </w:rPr>
        <w:t xml:space="preserve">des emplois </w:t>
      </w:r>
      <w:r w:rsidRPr="00082582">
        <w:rPr>
          <w:rFonts w:ascii="Book Antiqua" w:hAnsi="Book Antiqua" w:cs="Times New Roman"/>
          <w:sz w:val="24"/>
          <w:szCs w:val="24"/>
        </w:rPr>
        <w:t xml:space="preserve">de ce </w:t>
      </w:r>
      <w:r w:rsidR="00BB745B" w:rsidRPr="00082582">
        <w:rPr>
          <w:rFonts w:ascii="Book Antiqua" w:hAnsi="Book Antiqua" w:cs="Times New Roman"/>
          <w:sz w:val="24"/>
          <w:szCs w:val="24"/>
        </w:rPr>
        <w:t xml:space="preserve">secteur </w:t>
      </w:r>
      <w:r w:rsidR="00057912" w:rsidRPr="00082582">
        <w:rPr>
          <w:rFonts w:ascii="Book Antiqua" w:hAnsi="Book Antiqua" w:cs="Times New Roman"/>
          <w:sz w:val="24"/>
          <w:szCs w:val="24"/>
        </w:rPr>
        <w:t>provenant</w:t>
      </w:r>
      <w:r w:rsidR="00BB745B" w:rsidRPr="00082582">
        <w:rPr>
          <w:rFonts w:ascii="Book Antiqua" w:hAnsi="Book Antiqua" w:cs="Times New Roman"/>
          <w:sz w:val="24"/>
          <w:szCs w:val="24"/>
        </w:rPr>
        <w:t xml:space="preserve"> </w:t>
      </w:r>
      <w:r w:rsidR="008865DA" w:rsidRPr="00082582">
        <w:rPr>
          <w:rFonts w:ascii="Book Antiqua" w:hAnsi="Book Antiqua" w:cs="Times New Roman"/>
          <w:sz w:val="24"/>
          <w:szCs w:val="24"/>
        </w:rPr>
        <w:t>des activités artisanales</w:t>
      </w:r>
      <w:r w:rsidR="00BB745B" w:rsidRPr="00082582">
        <w:rPr>
          <w:rFonts w:ascii="Book Antiqua" w:hAnsi="Book Antiqua" w:cs="Times New Roman"/>
          <w:sz w:val="24"/>
          <w:szCs w:val="24"/>
        </w:rPr>
        <w:t>.</w:t>
      </w:r>
      <w:r w:rsidR="00BB745B">
        <w:rPr>
          <w:rFonts w:ascii="Book Antiqua" w:hAnsi="Book Antiqua" w:cs="Times New Roman"/>
          <w:sz w:val="24"/>
          <w:szCs w:val="24"/>
        </w:rPr>
        <w:t xml:space="preserve"> </w:t>
      </w:r>
      <w:r>
        <w:rPr>
          <w:rFonts w:ascii="Book Antiqua" w:hAnsi="Book Antiqua" w:cs="Times New Roman"/>
          <w:sz w:val="24"/>
          <w:szCs w:val="24"/>
        </w:rPr>
        <w:t>L</w:t>
      </w:r>
      <w:r w:rsidR="00BB745B">
        <w:rPr>
          <w:rFonts w:ascii="Book Antiqua" w:hAnsi="Book Antiqua" w:cs="Times New Roman"/>
          <w:sz w:val="24"/>
          <w:szCs w:val="24"/>
        </w:rPr>
        <w:t>e secteur</w:t>
      </w:r>
      <w:r>
        <w:rPr>
          <w:rFonts w:ascii="Book Antiqua" w:hAnsi="Book Antiqua" w:cs="Times New Roman"/>
          <w:sz w:val="24"/>
          <w:szCs w:val="24"/>
        </w:rPr>
        <w:t xml:space="preserve"> des BTP</w:t>
      </w:r>
      <w:r w:rsidRPr="00701DCF">
        <w:rPr>
          <w:rFonts w:ascii="Book Antiqua" w:hAnsi="Book Antiqua" w:cs="Times New Roman"/>
          <w:sz w:val="24"/>
          <w:szCs w:val="24"/>
        </w:rPr>
        <w:t xml:space="preserve"> </w:t>
      </w:r>
      <w:r>
        <w:rPr>
          <w:rFonts w:ascii="Book Antiqua" w:hAnsi="Book Antiqua" w:cs="Times New Roman"/>
          <w:sz w:val="24"/>
          <w:szCs w:val="24"/>
        </w:rPr>
        <w:t>emploie, quant</w:t>
      </w:r>
      <w:r w:rsidR="00840838">
        <w:rPr>
          <w:rFonts w:ascii="Book Antiqua" w:hAnsi="Book Antiqua" w:cs="Times New Roman"/>
          <w:sz w:val="24"/>
          <w:szCs w:val="24"/>
        </w:rPr>
        <w:t xml:space="preserve"> </w:t>
      </w:r>
      <w:r>
        <w:rPr>
          <w:rFonts w:ascii="Book Antiqua" w:hAnsi="Book Antiqua" w:cs="Times New Roman"/>
          <w:sz w:val="24"/>
          <w:szCs w:val="24"/>
        </w:rPr>
        <w:t xml:space="preserve">à lui, 11,2% des actifs occupés. </w:t>
      </w:r>
    </w:p>
    <w:p w:rsidR="008865DA" w:rsidRPr="00BD4B64" w:rsidRDefault="008865DA" w:rsidP="004827D6">
      <w:pPr>
        <w:spacing w:after="240" w:line="312" w:lineRule="auto"/>
        <w:jc w:val="both"/>
        <w:rPr>
          <w:rFonts w:ascii="Book Antiqua" w:hAnsi="Book Antiqua" w:cs="Times New Roman"/>
          <w:sz w:val="24"/>
          <w:szCs w:val="24"/>
        </w:rPr>
      </w:pPr>
      <w:r w:rsidRPr="00BD4B64">
        <w:rPr>
          <w:rFonts w:ascii="Book Antiqua" w:hAnsi="Book Antiqua" w:cs="Times New Roman"/>
          <w:sz w:val="24"/>
          <w:szCs w:val="24"/>
        </w:rPr>
        <w:t xml:space="preserve">Près de </w:t>
      </w:r>
      <w:r w:rsidR="004827D6" w:rsidRPr="00BD4B64">
        <w:rPr>
          <w:rFonts w:ascii="Book Antiqua" w:hAnsi="Book Antiqua" w:cs="Times New Roman"/>
          <w:sz w:val="24"/>
          <w:szCs w:val="24"/>
        </w:rPr>
        <w:t>deux tiers des</w:t>
      </w:r>
      <w:r w:rsidRPr="00BD4B64">
        <w:rPr>
          <w:rFonts w:ascii="Book Antiqua" w:hAnsi="Book Antiqua" w:cs="Times New Roman"/>
          <w:sz w:val="24"/>
          <w:szCs w:val="24"/>
        </w:rPr>
        <w:t xml:space="preserve"> actifs occupés ruraux (65,8%) exercent dans le secteur de l’</w:t>
      </w:r>
      <w:r w:rsidR="00C264DA">
        <w:rPr>
          <w:rFonts w:ascii="Book Antiqua" w:hAnsi="Book Antiqua" w:cs="Times New Roman"/>
          <w:sz w:val="24"/>
          <w:szCs w:val="24"/>
        </w:rPr>
        <w:t> « </w:t>
      </w:r>
      <w:r w:rsidRPr="00BD4B64">
        <w:rPr>
          <w:rFonts w:ascii="Book Antiqua" w:hAnsi="Book Antiqua" w:cs="Times New Roman"/>
          <w:sz w:val="24"/>
          <w:szCs w:val="24"/>
        </w:rPr>
        <w:t>agriculture, forêt et pêche</w:t>
      </w:r>
      <w:r w:rsidR="00C264DA">
        <w:rPr>
          <w:rFonts w:ascii="Book Antiqua" w:hAnsi="Book Antiqua" w:cs="Times New Roman"/>
          <w:sz w:val="24"/>
          <w:szCs w:val="24"/>
        </w:rPr>
        <w:t> »</w:t>
      </w:r>
      <w:r w:rsidRPr="00BD4B64">
        <w:rPr>
          <w:rFonts w:ascii="Book Antiqua" w:hAnsi="Book Antiqua" w:cs="Times New Roman"/>
          <w:sz w:val="24"/>
          <w:szCs w:val="24"/>
        </w:rPr>
        <w:t xml:space="preserve">, et </w:t>
      </w:r>
      <w:r w:rsidR="004827D6" w:rsidRPr="00BD4B64">
        <w:rPr>
          <w:rFonts w:ascii="Book Antiqua" w:hAnsi="Book Antiqua" w:cs="Times New Roman"/>
          <w:sz w:val="24"/>
          <w:szCs w:val="24"/>
        </w:rPr>
        <w:t>les</w:t>
      </w:r>
      <w:r w:rsidRPr="00BD4B64">
        <w:rPr>
          <w:rFonts w:ascii="Book Antiqua" w:hAnsi="Book Antiqua" w:cs="Times New Roman"/>
          <w:sz w:val="24"/>
          <w:szCs w:val="24"/>
        </w:rPr>
        <w:t xml:space="preserve"> deux tiers des actifs occupés citadins (66,4%) travaillent dans le secteur des </w:t>
      </w:r>
      <w:r w:rsidR="00C264DA">
        <w:rPr>
          <w:rFonts w:ascii="Book Antiqua" w:hAnsi="Book Antiqua" w:cs="Times New Roman"/>
          <w:sz w:val="24"/>
          <w:szCs w:val="24"/>
        </w:rPr>
        <w:t>« </w:t>
      </w:r>
      <w:r w:rsidRPr="00BD4B64">
        <w:rPr>
          <w:rFonts w:ascii="Book Antiqua" w:hAnsi="Book Antiqua" w:cs="Times New Roman"/>
          <w:sz w:val="24"/>
          <w:szCs w:val="24"/>
        </w:rPr>
        <w:t>services</w:t>
      </w:r>
      <w:r w:rsidR="00C264DA">
        <w:rPr>
          <w:rFonts w:ascii="Book Antiqua" w:hAnsi="Book Antiqua" w:cs="Times New Roman"/>
          <w:sz w:val="24"/>
          <w:szCs w:val="24"/>
        </w:rPr>
        <w:t> »</w:t>
      </w:r>
      <w:r w:rsidRPr="00BD4B64">
        <w:rPr>
          <w:rFonts w:ascii="Book Antiqua" w:hAnsi="Book Antiqua" w:cs="Times New Roman"/>
          <w:sz w:val="24"/>
          <w:szCs w:val="24"/>
        </w:rPr>
        <w:t>.</w:t>
      </w:r>
    </w:p>
    <w:p w:rsidR="00225147" w:rsidRDefault="00225147">
      <w:pPr>
        <w:spacing w:after="160" w:line="259" w:lineRule="auto"/>
        <w:rPr>
          <w:rFonts w:ascii="Book Antiqua" w:eastAsia="Book Antiqua" w:hAnsi="Book Antiqua" w:cs="Book Antiqua"/>
          <w:b/>
          <w:bCs/>
          <w:color w:val="8496B0" w:themeColor="text2" w:themeTint="99"/>
          <w:sz w:val="26"/>
          <w:szCs w:val="26"/>
        </w:rPr>
      </w:pPr>
      <w:r>
        <w:rPr>
          <w:rFonts w:ascii="Book Antiqua" w:eastAsia="Book Antiqua" w:hAnsi="Book Antiqua" w:cs="Book Antiqua"/>
          <w:b/>
          <w:bCs/>
          <w:color w:val="8496B0" w:themeColor="text2" w:themeTint="99"/>
          <w:sz w:val="26"/>
          <w:szCs w:val="26"/>
        </w:rPr>
        <w:br w:type="page"/>
      </w:r>
    </w:p>
    <w:p w:rsidR="008865DA" w:rsidRPr="00BD4B64" w:rsidRDefault="008865DA" w:rsidP="008865DA">
      <w:pPr>
        <w:spacing w:before="240" w:after="240" w:line="312" w:lineRule="auto"/>
        <w:rPr>
          <w:rFonts w:ascii="Book Antiqua" w:eastAsia="Book Antiqua" w:hAnsi="Book Antiqua" w:cs="Book Antiqua"/>
          <w:b/>
          <w:bCs/>
          <w:color w:val="8496B0" w:themeColor="text2" w:themeTint="99"/>
          <w:sz w:val="26"/>
          <w:szCs w:val="26"/>
        </w:rPr>
      </w:pPr>
      <w:r w:rsidRPr="00BD4B64">
        <w:rPr>
          <w:rFonts w:ascii="Book Antiqua" w:eastAsia="Book Antiqua" w:hAnsi="Book Antiqua" w:cs="Book Antiqua"/>
          <w:b/>
          <w:bCs/>
          <w:color w:val="8496B0" w:themeColor="text2" w:themeTint="99"/>
          <w:sz w:val="26"/>
          <w:szCs w:val="26"/>
        </w:rPr>
        <w:lastRenderedPageBreak/>
        <w:t xml:space="preserve">Création sectorielle de l’emploi </w:t>
      </w:r>
    </w:p>
    <w:p w:rsidR="008865DA" w:rsidRDefault="00C264DA" w:rsidP="00876E36">
      <w:pPr>
        <w:spacing w:before="240" w:after="240" w:line="312" w:lineRule="auto"/>
        <w:jc w:val="both"/>
        <w:rPr>
          <w:rFonts w:ascii="Book Antiqua" w:eastAsia="Book Antiqua" w:hAnsi="Book Antiqua" w:cs="Book Antiqua"/>
          <w:sz w:val="24"/>
          <w:szCs w:val="24"/>
        </w:rPr>
      </w:pPr>
      <w:r>
        <w:rPr>
          <w:rFonts w:ascii="Book Antiqua" w:eastAsia="Book Antiqua" w:hAnsi="Book Antiqua" w:cs="Book Antiqua"/>
          <w:sz w:val="24"/>
          <w:szCs w:val="24"/>
        </w:rPr>
        <w:t>En 2022, l</w:t>
      </w:r>
      <w:r w:rsidR="008865DA" w:rsidRPr="00BD4B64">
        <w:rPr>
          <w:rFonts w:ascii="Book Antiqua" w:eastAsia="Book Antiqua" w:hAnsi="Book Antiqua" w:cs="Book Antiqua"/>
          <w:sz w:val="24"/>
          <w:szCs w:val="24"/>
        </w:rPr>
        <w:t>e secteur des "services"</w:t>
      </w:r>
      <w:r w:rsidR="005154A3">
        <w:rPr>
          <w:rFonts w:ascii="Book Antiqua" w:eastAsia="Book Antiqua" w:hAnsi="Book Antiqua" w:cs="Book Antiqua"/>
          <w:sz w:val="24"/>
          <w:szCs w:val="24"/>
        </w:rPr>
        <w:t xml:space="preserve"> </w:t>
      </w:r>
      <w:r w:rsidR="008865DA" w:rsidRPr="00BD4B64">
        <w:rPr>
          <w:rFonts w:ascii="Book Antiqua" w:eastAsia="Book Antiqua" w:hAnsi="Book Antiqua" w:cs="Book Antiqua"/>
          <w:sz w:val="24"/>
          <w:szCs w:val="24"/>
        </w:rPr>
        <w:t>a créé</w:t>
      </w:r>
      <w:r w:rsidR="005154A3">
        <w:rPr>
          <w:rFonts w:ascii="Book Antiqua" w:eastAsia="Book Antiqua" w:hAnsi="Book Antiqua" w:cs="Book Antiqua"/>
          <w:sz w:val="24"/>
          <w:szCs w:val="24"/>
        </w:rPr>
        <w:t xml:space="preserve"> </w:t>
      </w:r>
      <w:r w:rsidR="008865DA" w:rsidRPr="00BD4B64">
        <w:rPr>
          <w:rFonts w:ascii="Book Antiqua" w:eastAsia="Book Antiqua" w:hAnsi="Book Antiqua" w:cs="Book Antiqua"/>
          <w:sz w:val="24"/>
          <w:szCs w:val="24"/>
        </w:rPr>
        <w:t>164.000 postes d’emploi au niveau national (137.000 en milieu urbain et 28.000 en milieu rural), enregistrant une hausse de 3% de l’emploi dans ce secteur</w:t>
      </w:r>
      <w:r w:rsidR="00AD4631">
        <w:rPr>
          <w:rFonts w:ascii="Book Antiqua" w:eastAsia="Book Antiqua" w:hAnsi="Book Antiqua" w:cs="Book Antiqua"/>
          <w:sz w:val="24"/>
          <w:szCs w:val="24"/>
        </w:rPr>
        <w:t xml:space="preserve"> par rapport à 2021</w:t>
      </w:r>
      <w:r w:rsidR="008865DA" w:rsidRPr="00BD4B64">
        <w:rPr>
          <w:rFonts w:ascii="Book Antiqua" w:eastAsia="Book Antiqua" w:hAnsi="Book Antiqua" w:cs="Book Antiqua"/>
          <w:sz w:val="24"/>
          <w:szCs w:val="24"/>
        </w:rPr>
        <w:t>.</w:t>
      </w:r>
      <w:r w:rsidR="004827D6" w:rsidRPr="00BD4B64">
        <w:rPr>
          <w:rFonts w:ascii="Book Antiqua" w:eastAsia="Book Antiqua" w:hAnsi="Book Antiqua" w:cs="Book Antiqua"/>
          <w:sz w:val="24"/>
          <w:szCs w:val="24"/>
        </w:rPr>
        <w:t xml:space="preserve"> La création d</w:t>
      </w:r>
      <w:r w:rsidR="00AD4631">
        <w:rPr>
          <w:rFonts w:ascii="Book Antiqua" w:eastAsia="Book Antiqua" w:hAnsi="Book Antiqua" w:cs="Book Antiqua"/>
          <w:sz w:val="24"/>
          <w:szCs w:val="24"/>
        </w:rPr>
        <w:t>’</w:t>
      </w:r>
      <w:r w:rsidR="004827D6" w:rsidRPr="00BD4B64">
        <w:rPr>
          <w:rFonts w:ascii="Book Antiqua" w:eastAsia="Book Antiqua" w:hAnsi="Book Antiqua" w:cs="Book Antiqua"/>
          <w:sz w:val="24"/>
          <w:szCs w:val="24"/>
        </w:rPr>
        <w:t xml:space="preserve">emploi dans </w:t>
      </w:r>
      <w:r w:rsidR="00AC140C" w:rsidRPr="00BD4B64">
        <w:rPr>
          <w:rFonts w:ascii="Book Antiqua" w:eastAsia="Book Antiqua" w:hAnsi="Book Antiqua" w:cs="Book Antiqua"/>
          <w:sz w:val="24"/>
          <w:szCs w:val="24"/>
        </w:rPr>
        <w:t>ce</w:t>
      </w:r>
      <w:r w:rsidR="004827D6" w:rsidRPr="00BD4B64">
        <w:rPr>
          <w:rFonts w:ascii="Book Antiqua" w:eastAsia="Book Antiqua" w:hAnsi="Book Antiqua" w:cs="Book Antiqua"/>
          <w:sz w:val="24"/>
          <w:szCs w:val="24"/>
        </w:rPr>
        <w:t xml:space="preserve"> secteur </w:t>
      </w:r>
      <w:r w:rsidR="00AD4631">
        <w:rPr>
          <w:rFonts w:ascii="Book Antiqua" w:eastAsia="Book Antiqua" w:hAnsi="Book Antiqua" w:cs="Book Antiqua"/>
          <w:sz w:val="24"/>
          <w:szCs w:val="24"/>
        </w:rPr>
        <w:t>provient</w:t>
      </w:r>
      <w:r w:rsidR="005154A3">
        <w:rPr>
          <w:rFonts w:ascii="Book Antiqua" w:eastAsia="Book Antiqua" w:hAnsi="Book Antiqua" w:cs="Book Antiqua"/>
          <w:sz w:val="24"/>
          <w:szCs w:val="24"/>
        </w:rPr>
        <w:t xml:space="preserve"> </w:t>
      </w:r>
      <w:r w:rsidR="004827D6" w:rsidRPr="00BD4B64">
        <w:rPr>
          <w:rFonts w:ascii="Book Antiqua" w:eastAsia="Book Antiqua" w:hAnsi="Book Antiqua" w:cs="Book Antiqua"/>
          <w:sz w:val="24"/>
          <w:szCs w:val="24"/>
        </w:rPr>
        <w:t xml:space="preserve">principalement de la branche d’hébergement et restauration (+46.000 postes), </w:t>
      </w:r>
      <w:r w:rsidR="00AD4631" w:rsidRPr="00442023">
        <w:rPr>
          <w:rFonts w:ascii="Book Antiqua" w:eastAsia="Book Antiqua" w:hAnsi="Book Antiqua" w:cs="Book Antiqua"/>
          <w:sz w:val="24"/>
          <w:szCs w:val="24"/>
        </w:rPr>
        <w:t>d</w:t>
      </w:r>
      <w:r w:rsidR="00AD4631">
        <w:rPr>
          <w:rFonts w:ascii="Book Antiqua" w:eastAsia="Book Antiqua" w:hAnsi="Book Antiqua" w:cs="Book Antiqua"/>
          <w:sz w:val="24"/>
          <w:szCs w:val="24"/>
        </w:rPr>
        <w:t>u</w:t>
      </w:r>
      <w:r w:rsidR="005154A3">
        <w:rPr>
          <w:rFonts w:ascii="Book Antiqua" w:eastAsia="Book Antiqua" w:hAnsi="Book Antiqua" w:cs="Book Antiqua"/>
          <w:sz w:val="24"/>
          <w:szCs w:val="24"/>
        </w:rPr>
        <w:t xml:space="preserve"> </w:t>
      </w:r>
      <w:r w:rsidR="004827D6" w:rsidRPr="00442023">
        <w:rPr>
          <w:rFonts w:ascii="Book Antiqua" w:eastAsia="Book Antiqua" w:hAnsi="Book Antiqua" w:cs="Book Antiqua"/>
          <w:sz w:val="24"/>
          <w:szCs w:val="24"/>
        </w:rPr>
        <w:t>commerce (+3</w:t>
      </w:r>
      <w:r w:rsidR="00876E36" w:rsidRPr="00442023">
        <w:rPr>
          <w:rFonts w:ascii="Book Antiqua" w:eastAsia="Book Antiqua" w:hAnsi="Book Antiqua" w:cs="Book Antiqua" w:hint="cs"/>
          <w:sz w:val="24"/>
          <w:szCs w:val="24"/>
          <w:rtl/>
        </w:rPr>
        <w:t>6</w:t>
      </w:r>
      <w:r w:rsidR="004827D6" w:rsidRPr="00442023">
        <w:rPr>
          <w:rFonts w:ascii="Book Antiqua" w:eastAsia="Book Antiqua" w:hAnsi="Book Antiqua" w:cs="Book Antiqua"/>
          <w:sz w:val="24"/>
          <w:szCs w:val="24"/>
        </w:rPr>
        <w:t>.000)</w:t>
      </w:r>
      <w:r w:rsidR="00440315" w:rsidRPr="00442023">
        <w:rPr>
          <w:rFonts w:ascii="Book Antiqua" w:eastAsia="Book Antiqua" w:hAnsi="Book Antiqua" w:cs="Book Antiqua"/>
          <w:sz w:val="24"/>
          <w:szCs w:val="24"/>
        </w:rPr>
        <w:t>, des activités de services administratifs et de soutien (+34.000)</w:t>
      </w:r>
      <w:r w:rsidR="004827D6" w:rsidRPr="00442023">
        <w:rPr>
          <w:rFonts w:ascii="Book Antiqua" w:eastAsia="Book Antiqua" w:hAnsi="Book Antiqua" w:cs="Book Antiqua"/>
          <w:sz w:val="24"/>
          <w:szCs w:val="24"/>
        </w:rPr>
        <w:t xml:space="preserve"> et du </w:t>
      </w:r>
      <w:r w:rsidR="00440315" w:rsidRPr="00442023">
        <w:rPr>
          <w:rFonts w:ascii="Book Antiqua" w:eastAsia="Book Antiqua" w:hAnsi="Book Antiqua" w:cs="Book Antiqua"/>
          <w:sz w:val="24"/>
          <w:szCs w:val="24"/>
        </w:rPr>
        <w:t>t</w:t>
      </w:r>
      <w:r w:rsidR="004827D6" w:rsidRPr="00442023">
        <w:rPr>
          <w:rFonts w:ascii="Book Antiqua" w:eastAsia="Book Antiqua" w:hAnsi="Book Antiqua" w:cs="Book Antiqua"/>
          <w:sz w:val="24"/>
          <w:szCs w:val="24"/>
        </w:rPr>
        <w:t>ransports et entreposage (+2</w:t>
      </w:r>
      <w:r w:rsidR="00876E36" w:rsidRPr="00442023">
        <w:rPr>
          <w:rFonts w:ascii="Book Antiqua" w:eastAsia="Book Antiqua" w:hAnsi="Book Antiqua" w:cs="Book Antiqua" w:hint="cs"/>
          <w:sz w:val="24"/>
          <w:szCs w:val="24"/>
          <w:rtl/>
        </w:rPr>
        <w:t>5</w:t>
      </w:r>
      <w:r w:rsidR="004827D6" w:rsidRPr="00442023">
        <w:rPr>
          <w:rFonts w:ascii="Book Antiqua" w:eastAsia="Book Antiqua" w:hAnsi="Book Antiqua" w:cs="Book Antiqua"/>
          <w:sz w:val="24"/>
          <w:szCs w:val="24"/>
        </w:rPr>
        <w:t>.000).</w:t>
      </w:r>
    </w:p>
    <w:p w:rsidR="00397253" w:rsidRPr="00BD4B64" w:rsidRDefault="008865DA" w:rsidP="00701DCF">
      <w:pPr>
        <w:spacing w:before="240" w:after="240" w:line="312" w:lineRule="auto"/>
        <w:jc w:val="both"/>
        <w:rPr>
          <w:rFonts w:ascii="Book Antiqua" w:eastAsia="Book Antiqua" w:hAnsi="Book Antiqua" w:cs="Book Antiqua"/>
          <w:sz w:val="24"/>
          <w:szCs w:val="24"/>
        </w:rPr>
      </w:pPr>
      <w:r w:rsidRPr="00BD4B64">
        <w:rPr>
          <w:rFonts w:ascii="Book Antiqua" w:eastAsia="Book Antiqua" w:hAnsi="Book Antiqua" w:cs="Book Antiqua"/>
          <w:sz w:val="24"/>
          <w:szCs w:val="24"/>
        </w:rPr>
        <w:t>Le secteur de</w:t>
      </w:r>
      <w:r w:rsidR="005154A3">
        <w:rPr>
          <w:rFonts w:ascii="Book Antiqua" w:eastAsia="Book Antiqua" w:hAnsi="Book Antiqua" w:cs="Book Antiqua"/>
          <w:sz w:val="24"/>
          <w:szCs w:val="24"/>
        </w:rPr>
        <w:t xml:space="preserve"> </w:t>
      </w:r>
      <w:r w:rsidRPr="00BD4B64">
        <w:rPr>
          <w:rFonts w:ascii="Book Antiqua" w:eastAsia="Book Antiqua" w:hAnsi="Book Antiqua" w:cs="Book Antiqua"/>
          <w:sz w:val="24"/>
          <w:szCs w:val="24"/>
        </w:rPr>
        <w:t>l’"</w:t>
      </w:r>
      <w:r w:rsidRPr="00992729">
        <w:rPr>
          <w:rFonts w:ascii="Book Antiqua" w:eastAsia="Book Antiqua" w:hAnsi="Book Antiqua" w:cs="Book Antiqua"/>
          <w:sz w:val="24"/>
          <w:szCs w:val="24"/>
        </w:rPr>
        <w:t>Industrie</w:t>
      </w:r>
      <w:r w:rsidR="00225147" w:rsidRPr="00992729">
        <w:rPr>
          <w:rFonts w:ascii="Book Antiqua" w:eastAsia="Book Antiqua" w:hAnsi="Book Antiqua" w:cs="Book Antiqua"/>
          <w:sz w:val="24"/>
          <w:szCs w:val="24"/>
        </w:rPr>
        <w:t xml:space="preserve"> y compris l’artisanat</w:t>
      </w:r>
      <w:r w:rsidR="00440315" w:rsidRPr="00BD4B64">
        <w:rPr>
          <w:rFonts w:ascii="Book Antiqua" w:eastAsia="Book Antiqua" w:hAnsi="Book Antiqua" w:cs="Book Antiqua"/>
          <w:sz w:val="24"/>
          <w:szCs w:val="24"/>
        </w:rPr>
        <w:t>"</w:t>
      </w:r>
      <w:r w:rsidRPr="00BD4B64">
        <w:rPr>
          <w:rFonts w:ascii="Book Antiqua" w:eastAsia="Book Antiqua" w:hAnsi="Book Antiqua" w:cs="Book Antiqua"/>
          <w:sz w:val="24"/>
          <w:szCs w:val="24"/>
        </w:rPr>
        <w:t xml:space="preserve"> a</w:t>
      </w:r>
      <w:r w:rsidR="002B0766">
        <w:rPr>
          <w:rFonts w:ascii="Book Antiqua" w:eastAsia="Book Antiqua" w:hAnsi="Book Antiqua" w:cs="Book Antiqua"/>
          <w:sz w:val="24"/>
          <w:szCs w:val="24"/>
        </w:rPr>
        <w:t xml:space="preserve"> </w:t>
      </w:r>
      <w:r w:rsidR="00AC140C" w:rsidRPr="00BD4B64">
        <w:rPr>
          <w:rFonts w:ascii="Book Antiqua" w:eastAsia="Book Antiqua" w:hAnsi="Book Antiqua" w:cs="Book Antiqua"/>
          <w:sz w:val="24"/>
          <w:szCs w:val="24"/>
        </w:rPr>
        <w:t>créé</w:t>
      </w:r>
      <w:r w:rsidRPr="00BD4B64">
        <w:rPr>
          <w:rFonts w:ascii="Book Antiqua" w:eastAsia="Book Antiqua" w:hAnsi="Book Antiqua" w:cs="Book Antiqua"/>
          <w:sz w:val="24"/>
          <w:szCs w:val="24"/>
        </w:rPr>
        <w:t xml:space="preserve"> 28.000 postes</w:t>
      </w:r>
      <w:r w:rsidR="002B0766">
        <w:rPr>
          <w:rFonts w:ascii="Book Antiqua" w:eastAsia="Book Antiqua" w:hAnsi="Book Antiqua" w:cs="Book Antiqua"/>
          <w:sz w:val="24"/>
          <w:szCs w:val="24"/>
        </w:rPr>
        <w:t xml:space="preserve"> </w:t>
      </w:r>
      <w:r w:rsidR="002B0766" w:rsidRPr="005154A3">
        <w:rPr>
          <w:rFonts w:ascii="Book Antiqua" w:eastAsia="Book Antiqua" w:hAnsi="Book Antiqua" w:cs="Book Antiqua"/>
          <w:sz w:val="24"/>
          <w:szCs w:val="24"/>
        </w:rPr>
        <w:t>(</w:t>
      </w:r>
      <w:r w:rsidRPr="00BD4B64">
        <w:rPr>
          <w:rFonts w:ascii="Book Antiqua" w:eastAsia="Book Antiqua" w:hAnsi="Book Antiqua" w:cs="Book Antiqua"/>
          <w:sz w:val="24"/>
          <w:szCs w:val="24"/>
        </w:rPr>
        <w:t>16.000 en milieu urbain et 12.000 en milieu rural</w:t>
      </w:r>
      <w:r w:rsidR="005154A3" w:rsidRPr="00701DCF">
        <w:rPr>
          <w:rFonts w:ascii="Book Antiqua" w:eastAsia="Book Antiqua" w:hAnsi="Book Antiqua" w:cs="Book Antiqua"/>
          <w:sz w:val="24"/>
          <w:szCs w:val="24"/>
        </w:rPr>
        <w:t>)</w:t>
      </w:r>
      <w:r w:rsidR="00701DCF">
        <w:rPr>
          <w:rFonts w:ascii="Book Antiqua" w:eastAsia="Book Antiqua" w:hAnsi="Book Antiqua" w:cs="Book Antiqua"/>
          <w:sz w:val="24"/>
          <w:szCs w:val="24"/>
        </w:rPr>
        <w:t xml:space="preserve">. Ces emplois créés proviennent  principalement des </w:t>
      </w:r>
      <w:r w:rsidR="005154A3" w:rsidRPr="00701DCF">
        <w:rPr>
          <w:rFonts w:ascii="Book Antiqua" w:eastAsia="Book Antiqua" w:hAnsi="Book Antiqua" w:cs="Book Antiqua"/>
          <w:sz w:val="24"/>
          <w:szCs w:val="24"/>
        </w:rPr>
        <w:t>activités artisanales</w:t>
      </w:r>
      <w:r w:rsidR="00701DCF">
        <w:rPr>
          <w:rFonts w:ascii="Book Antiqua" w:eastAsia="Book Antiqua" w:hAnsi="Book Antiqua" w:cs="Book Antiqua"/>
          <w:sz w:val="24"/>
          <w:szCs w:val="24"/>
        </w:rPr>
        <w:t xml:space="preserve"> (26.000 postes).</w:t>
      </w:r>
    </w:p>
    <w:p w:rsidR="00AC140C" w:rsidRPr="00BD4B64" w:rsidRDefault="00AC140C" w:rsidP="005154A3">
      <w:pPr>
        <w:spacing w:before="240" w:after="240" w:line="312" w:lineRule="auto"/>
        <w:jc w:val="both"/>
        <w:rPr>
          <w:rFonts w:ascii="Book Antiqua" w:eastAsia="Book Antiqua" w:hAnsi="Book Antiqua" w:cs="Book Antiqua"/>
          <w:sz w:val="24"/>
          <w:szCs w:val="24"/>
        </w:rPr>
      </w:pPr>
      <w:r w:rsidRPr="00BD4B64">
        <w:rPr>
          <w:rFonts w:ascii="Book Antiqua" w:eastAsia="Book Antiqua" w:hAnsi="Book Antiqua" w:cs="Book Antiqua"/>
          <w:sz w:val="24"/>
          <w:szCs w:val="24"/>
        </w:rPr>
        <w:t>Le secteur de l’"agriculture, forêt et pêche" a</w:t>
      </w:r>
      <w:r w:rsidR="00AD4631">
        <w:rPr>
          <w:rFonts w:ascii="Book Antiqua" w:eastAsia="Book Antiqua" w:hAnsi="Book Antiqua" w:cs="Book Antiqua"/>
          <w:sz w:val="24"/>
          <w:szCs w:val="24"/>
        </w:rPr>
        <w:t>, de son côté,</w:t>
      </w:r>
      <w:r w:rsidRPr="00BD4B64">
        <w:rPr>
          <w:rFonts w:ascii="Book Antiqua" w:eastAsia="Book Antiqua" w:hAnsi="Book Antiqua" w:cs="Book Antiqua"/>
          <w:sz w:val="24"/>
          <w:szCs w:val="24"/>
        </w:rPr>
        <w:t xml:space="preserve"> perdu 215.000 postes d'emploi au niveau national</w:t>
      </w:r>
      <w:r w:rsidR="00AD4631">
        <w:rPr>
          <w:rFonts w:ascii="Book Antiqua" w:eastAsia="Book Antiqua" w:hAnsi="Book Antiqua" w:cs="Book Antiqua"/>
          <w:sz w:val="24"/>
          <w:szCs w:val="24"/>
        </w:rPr>
        <w:t xml:space="preserve">, </w:t>
      </w:r>
      <w:r w:rsidRPr="00BD4B64">
        <w:rPr>
          <w:rFonts w:ascii="Book Antiqua" w:eastAsia="Book Antiqua" w:hAnsi="Book Antiqua" w:cs="Book Antiqua"/>
          <w:sz w:val="24"/>
          <w:szCs w:val="24"/>
        </w:rPr>
        <w:t>205.000 en milieu rural et 10.000 en milieu urbain.</w:t>
      </w:r>
      <w:r w:rsidR="002B0766">
        <w:rPr>
          <w:rFonts w:ascii="Book Antiqua" w:eastAsia="Book Antiqua" w:hAnsi="Book Antiqua" w:cs="Book Antiqua"/>
          <w:sz w:val="24"/>
          <w:szCs w:val="24"/>
        </w:rPr>
        <w:t xml:space="preserve"> </w:t>
      </w:r>
    </w:p>
    <w:p w:rsidR="008865DA" w:rsidRDefault="00AD4631" w:rsidP="005154A3">
      <w:pPr>
        <w:spacing w:before="240" w:after="240" w:line="312" w:lineRule="auto"/>
        <w:jc w:val="both"/>
        <w:rPr>
          <w:rFonts w:ascii="Book Antiqua" w:eastAsia="Book Antiqua" w:hAnsi="Book Antiqua" w:cs="Book Antiqua"/>
          <w:sz w:val="24"/>
          <w:szCs w:val="24"/>
        </w:rPr>
      </w:pPr>
      <w:r>
        <w:rPr>
          <w:rFonts w:ascii="Book Antiqua" w:eastAsia="Book Antiqua" w:hAnsi="Book Antiqua" w:cs="Book Antiqua"/>
          <w:sz w:val="24"/>
          <w:szCs w:val="24"/>
        </w:rPr>
        <w:t>Enfin, l</w:t>
      </w:r>
      <w:r w:rsidR="008865DA" w:rsidRPr="00BD4B64">
        <w:rPr>
          <w:rFonts w:ascii="Book Antiqua" w:eastAsia="Book Antiqua" w:hAnsi="Book Antiqua" w:cs="Book Antiqua"/>
          <w:sz w:val="24"/>
          <w:szCs w:val="24"/>
        </w:rPr>
        <w:t xml:space="preserve">e secteur des BTP a </w:t>
      </w:r>
      <w:r w:rsidR="007543DE" w:rsidRPr="00BD4B64">
        <w:rPr>
          <w:rFonts w:ascii="Book Antiqua" w:eastAsia="Book Antiqua" w:hAnsi="Book Antiqua" w:cs="Book Antiqua"/>
          <w:sz w:val="24"/>
          <w:szCs w:val="24"/>
        </w:rPr>
        <w:t xml:space="preserve">perdu </w:t>
      </w:r>
      <w:r w:rsidR="008865DA" w:rsidRPr="00BD4B64">
        <w:rPr>
          <w:rFonts w:ascii="Book Antiqua" w:eastAsia="Book Antiqua" w:hAnsi="Book Antiqua" w:cs="Book Antiqua"/>
          <w:sz w:val="24"/>
          <w:szCs w:val="24"/>
        </w:rPr>
        <w:t xml:space="preserve">1.000 postes d’emploi, résultat d’une création de 8.000 postes en milieu urbain et </w:t>
      </w:r>
      <w:r>
        <w:rPr>
          <w:rFonts w:ascii="Book Antiqua" w:eastAsia="Book Antiqua" w:hAnsi="Book Antiqua" w:cs="Book Antiqua"/>
          <w:sz w:val="24"/>
          <w:szCs w:val="24"/>
        </w:rPr>
        <w:t>d’</w:t>
      </w:r>
      <w:r w:rsidR="008865DA" w:rsidRPr="00BD4B64">
        <w:rPr>
          <w:rFonts w:ascii="Book Antiqua" w:eastAsia="Book Antiqua" w:hAnsi="Book Antiqua" w:cs="Book Antiqua"/>
          <w:sz w:val="24"/>
          <w:szCs w:val="24"/>
        </w:rPr>
        <w:t>une perte de 9.000 en milieu rural</w:t>
      </w:r>
    </w:p>
    <w:p w:rsidR="008865DA" w:rsidRPr="00BD4B64" w:rsidRDefault="008865DA" w:rsidP="00744261">
      <w:pPr>
        <w:rPr>
          <w:rFonts w:ascii="Book Antiqua" w:eastAsia="Book Antiqua" w:hAnsi="Book Antiqua" w:cs="Book Antiqua"/>
          <w:b/>
          <w:noProof/>
          <w:color w:val="0070C0"/>
          <w:sz w:val="24"/>
          <w:szCs w:val="24"/>
          <w:shd w:val="clear" w:color="auto" w:fill="4472C4" w:themeFill="accent1"/>
        </w:rPr>
      </w:pPr>
      <w:r w:rsidRPr="00BD4B64">
        <w:rPr>
          <w:rFonts w:ascii="Book Antiqua" w:eastAsia="Book Antiqua" w:hAnsi="Book Antiqua" w:cs="Book Antiqua"/>
          <w:b/>
          <w:color w:val="000000" w:themeColor="text1"/>
          <w:sz w:val="20"/>
          <w:szCs w:val="20"/>
        </w:rPr>
        <w:t>Graphique 4 : Variation nette</w:t>
      </w:r>
      <w:r w:rsidR="005154A3">
        <w:rPr>
          <w:rFonts w:ascii="Book Antiqua" w:eastAsia="Book Antiqua" w:hAnsi="Book Antiqua" w:cs="Book Antiqua"/>
          <w:b/>
          <w:color w:val="000000" w:themeColor="text1"/>
          <w:sz w:val="20"/>
          <w:szCs w:val="20"/>
        </w:rPr>
        <w:t xml:space="preserve"> </w:t>
      </w:r>
      <w:r w:rsidRPr="00BD4B64">
        <w:rPr>
          <w:rFonts w:ascii="Book Antiqua" w:eastAsia="Book Antiqua" w:hAnsi="Book Antiqua" w:cs="Book Antiqua"/>
          <w:b/>
          <w:color w:val="000000" w:themeColor="text1"/>
          <w:sz w:val="20"/>
          <w:szCs w:val="20"/>
        </w:rPr>
        <w:t>du volume de l’emploi entre 2021 et 2022 par secteur d’activité économique et milieu de résidence</w:t>
      </w:r>
      <w:r w:rsidRPr="00BD4B64">
        <w:rPr>
          <w:rStyle w:val="Appelnotedebasdep"/>
          <w:rFonts w:ascii="Book Antiqua" w:eastAsia="Book Antiqua" w:hAnsi="Book Antiqua" w:cs="Book Antiqua"/>
          <w:b/>
          <w:color w:val="000000" w:themeColor="text1"/>
          <w:sz w:val="20"/>
          <w:szCs w:val="20"/>
        </w:rPr>
        <w:footnoteReference w:id="3"/>
      </w:r>
    </w:p>
    <w:p w:rsidR="008865DA" w:rsidRPr="00BD4B64" w:rsidRDefault="008865DA" w:rsidP="008865DA">
      <w:pPr>
        <w:rPr>
          <w:rFonts w:ascii="Book Antiqua" w:eastAsia="Book Antiqua" w:hAnsi="Book Antiqua" w:cs="Book Antiqua"/>
          <w:b/>
          <w:noProof/>
          <w:color w:val="0070C0"/>
          <w:sz w:val="24"/>
          <w:szCs w:val="24"/>
          <w:shd w:val="clear" w:color="auto" w:fill="4472C4" w:themeFill="accent1"/>
        </w:rPr>
      </w:pPr>
    </w:p>
    <w:p w:rsidR="008865DA" w:rsidRPr="00BD4B64" w:rsidRDefault="00BD4B64" w:rsidP="00C31BDC">
      <w:pPr>
        <w:jc w:val="center"/>
        <w:rPr>
          <w:rFonts w:ascii="Book Antiqua" w:eastAsia="Book Antiqua" w:hAnsi="Book Antiqua" w:cs="Book Antiqua"/>
          <w:b/>
          <w:color w:val="0070C0"/>
          <w:sz w:val="24"/>
          <w:szCs w:val="24"/>
        </w:rPr>
      </w:pPr>
      <w:r w:rsidRPr="00BD4B64">
        <w:rPr>
          <w:rFonts w:ascii="Book Antiqua" w:eastAsia="Book Antiqua" w:hAnsi="Book Antiqua" w:cs="Book Antiqua"/>
          <w:b/>
          <w:noProof/>
          <w:color w:val="0070C0"/>
          <w:sz w:val="24"/>
          <w:szCs w:val="24"/>
        </w:rPr>
        <w:drawing>
          <wp:inline distT="0" distB="0" distL="0" distR="0">
            <wp:extent cx="5076749" cy="2172615"/>
            <wp:effectExtent l="0" t="0" r="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F50A5" w:rsidRPr="00082582" w:rsidRDefault="009911C5" w:rsidP="009911C5">
      <w:pPr>
        <w:spacing w:before="240" w:after="240" w:line="312" w:lineRule="auto"/>
        <w:jc w:val="both"/>
        <w:rPr>
          <w:rFonts w:ascii="Book Antiqua" w:eastAsia="Book Antiqua" w:hAnsi="Book Antiqua" w:cs="Book Antiqua"/>
          <w:sz w:val="24"/>
          <w:szCs w:val="24"/>
        </w:rPr>
      </w:pPr>
      <w:r>
        <w:rPr>
          <w:rFonts w:ascii="Book Antiqua" w:eastAsia="Book Antiqua" w:hAnsi="Book Antiqua" w:cs="Book Antiqua"/>
          <w:sz w:val="24"/>
          <w:szCs w:val="24"/>
        </w:rPr>
        <w:t xml:space="preserve">Par type </w:t>
      </w:r>
      <w:r w:rsidR="005154A3" w:rsidRPr="00082582">
        <w:rPr>
          <w:rFonts w:ascii="Book Antiqua" w:eastAsia="Book Antiqua" w:hAnsi="Book Antiqua" w:cs="Book Antiqua"/>
          <w:sz w:val="24"/>
          <w:szCs w:val="24"/>
        </w:rPr>
        <w:t xml:space="preserve">d’emploi, le secteur des "services" a créé 167.000 emplois rémunérés </w:t>
      </w:r>
      <w:r w:rsidR="005F50A5" w:rsidRPr="00082582">
        <w:rPr>
          <w:rFonts w:ascii="Book Antiqua" w:eastAsia="Book Antiqua" w:hAnsi="Book Antiqua" w:cs="Book Antiqua"/>
          <w:sz w:val="24"/>
          <w:szCs w:val="24"/>
        </w:rPr>
        <w:t xml:space="preserve">et a perdu </w:t>
      </w:r>
      <w:r w:rsidR="00BB745B" w:rsidRPr="00082582">
        <w:rPr>
          <w:rFonts w:ascii="Book Antiqua" w:eastAsia="Book Antiqua" w:hAnsi="Book Antiqua" w:cs="Book Antiqua"/>
          <w:sz w:val="24"/>
          <w:szCs w:val="24"/>
        </w:rPr>
        <w:t>3.000 emplois non rémunérés</w:t>
      </w:r>
      <w:r w:rsidR="005F50A5" w:rsidRPr="00082582">
        <w:rPr>
          <w:rFonts w:ascii="Book Antiqua" w:eastAsia="Book Antiqua" w:hAnsi="Book Antiqua" w:cs="Book Antiqua"/>
          <w:sz w:val="24"/>
          <w:szCs w:val="24"/>
        </w:rPr>
        <w:t> ;</w:t>
      </w:r>
      <w:r w:rsidR="00BB745B" w:rsidRPr="00082582">
        <w:rPr>
          <w:rFonts w:ascii="Book Antiqua" w:eastAsia="Book Antiqua" w:hAnsi="Book Antiqua" w:cs="Book Antiqua"/>
          <w:sz w:val="24"/>
          <w:szCs w:val="24"/>
        </w:rPr>
        <w:t xml:space="preserve"> celui de l’"Industrie y compris l’artisanat, a créé </w:t>
      </w:r>
      <w:r w:rsidR="00EE5284" w:rsidRPr="00082582">
        <w:rPr>
          <w:rFonts w:ascii="Book Antiqua" w:eastAsia="Book Antiqua" w:hAnsi="Book Antiqua" w:cs="Book Antiqua"/>
          <w:sz w:val="24"/>
          <w:szCs w:val="24"/>
        </w:rPr>
        <w:t xml:space="preserve"> 29.000 </w:t>
      </w:r>
      <w:r w:rsidR="005154A3" w:rsidRPr="00082582">
        <w:rPr>
          <w:rFonts w:ascii="Book Antiqua" w:eastAsia="Book Antiqua" w:hAnsi="Book Antiqua" w:cs="Book Antiqua"/>
          <w:sz w:val="24"/>
          <w:szCs w:val="24"/>
        </w:rPr>
        <w:t>emplois rémunérés</w:t>
      </w:r>
      <w:r w:rsidR="00EE5284" w:rsidRPr="00082582">
        <w:rPr>
          <w:rFonts w:ascii="Book Antiqua" w:eastAsia="Book Antiqua" w:hAnsi="Book Antiqua" w:cs="Book Antiqua"/>
          <w:sz w:val="24"/>
          <w:szCs w:val="24"/>
        </w:rPr>
        <w:t xml:space="preserve"> et a perdu </w:t>
      </w:r>
      <w:r w:rsidR="005154A3" w:rsidRPr="00082582">
        <w:rPr>
          <w:rFonts w:ascii="Book Antiqua" w:eastAsia="Book Antiqua" w:hAnsi="Book Antiqua" w:cs="Book Antiqua"/>
          <w:sz w:val="24"/>
          <w:szCs w:val="24"/>
        </w:rPr>
        <w:t>1.000 emplois non rémunéré</w:t>
      </w:r>
      <w:r w:rsidR="00EE5284" w:rsidRPr="00082582">
        <w:rPr>
          <w:rFonts w:ascii="Book Antiqua" w:eastAsia="Book Antiqua" w:hAnsi="Book Antiqua" w:cs="Book Antiqua"/>
          <w:sz w:val="24"/>
          <w:szCs w:val="24"/>
        </w:rPr>
        <w:t xml:space="preserve">s. </w:t>
      </w:r>
    </w:p>
    <w:p w:rsidR="005154A3" w:rsidRDefault="009911C5" w:rsidP="009911C5">
      <w:pPr>
        <w:spacing w:before="240" w:after="240" w:line="312" w:lineRule="auto"/>
        <w:jc w:val="both"/>
        <w:rPr>
          <w:rFonts w:ascii="Book Antiqua" w:hAnsi="Book Antiqua" w:cstheme="majorHAnsi"/>
          <w:b/>
          <w:bCs/>
          <w:color w:val="1F3864" w:themeColor="accent1" w:themeShade="80"/>
          <w:spacing w:val="-10"/>
          <w:kern w:val="28"/>
          <w:sz w:val="28"/>
          <w:szCs w:val="28"/>
        </w:rPr>
      </w:pPr>
      <w:r>
        <w:rPr>
          <w:rFonts w:ascii="Book Antiqua" w:eastAsia="Book Antiqua" w:hAnsi="Book Antiqua" w:cs="Book Antiqua"/>
          <w:sz w:val="24"/>
          <w:szCs w:val="24"/>
        </w:rPr>
        <w:t>De son côté le secteur des</w:t>
      </w:r>
      <w:r w:rsidR="00EE5284" w:rsidRPr="00082582">
        <w:rPr>
          <w:rFonts w:ascii="Book Antiqua" w:eastAsia="Book Antiqua" w:hAnsi="Book Antiqua" w:cs="Book Antiqua"/>
          <w:sz w:val="24"/>
          <w:szCs w:val="24"/>
        </w:rPr>
        <w:t xml:space="preserve"> BTP </w:t>
      </w:r>
      <w:r>
        <w:rPr>
          <w:rFonts w:ascii="Book Antiqua" w:eastAsia="Book Antiqua" w:hAnsi="Book Antiqua" w:cs="Book Antiqua"/>
          <w:sz w:val="24"/>
          <w:szCs w:val="24"/>
        </w:rPr>
        <w:t>a</w:t>
      </w:r>
      <w:r w:rsidR="00EE5284" w:rsidRPr="00082582">
        <w:rPr>
          <w:rFonts w:ascii="Book Antiqua" w:eastAsia="Book Antiqua" w:hAnsi="Book Antiqua" w:cs="Book Antiqua"/>
          <w:sz w:val="24"/>
          <w:szCs w:val="24"/>
        </w:rPr>
        <w:t xml:space="preserve"> perdu 4.000 emplois non rémunérés et créé 3.000 emplois rémunérés, et </w:t>
      </w:r>
      <w:r>
        <w:rPr>
          <w:rFonts w:ascii="Book Antiqua" w:eastAsia="Book Antiqua" w:hAnsi="Book Antiqua" w:cs="Book Antiqua"/>
          <w:sz w:val="24"/>
          <w:szCs w:val="24"/>
        </w:rPr>
        <w:t xml:space="preserve">celui de </w:t>
      </w:r>
      <w:r w:rsidR="00BB745B" w:rsidRPr="00082582">
        <w:rPr>
          <w:rFonts w:ascii="Book Antiqua" w:eastAsia="Book Antiqua" w:hAnsi="Book Antiqua" w:cs="Book Antiqua"/>
          <w:sz w:val="24"/>
          <w:szCs w:val="24"/>
        </w:rPr>
        <w:t>l’"agriculture, forêt et pêche"</w:t>
      </w:r>
      <w:r w:rsidR="00EE5284" w:rsidRPr="00082582">
        <w:rPr>
          <w:rFonts w:ascii="Book Antiqua" w:eastAsia="Book Antiqua" w:hAnsi="Book Antiqua" w:cs="Book Antiqua"/>
          <w:sz w:val="24"/>
          <w:szCs w:val="24"/>
        </w:rPr>
        <w:t xml:space="preserve"> a perdu 152.000 </w:t>
      </w:r>
      <w:r w:rsidR="005154A3" w:rsidRPr="00082582">
        <w:rPr>
          <w:rFonts w:ascii="Book Antiqua" w:eastAsia="Book Antiqua" w:hAnsi="Book Antiqua" w:cs="Book Antiqua"/>
          <w:sz w:val="24"/>
          <w:szCs w:val="24"/>
        </w:rPr>
        <w:t xml:space="preserve">emplois non rémunérés </w:t>
      </w:r>
      <w:r w:rsidR="00EE5284" w:rsidRPr="00082582">
        <w:rPr>
          <w:rFonts w:ascii="Book Antiqua" w:eastAsia="Book Antiqua" w:hAnsi="Book Antiqua" w:cs="Book Antiqua"/>
          <w:sz w:val="24"/>
          <w:szCs w:val="24"/>
        </w:rPr>
        <w:t>et 6</w:t>
      </w:r>
      <w:r w:rsidR="00057912" w:rsidRPr="00082582">
        <w:rPr>
          <w:rFonts w:ascii="Book Antiqua" w:eastAsia="Book Antiqua" w:hAnsi="Book Antiqua" w:cs="Book Antiqua"/>
          <w:sz w:val="24"/>
          <w:szCs w:val="24"/>
        </w:rPr>
        <w:t>3</w:t>
      </w:r>
      <w:r w:rsidR="00EE5284" w:rsidRPr="00082582">
        <w:rPr>
          <w:rFonts w:ascii="Book Antiqua" w:eastAsia="Book Antiqua" w:hAnsi="Book Antiqua" w:cs="Book Antiqua"/>
          <w:sz w:val="24"/>
          <w:szCs w:val="24"/>
        </w:rPr>
        <w:t>.000 rémunérés.</w:t>
      </w:r>
      <w:r w:rsidR="00EE5284">
        <w:rPr>
          <w:rFonts w:ascii="Book Antiqua" w:eastAsia="Book Antiqua" w:hAnsi="Book Antiqua" w:cs="Book Antiqua"/>
          <w:sz w:val="24"/>
          <w:szCs w:val="24"/>
        </w:rPr>
        <w:t xml:space="preserve"> </w:t>
      </w:r>
      <w:r w:rsidR="005154A3">
        <w:rPr>
          <w:rFonts w:ascii="Book Antiqua" w:hAnsi="Book Antiqua" w:cstheme="majorHAnsi"/>
          <w:b/>
          <w:bCs/>
          <w:color w:val="1F3864" w:themeColor="accent1" w:themeShade="80"/>
          <w:spacing w:val="-10"/>
          <w:kern w:val="28"/>
          <w:sz w:val="28"/>
          <w:szCs w:val="28"/>
        </w:rPr>
        <w:br w:type="page"/>
      </w:r>
    </w:p>
    <w:p w:rsidR="008865DA" w:rsidRPr="00BD4B64" w:rsidRDefault="008865DA" w:rsidP="008865DA">
      <w:pPr>
        <w:spacing w:before="100" w:beforeAutospacing="1" w:after="100" w:afterAutospacing="1" w:line="312" w:lineRule="auto"/>
        <w:jc w:val="both"/>
        <w:rPr>
          <w:rFonts w:ascii="Book Antiqua" w:hAnsi="Book Antiqua" w:cstheme="majorHAnsi"/>
          <w:b/>
          <w:bCs/>
          <w:color w:val="1F3864" w:themeColor="accent1" w:themeShade="80"/>
          <w:spacing w:val="-10"/>
          <w:kern w:val="28"/>
          <w:sz w:val="28"/>
          <w:szCs w:val="28"/>
        </w:rPr>
      </w:pPr>
      <w:r w:rsidRPr="00BD4B64">
        <w:rPr>
          <w:rFonts w:ascii="Book Antiqua" w:hAnsi="Book Antiqua" w:cstheme="majorHAnsi"/>
          <w:b/>
          <w:bCs/>
          <w:color w:val="1F3864" w:themeColor="accent1" w:themeShade="80"/>
          <w:spacing w:val="-10"/>
          <w:kern w:val="28"/>
          <w:sz w:val="28"/>
          <w:szCs w:val="28"/>
        </w:rPr>
        <w:lastRenderedPageBreak/>
        <w:t>II. Chômage et sous-emploi</w:t>
      </w:r>
    </w:p>
    <w:p w:rsidR="008865DA" w:rsidRPr="00BD4B64" w:rsidRDefault="008865DA" w:rsidP="008865DA">
      <w:pPr>
        <w:spacing w:before="240" w:after="240" w:line="312" w:lineRule="auto"/>
        <w:jc w:val="both"/>
        <w:rPr>
          <w:rFonts w:ascii="Book Antiqua" w:eastAsia="Book Antiqua" w:hAnsi="Book Antiqua" w:cs="Book Antiqua"/>
          <w:b/>
          <w:bCs/>
          <w:color w:val="8496B0" w:themeColor="text2" w:themeTint="99"/>
          <w:sz w:val="26"/>
          <w:szCs w:val="26"/>
        </w:rPr>
      </w:pPr>
      <w:r w:rsidRPr="00BD4B64">
        <w:rPr>
          <w:rFonts w:ascii="Book Antiqua" w:eastAsia="Book Antiqua" w:hAnsi="Book Antiqua" w:cs="Book Antiqua"/>
          <w:b/>
          <w:bCs/>
          <w:color w:val="8496B0" w:themeColor="text2" w:themeTint="99"/>
          <w:sz w:val="26"/>
          <w:szCs w:val="26"/>
        </w:rPr>
        <w:t>Baisse du chômage</w:t>
      </w:r>
    </w:p>
    <w:p w:rsidR="008865DA" w:rsidRPr="00BD4B64" w:rsidRDefault="008865DA" w:rsidP="00AC140C">
      <w:pPr>
        <w:spacing w:before="240" w:after="240" w:line="312" w:lineRule="auto"/>
        <w:jc w:val="both"/>
        <w:rPr>
          <w:rFonts w:ascii="Book Antiqua" w:hAnsi="Book Antiqua" w:cs="Times New Roman"/>
          <w:sz w:val="24"/>
          <w:szCs w:val="24"/>
        </w:rPr>
      </w:pPr>
      <w:r w:rsidRPr="00BD4B64">
        <w:rPr>
          <w:rFonts w:ascii="Book Antiqua" w:hAnsi="Book Antiqua" w:cs="Times New Roman"/>
          <w:sz w:val="24"/>
          <w:szCs w:val="24"/>
        </w:rPr>
        <w:t xml:space="preserve">Entre 2021 et 2022, le nombre de chômeurs a </w:t>
      </w:r>
      <w:r w:rsidR="00AC140C" w:rsidRPr="00BD4B64">
        <w:rPr>
          <w:rFonts w:ascii="Book Antiqua" w:hAnsi="Book Antiqua" w:cs="Times New Roman"/>
          <w:sz w:val="24"/>
          <w:szCs w:val="24"/>
        </w:rPr>
        <w:t>diminué</w:t>
      </w:r>
      <w:r w:rsidRPr="00BD4B64">
        <w:rPr>
          <w:rFonts w:ascii="Book Antiqua" w:hAnsi="Book Antiqua" w:cs="Times New Roman"/>
          <w:sz w:val="24"/>
          <w:szCs w:val="24"/>
        </w:rPr>
        <w:t xml:space="preserve"> de 66.000 personnes, passant de 1.508.000 à 1.442.000 chômeurs, ce qui correspond à une baisse de 4%. Cette baisse est la conséquence d’une </w:t>
      </w:r>
      <w:r w:rsidR="00AC140C" w:rsidRPr="00BD4B64">
        <w:rPr>
          <w:rFonts w:ascii="Book Antiqua" w:hAnsi="Book Antiqua" w:cs="Times New Roman"/>
          <w:sz w:val="24"/>
          <w:szCs w:val="24"/>
        </w:rPr>
        <w:t>diminution</w:t>
      </w:r>
      <w:r w:rsidRPr="00BD4B64">
        <w:rPr>
          <w:rFonts w:ascii="Book Antiqua" w:hAnsi="Book Antiqua" w:cs="Times New Roman"/>
          <w:sz w:val="24"/>
          <w:szCs w:val="24"/>
        </w:rPr>
        <w:t xml:space="preserve"> de 70.000 chômeurs en milieu urbain et d’une augmentation</w:t>
      </w:r>
      <w:r w:rsidR="00BB745B">
        <w:rPr>
          <w:rFonts w:ascii="Book Antiqua" w:hAnsi="Book Antiqua" w:cs="Times New Roman"/>
          <w:sz w:val="24"/>
          <w:szCs w:val="24"/>
        </w:rPr>
        <w:t xml:space="preserve"> </w:t>
      </w:r>
      <w:r w:rsidRPr="00BD4B64">
        <w:rPr>
          <w:rFonts w:ascii="Book Antiqua" w:hAnsi="Book Antiqua" w:cs="Times New Roman"/>
          <w:sz w:val="24"/>
          <w:szCs w:val="24"/>
        </w:rPr>
        <w:t xml:space="preserve">de 4.000 en milieu rural </w:t>
      </w:r>
    </w:p>
    <w:p w:rsidR="008865DA" w:rsidRPr="00BD4B64" w:rsidRDefault="008865DA" w:rsidP="008865DA">
      <w:pPr>
        <w:spacing w:before="240" w:after="240" w:line="312" w:lineRule="auto"/>
        <w:jc w:val="both"/>
        <w:rPr>
          <w:rFonts w:ascii="Book Antiqua" w:hAnsi="Book Antiqua" w:cs="Times New Roman"/>
          <w:sz w:val="24"/>
          <w:szCs w:val="24"/>
        </w:rPr>
      </w:pPr>
      <w:r w:rsidRPr="00BD4B64">
        <w:rPr>
          <w:rFonts w:ascii="Book Antiqua" w:hAnsi="Book Antiqua" w:cs="Times New Roman"/>
          <w:sz w:val="24"/>
          <w:szCs w:val="24"/>
        </w:rPr>
        <w:t xml:space="preserve">Le taux de chômage est </w:t>
      </w:r>
      <w:r w:rsidR="001B5767" w:rsidRPr="00BD4B64">
        <w:rPr>
          <w:rFonts w:ascii="Book Antiqua" w:hAnsi="Book Antiqua" w:cs="Times New Roman"/>
          <w:sz w:val="24"/>
          <w:szCs w:val="24"/>
        </w:rPr>
        <w:t xml:space="preserve">ainsi </w:t>
      </w:r>
      <w:r w:rsidRPr="00BD4B64">
        <w:rPr>
          <w:rFonts w:ascii="Book Antiqua" w:hAnsi="Book Antiqua" w:cs="Times New Roman"/>
          <w:sz w:val="24"/>
          <w:szCs w:val="24"/>
        </w:rPr>
        <w:t xml:space="preserve">passé de 12,3% à 11,8%. </w:t>
      </w:r>
      <w:r w:rsidR="001B348C">
        <w:rPr>
          <w:rFonts w:ascii="Book Antiqua" w:hAnsi="Book Antiqua" w:cs="Times New Roman"/>
          <w:sz w:val="24"/>
          <w:szCs w:val="24"/>
        </w:rPr>
        <w:t>Il</w:t>
      </w:r>
      <w:r w:rsidRPr="00BD4B64">
        <w:rPr>
          <w:rFonts w:ascii="Book Antiqua" w:hAnsi="Book Antiqua" w:cs="Times New Roman"/>
          <w:sz w:val="24"/>
          <w:szCs w:val="24"/>
        </w:rPr>
        <w:t xml:space="preserve"> est passé de 5,0% à 5,2% (+0,2point) en milieu rural et de 16,9% à 15,8% en milieu urbain (-1,1 point).</w:t>
      </w:r>
      <w:bookmarkStart w:id="2" w:name="_Hlk94175934"/>
    </w:p>
    <w:p w:rsidR="008865DA" w:rsidRPr="00BD4B64" w:rsidRDefault="008865DA" w:rsidP="008865DA">
      <w:pPr>
        <w:spacing w:before="240" w:after="240" w:line="312" w:lineRule="auto"/>
        <w:jc w:val="center"/>
        <w:rPr>
          <w:rFonts w:ascii="Book Antiqua" w:hAnsi="Book Antiqua" w:cs="Times New Roman"/>
          <w:sz w:val="24"/>
          <w:szCs w:val="24"/>
        </w:rPr>
      </w:pPr>
      <w:r w:rsidRPr="00BD4B64">
        <w:rPr>
          <w:rFonts w:ascii="Book Antiqua" w:eastAsia="Book Antiqua" w:hAnsi="Book Antiqua" w:cs="Book Antiqua"/>
          <w:b/>
          <w:sz w:val="20"/>
          <w:szCs w:val="20"/>
        </w:rPr>
        <w:t>Graphique 5 : Evolution du taux de chômage depuis l’année 2017 (en %)</w:t>
      </w:r>
    </w:p>
    <w:p w:rsidR="008865DA" w:rsidRPr="00BD4B64" w:rsidRDefault="008970A7" w:rsidP="008865DA">
      <w:pPr>
        <w:spacing w:before="240" w:after="240" w:line="312" w:lineRule="auto"/>
        <w:jc w:val="center"/>
        <w:rPr>
          <w:rFonts w:ascii="Book Antiqua" w:hAnsi="Book Antiqua" w:cs="Times New Roman"/>
          <w:sz w:val="24"/>
          <w:szCs w:val="24"/>
        </w:rPr>
      </w:pPr>
      <w:r w:rsidRPr="00BD4B64">
        <w:rPr>
          <w:rFonts w:ascii="Book Antiqua" w:hAnsi="Book Antiqua" w:cs="Times New Roman"/>
          <w:noProof/>
          <w:sz w:val="24"/>
          <w:szCs w:val="24"/>
        </w:rPr>
        <w:drawing>
          <wp:inline distT="0" distB="0" distL="0" distR="0">
            <wp:extent cx="5758740" cy="1620981"/>
            <wp:effectExtent l="0" t="0" r="0" b="0"/>
            <wp:docPr id="20" name="Graphique 12">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81461EC6-8CB1-41F8-B2E9-7536A8542A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bookmarkEnd w:id="2"/>
    <w:p w:rsidR="008865DA" w:rsidRPr="00BD4B64" w:rsidRDefault="00A45AB0" w:rsidP="00C31BDC">
      <w:pPr>
        <w:spacing w:before="240" w:after="240" w:line="312" w:lineRule="auto"/>
        <w:jc w:val="both"/>
        <w:rPr>
          <w:rFonts w:ascii="Book Antiqua" w:hAnsi="Book Antiqua" w:cs="Times New Roman"/>
          <w:sz w:val="24"/>
          <w:szCs w:val="24"/>
        </w:rPr>
      </w:pPr>
      <w:r w:rsidRPr="00BD4B64">
        <w:rPr>
          <w:rFonts w:ascii="Book Antiqua" w:hAnsi="Book Antiqua" w:cs="Times New Roman"/>
          <w:sz w:val="24"/>
          <w:szCs w:val="24"/>
        </w:rPr>
        <w:t>L</w:t>
      </w:r>
      <w:r w:rsidR="008865DA" w:rsidRPr="00BD4B64">
        <w:rPr>
          <w:rFonts w:ascii="Book Antiqua" w:hAnsi="Book Antiqua" w:cs="Times New Roman"/>
          <w:sz w:val="24"/>
          <w:szCs w:val="24"/>
        </w:rPr>
        <w:t>e taux de chô</w:t>
      </w:r>
      <w:r w:rsidR="00C31BDC">
        <w:rPr>
          <w:rFonts w:ascii="Book Antiqua" w:hAnsi="Book Antiqua" w:cs="Times New Roman"/>
          <w:sz w:val="24"/>
          <w:szCs w:val="24"/>
        </w:rPr>
        <w:t xml:space="preserve">mage a </w:t>
      </w:r>
      <w:r w:rsidR="00C31BDC" w:rsidRPr="00BD4B64">
        <w:rPr>
          <w:rFonts w:ascii="Book Antiqua" w:hAnsi="Book Antiqua" w:cs="Times New Roman"/>
          <w:sz w:val="24"/>
          <w:szCs w:val="24"/>
        </w:rPr>
        <w:t xml:space="preserve">augmenté </w:t>
      </w:r>
      <w:r w:rsidR="008865DA" w:rsidRPr="00BD4B64">
        <w:rPr>
          <w:rFonts w:ascii="Book Antiqua" w:hAnsi="Book Antiqua" w:cs="Times New Roman"/>
          <w:sz w:val="24"/>
          <w:szCs w:val="24"/>
        </w:rPr>
        <w:t>de 0,4 point pour les femmes, passant de 16,8% à 17,2% et a baissé de 0</w:t>
      </w:r>
      <w:r w:rsidR="00AC140C" w:rsidRPr="00BD4B64">
        <w:rPr>
          <w:rFonts w:ascii="Book Antiqua" w:hAnsi="Book Antiqua" w:cs="Times New Roman"/>
          <w:sz w:val="24"/>
          <w:szCs w:val="24"/>
        </w:rPr>
        <w:t>,</w:t>
      </w:r>
      <w:r w:rsidR="008865DA" w:rsidRPr="00BD4B64">
        <w:rPr>
          <w:rFonts w:ascii="Book Antiqua" w:hAnsi="Book Antiqua" w:cs="Times New Roman"/>
          <w:sz w:val="24"/>
          <w:szCs w:val="24"/>
        </w:rPr>
        <w:t xml:space="preserve">6 point </w:t>
      </w:r>
      <w:r w:rsidR="001B5767" w:rsidRPr="00BD4B64">
        <w:rPr>
          <w:rFonts w:ascii="Book Antiqua" w:hAnsi="Book Antiqua" w:cs="Times New Roman"/>
          <w:sz w:val="24"/>
          <w:szCs w:val="24"/>
        </w:rPr>
        <w:t>pour</w:t>
      </w:r>
      <w:r w:rsidR="008865DA" w:rsidRPr="00BD4B64">
        <w:rPr>
          <w:rFonts w:ascii="Book Antiqua" w:hAnsi="Book Antiqua" w:cs="Times New Roman"/>
          <w:sz w:val="24"/>
          <w:szCs w:val="24"/>
        </w:rPr>
        <w:t xml:space="preserve"> les hommes</w:t>
      </w:r>
      <w:r w:rsidR="00532AEB" w:rsidRPr="00BD4B64">
        <w:rPr>
          <w:rFonts w:ascii="Book Antiqua" w:hAnsi="Book Antiqua" w:cs="Times New Roman"/>
          <w:sz w:val="24"/>
          <w:szCs w:val="24"/>
        </w:rPr>
        <w:t>,</w:t>
      </w:r>
      <w:r w:rsidR="008865DA" w:rsidRPr="00BD4B64">
        <w:rPr>
          <w:rFonts w:ascii="Book Antiqua" w:hAnsi="Book Antiqua" w:cs="Times New Roman"/>
          <w:sz w:val="24"/>
          <w:szCs w:val="24"/>
        </w:rPr>
        <w:t xml:space="preserve"> passant de 10,9</w:t>
      </w:r>
      <w:r w:rsidR="00AC140C" w:rsidRPr="00BD4B64">
        <w:rPr>
          <w:rFonts w:ascii="Book Antiqua" w:hAnsi="Book Antiqua" w:cs="Times New Roman"/>
          <w:sz w:val="24"/>
          <w:szCs w:val="24"/>
        </w:rPr>
        <w:t>%</w:t>
      </w:r>
      <w:r w:rsidR="008865DA" w:rsidRPr="00BD4B64">
        <w:rPr>
          <w:rFonts w:ascii="Book Antiqua" w:hAnsi="Book Antiqua" w:cs="Times New Roman"/>
          <w:sz w:val="24"/>
          <w:szCs w:val="24"/>
        </w:rPr>
        <w:t xml:space="preserve"> à 10,3</w:t>
      </w:r>
      <w:r w:rsidR="00AC140C" w:rsidRPr="00BD4B64">
        <w:rPr>
          <w:rFonts w:ascii="Book Antiqua" w:hAnsi="Book Antiqua" w:cs="Times New Roman"/>
          <w:sz w:val="24"/>
          <w:szCs w:val="24"/>
        </w:rPr>
        <w:t>%</w:t>
      </w:r>
      <w:r w:rsidR="008865DA" w:rsidRPr="00BD4B64">
        <w:rPr>
          <w:rFonts w:ascii="Book Antiqua" w:hAnsi="Book Antiqua" w:cs="Times New Roman"/>
          <w:sz w:val="24"/>
          <w:szCs w:val="24"/>
        </w:rPr>
        <w:t>. Selon le diplôme, le taux de chômage a enregistré une baisse d</w:t>
      </w:r>
      <w:r w:rsidR="001B5767" w:rsidRPr="00BD4B64">
        <w:rPr>
          <w:rFonts w:ascii="Book Antiqua" w:hAnsi="Book Antiqua" w:cs="Times New Roman"/>
          <w:sz w:val="24"/>
          <w:szCs w:val="24"/>
        </w:rPr>
        <w:t>’un</w:t>
      </w:r>
      <w:r w:rsidR="008865DA" w:rsidRPr="00BD4B64">
        <w:rPr>
          <w:rFonts w:ascii="Book Antiqua" w:hAnsi="Book Antiqua" w:cs="Times New Roman"/>
          <w:sz w:val="24"/>
          <w:szCs w:val="24"/>
        </w:rPr>
        <w:t xml:space="preserve"> point parmi les diplômés, passant de 19,6% à 18,6%, et</w:t>
      </w:r>
      <w:r w:rsidR="001B5767" w:rsidRPr="00BD4B64">
        <w:rPr>
          <w:rFonts w:ascii="Book Antiqua" w:hAnsi="Book Antiqua" w:cs="Times New Roman"/>
          <w:sz w:val="24"/>
          <w:szCs w:val="24"/>
        </w:rPr>
        <w:t xml:space="preserve"> de 0,4 point parmi les personnes </w:t>
      </w:r>
      <w:r w:rsidR="001B348C">
        <w:rPr>
          <w:rFonts w:ascii="Book Antiqua" w:hAnsi="Book Antiqua" w:cs="Times New Roman"/>
          <w:sz w:val="24"/>
          <w:szCs w:val="24"/>
        </w:rPr>
        <w:t>n’ayant</w:t>
      </w:r>
      <w:r w:rsidR="00840838">
        <w:rPr>
          <w:rFonts w:ascii="Book Antiqua" w:hAnsi="Book Antiqua" w:cs="Times New Roman"/>
          <w:sz w:val="24"/>
          <w:szCs w:val="24"/>
        </w:rPr>
        <w:t xml:space="preserve"> </w:t>
      </w:r>
      <w:r w:rsidR="001B5767" w:rsidRPr="00BD4B64">
        <w:rPr>
          <w:rFonts w:ascii="Book Antiqua" w:hAnsi="Book Antiqua" w:cs="Times New Roman"/>
          <w:sz w:val="24"/>
          <w:szCs w:val="24"/>
        </w:rPr>
        <w:t>aucun diplôme, passant de</w:t>
      </w:r>
      <w:r w:rsidR="008865DA" w:rsidRPr="00BD4B64">
        <w:rPr>
          <w:rFonts w:ascii="Book Antiqua" w:hAnsi="Book Antiqua" w:cs="Times New Roman"/>
          <w:sz w:val="24"/>
          <w:szCs w:val="24"/>
        </w:rPr>
        <w:t xml:space="preserve"> 4,6% à 4,2%. </w:t>
      </w:r>
    </w:p>
    <w:p w:rsidR="008865DA" w:rsidRPr="00BD4B64" w:rsidRDefault="008865DA" w:rsidP="00035D37">
      <w:pPr>
        <w:spacing w:before="240" w:after="240" w:line="312" w:lineRule="auto"/>
        <w:jc w:val="both"/>
        <w:rPr>
          <w:rFonts w:ascii="Book Antiqua" w:hAnsi="Book Antiqua" w:cs="Times New Roman"/>
          <w:sz w:val="24"/>
          <w:szCs w:val="24"/>
        </w:rPr>
      </w:pPr>
      <w:r w:rsidRPr="00BD4B64">
        <w:rPr>
          <w:rFonts w:ascii="Book Antiqua" w:hAnsi="Book Antiqua" w:cs="Times New Roman"/>
          <w:sz w:val="24"/>
          <w:szCs w:val="24"/>
        </w:rPr>
        <w:t xml:space="preserve">Selon l’âge, le taux de chômage a </w:t>
      </w:r>
      <w:r w:rsidR="001B348C">
        <w:rPr>
          <w:rFonts w:ascii="Book Antiqua" w:hAnsi="Book Antiqua" w:cs="Times New Roman"/>
          <w:sz w:val="24"/>
          <w:szCs w:val="24"/>
        </w:rPr>
        <w:t>connu une hausse</w:t>
      </w:r>
      <w:r w:rsidR="00840838">
        <w:rPr>
          <w:rFonts w:ascii="Book Antiqua" w:hAnsi="Book Antiqua" w:cs="Times New Roman"/>
          <w:sz w:val="24"/>
          <w:szCs w:val="24"/>
        </w:rPr>
        <w:t xml:space="preserve"> </w:t>
      </w:r>
      <w:r w:rsidRPr="00BD4B64">
        <w:rPr>
          <w:rFonts w:ascii="Book Antiqua" w:hAnsi="Book Antiqua" w:cs="Times New Roman"/>
          <w:sz w:val="24"/>
          <w:szCs w:val="24"/>
        </w:rPr>
        <w:t xml:space="preserve">de 0,9 point </w:t>
      </w:r>
      <w:r w:rsidR="001B348C">
        <w:rPr>
          <w:rFonts w:ascii="Book Antiqua" w:hAnsi="Book Antiqua" w:cs="Times New Roman"/>
          <w:sz w:val="24"/>
          <w:szCs w:val="24"/>
        </w:rPr>
        <w:t>parmi</w:t>
      </w:r>
      <w:r w:rsidR="00840838">
        <w:rPr>
          <w:rFonts w:ascii="Book Antiqua" w:hAnsi="Book Antiqua" w:cs="Times New Roman"/>
          <w:sz w:val="24"/>
          <w:szCs w:val="24"/>
        </w:rPr>
        <w:t xml:space="preserve"> </w:t>
      </w:r>
      <w:r w:rsidRPr="00BD4B64">
        <w:rPr>
          <w:rFonts w:ascii="Book Antiqua" w:hAnsi="Book Antiqua" w:cs="Times New Roman"/>
          <w:sz w:val="24"/>
          <w:szCs w:val="24"/>
        </w:rPr>
        <w:t xml:space="preserve">les jeunes âgés de 15 à 24 ans, passant de 31,8% à 32,7% et </w:t>
      </w:r>
      <w:r w:rsidR="001B348C">
        <w:rPr>
          <w:rFonts w:ascii="Book Antiqua" w:hAnsi="Book Antiqua" w:cs="Times New Roman"/>
          <w:sz w:val="24"/>
          <w:szCs w:val="24"/>
        </w:rPr>
        <w:t xml:space="preserve">une baisse parmi </w:t>
      </w:r>
      <w:r w:rsidR="00035D37">
        <w:rPr>
          <w:rFonts w:ascii="Book Antiqua" w:hAnsi="Book Antiqua" w:cs="Times New Roman"/>
          <w:sz w:val="24"/>
          <w:szCs w:val="24"/>
        </w:rPr>
        <w:t xml:space="preserve">les autres catégories d’âge. Il </w:t>
      </w:r>
      <w:r w:rsidR="001B348C">
        <w:rPr>
          <w:rFonts w:ascii="Book Antiqua" w:hAnsi="Book Antiqua" w:cs="Times New Roman"/>
          <w:sz w:val="24"/>
          <w:szCs w:val="24"/>
        </w:rPr>
        <w:t xml:space="preserve">est </w:t>
      </w:r>
      <w:r w:rsidR="00035D37">
        <w:rPr>
          <w:rFonts w:ascii="Book Antiqua" w:hAnsi="Book Antiqua" w:cs="Times New Roman"/>
          <w:sz w:val="24"/>
          <w:szCs w:val="24"/>
        </w:rPr>
        <w:t>passé de</w:t>
      </w:r>
      <w:r w:rsidR="0090682D">
        <w:rPr>
          <w:rFonts w:ascii="Book Antiqua" w:hAnsi="Book Antiqua" w:cs="Times New Roman"/>
          <w:sz w:val="24"/>
          <w:szCs w:val="24"/>
        </w:rPr>
        <w:t xml:space="preserve"> </w:t>
      </w:r>
      <w:r w:rsidR="00035D37" w:rsidRPr="00BD4B64">
        <w:rPr>
          <w:rFonts w:ascii="Book Antiqua" w:hAnsi="Book Antiqua" w:cs="Times New Roman"/>
          <w:sz w:val="24"/>
          <w:szCs w:val="24"/>
        </w:rPr>
        <w:t>19,6% à 19,2%pour les personnes âgées de 25 à 34 ans</w:t>
      </w:r>
      <w:r w:rsidR="00035D37">
        <w:rPr>
          <w:rFonts w:ascii="Book Antiqua" w:hAnsi="Book Antiqua" w:cs="Times New Roman"/>
          <w:sz w:val="24"/>
          <w:szCs w:val="24"/>
        </w:rPr>
        <w:t xml:space="preserve"> (-</w:t>
      </w:r>
      <w:r w:rsidRPr="00BD4B64">
        <w:rPr>
          <w:rFonts w:ascii="Book Antiqua" w:hAnsi="Book Antiqua" w:cs="Times New Roman"/>
          <w:sz w:val="24"/>
          <w:szCs w:val="24"/>
        </w:rPr>
        <w:t>0,4 point</w:t>
      </w:r>
      <w:r w:rsidR="00035D37">
        <w:rPr>
          <w:rFonts w:ascii="Book Antiqua" w:hAnsi="Book Antiqua" w:cs="Times New Roman"/>
          <w:sz w:val="24"/>
          <w:szCs w:val="24"/>
        </w:rPr>
        <w:t>)</w:t>
      </w:r>
      <w:r w:rsidRPr="00BD4B64">
        <w:rPr>
          <w:rFonts w:ascii="Book Antiqua" w:hAnsi="Book Antiqua" w:cs="Times New Roman"/>
          <w:sz w:val="24"/>
          <w:szCs w:val="24"/>
        </w:rPr>
        <w:t>,</w:t>
      </w:r>
      <w:r w:rsidR="00035D37">
        <w:rPr>
          <w:rFonts w:ascii="Book Antiqua" w:hAnsi="Book Antiqua" w:cs="Times New Roman"/>
          <w:sz w:val="24"/>
          <w:szCs w:val="24"/>
        </w:rPr>
        <w:t xml:space="preserve"> de 7% à 6,4%pour </w:t>
      </w:r>
      <w:r w:rsidR="001B348C">
        <w:rPr>
          <w:rFonts w:ascii="Book Antiqua" w:hAnsi="Book Antiqua" w:cs="Times New Roman"/>
          <w:sz w:val="24"/>
          <w:szCs w:val="24"/>
        </w:rPr>
        <w:t>celles</w:t>
      </w:r>
      <w:r w:rsidR="00035D37">
        <w:rPr>
          <w:rFonts w:ascii="Book Antiqua" w:hAnsi="Book Antiqua" w:cs="Times New Roman"/>
          <w:sz w:val="24"/>
          <w:szCs w:val="24"/>
        </w:rPr>
        <w:t xml:space="preserve"> de 3</w:t>
      </w:r>
      <w:r w:rsidR="00035D37" w:rsidRPr="00BD4B64">
        <w:rPr>
          <w:rFonts w:ascii="Book Antiqua" w:hAnsi="Book Antiqua" w:cs="Times New Roman"/>
          <w:sz w:val="24"/>
          <w:szCs w:val="24"/>
        </w:rPr>
        <w:t>5 à</w:t>
      </w:r>
      <w:r w:rsidR="00035D37">
        <w:rPr>
          <w:rFonts w:ascii="Book Antiqua" w:hAnsi="Book Antiqua" w:cs="Times New Roman"/>
          <w:sz w:val="24"/>
          <w:szCs w:val="24"/>
        </w:rPr>
        <w:t xml:space="preserve"> 4</w:t>
      </w:r>
      <w:r w:rsidR="00035D37" w:rsidRPr="00BD4B64">
        <w:rPr>
          <w:rFonts w:ascii="Book Antiqua" w:hAnsi="Book Antiqua" w:cs="Times New Roman"/>
          <w:sz w:val="24"/>
          <w:szCs w:val="24"/>
        </w:rPr>
        <w:t>4 ans</w:t>
      </w:r>
      <w:r w:rsidR="00035D37">
        <w:rPr>
          <w:rFonts w:ascii="Book Antiqua" w:hAnsi="Book Antiqua" w:cs="Times New Roman"/>
          <w:sz w:val="24"/>
          <w:szCs w:val="24"/>
        </w:rPr>
        <w:t xml:space="preserve"> (-0,6) et de 3,8% à 3,3% </w:t>
      </w:r>
      <w:r w:rsidR="00035D37" w:rsidRPr="00BD4B64">
        <w:rPr>
          <w:rFonts w:ascii="Book Antiqua" w:hAnsi="Book Antiqua" w:cs="Times New Roman"/>
          <w:sz w:val="24"/>
          <w:szCs w:val="24"/>
        </w:rPr>
        <w:t xml:space="preserve">pour </w:t>
      </w:r>
      <w:r w:rsidR="001B348C">
        <w:rPr>
          <w:rFonts w:ascii="Book Antiqua" w:hAnsi="Book Antiqua" w:cs="Times New Roman"/>
          <w:sz w:val="24"/>
          <w:szCs w:val="24"/>
        </w:rPr>
        <w:t>celles</w:t>
      </w:r>
      <w:r w:rsidR="00035D37" w:rsidRPr="00BD4B64">
        <w:rPr>
          <w:rFonts w:ascii="Book Antiqua" w:hAnsi="Book Antiqua" w:cs="Times New Roman"/>
          <w:sz w:val="24"/>
          <w:szCs w:val="24"/>
        </w:rPr>
        <w:t xml:space="preserve"> de </w:t>
      </w:r>
      <w:r w:rsidR="00035D37">
        <w:rPr>
          <w:rFonts w:ascii="Book Antiqua" w:hAnsi="Book Antiqua" w:cs="Times New Roman"/>
          <w:sz w:val="24"/>
          <w:szCs w:val="24"/>
        </w:rPr>
        <w:t>4</w:t>
      </w:r>
      <w:r w:rsidR="00035D37" w:rsidRPr="00BD4B64">
        <w:rPr>
          <w:rFonts w:ascii="Book Antiqua" w:hAnsi="Book Antiqua" w:cs="Times New Roman"/>
          <w:sz w:val="24"/>
          <w:szCs w:val="24"/>
        </w:rPr>
        <w:t xml:space="preserve">5 </w:t>
      </w:r>
      <w:r w:rsidR="00035D37">
        <w:rPr>
          <w:rFonts w:ascii="Book Antiqua" w:hAnsi="Book Antiqua" w:cs="Times New Roman"/>
          <w:sz w:val="24"/>
          <w:szCs w:val="24"/>
        </w:rPr>
        <w:t>a</w:t>
      </w:r>
      <w:r w:rsidR="00035D37" w:rsidRPr="00BD4B64">
        <w:rPr>
          <w:rFonts w:ascii="Book Antiqua" w:hAnsi="Book Antiqua" w:cs="Times New Roman"/>
          <w:sz w:val="24"/>
          <w:szCs w:val="24"/>
        </w:rPr>
        <w:t>ns</w:t>
      </w:r>
      <w:r w:rsidR="00035D37">
        <w:rPr>
          <w:rFonts w:ascii="Book Antiqua" w:hAnsi="Book Antiqua" w:cs="Times New Roman"/>
          <w:sz w:val="24"/>
          <w:szCs w:val="24"/>
        </w:rPr>
        <w:t xml:space="preserve"> et plus (-0,5)</w:t>
      </w:r>
      <w:r w:rsidRPr="00BD4B64">
        <w:rPr>
          <w:rFonts w:ascii="Book Antiqua" w:hAnsi="Book Antiqua" w:cs="Times New Roman"/>
          <w:sz w:val="24"/>
          <w:szCs w:val="24"/>
        </w:rPr>
        <w:t>.</w:t>
      </w:r>
    </w:p>
    <w:p w:rsidR="008970A7" w:rsidRPr="00BD4B64" w:rsidRDefault="008970A7">
      <w:pPr>
        <w:spacing w:after="160" w:line="259" w:lineRule="auto"/>
        <w:rPr>
          <w:rFonts w:ascii="Book Antiqua" w:eastAsia="Book Antiqua" w:hAnsi="Book Antiqua" w:cs="Book Antiqua"/>
          <w:b/>
          <w:color w:val="0D0D0D" w:themeColor="text1" w:themeTint="F2"/>
          <w:sz w:val="20"/>
          <w:szCs w:val="20"/>
        </w:rPr>
      </w:pPr>
      <w:bookmarkStart w:id="3" w:name="_Hlk94175903"/>
      <w:r w:rsidRPr="00BD4B64">
        <w:rPr>
          <w:rFonts w:ascii="Book Antiqua" w:eastAsia="Book Antiqua" w:hAnsi="Book Antiqua" w:cs="Book Antiqua"/>
          <w:b/>
          <w:color w:val="0D0D0D" w:themeColor="text1" w:themeTint="F2"/>
          <w:sz w:val="20"/>
          <w:szCs w:val="20"/>
        </w:rPr>
        <w:br w:type="page"/>
      </w:r>
    </w:p>
    <w:p w:rsidR="008865DA" w:rsidRPr="00BD4B64" w:rsidRDefault="008865DA" w:rsidP="008865DA">
      <w:pPr>
        <w:rPr>
          <w:rFonts w:ascii="Book Antiqua" w:eastAsia="Book Antiqua" w:hAnsi="Book Antiqua" w:cs="Book Antiqua"/>
          <w:b/>
          <w:color w:val="0D0D0D" w:themeColor="text1" w:themeTint="F2"/>
          <w:sz w:val="20"/>
          <w:szCs w:val="20"/>
        </w:rPr>
      </w:pPr>
      <w:r w:rsidRPr="00BD4B64">
        <w:rPr>
          <w:rFonts w:ascii="Book Antiqua" w:eastAsia="Book Antiqua" w:hAnsi="Book Antiqua" w:cs="Book Antiqua"/>
          <w:b/>
          <w:color w:val="0D0D0D" w:themeColor="text1" w:themeTint="F2"/>
          <w:sz w:val="20"/>
          <w:szCs w:val="20"/>
        </w:rPr>
        <w:lastRenderedPageBreak/>
        <w:t>Graphique 6: Evolution du taux de chômage entre 2021 et 2022 pour certaines catégories de la population (en %)</w:t>
      </w:r>
    </w:p>
    <w:p w:rsidR="008865DA" w:rsidRPr="00BD4B64" w:rsidRDefault="008865DA" w:rsidP="008865DA">
      <w:pPr>
        <w:spacing w:before="240" w:after="240" w:line="312" w:lineRule="auto"/>
        <w:jc w:val="center"/>
        <w:rPr>
          <w:rFonts w:ascii="Book Antiqua" w:eastAsia="Book Antiqua" w:hAnsi="Book Antiqua" w:cs="Book Antiqua"/>
          <w:sz w:val="24"/>
          <w:szCs w:val="24"/>
        </w:rPr>
      </w:pPr>
      <w:r w:rsidRPr="00BD4B64">
        <w:rPr>
          <w:noProof/>
        </w:rPr>
        <w:drawing>
          <wp:inline distT="0" distB="0" distL="0" distR="0">
            <wp:extent cx="4732935" cy="2004365"/>
            <wp:effectExtent l="0" t="0" r="0" b="0"/>
            <wp:docPr id="11"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865DA" w:rsidRPr="00BD4B64" w:rsidRDefault="008865DA" w:rsidP="008865DA">
      <w:pPr>
        <w:spacing w:before="240" w:after="240" w:line="312" w:lineRule="auto"/>
        <w:rPr>
          <w:rFonts w:ascii="Book Antiqua" w:eastAsia="Book Antiqua" w:hAnsi="Book Antiqua" w:cs="Book Antiqua"/>
          <w:b/>
          <w:bCs/>
          <w:color w:val="8496B0" w:themeColor="text2" w:themeTint="99"/>
          <w:sz w:val="26"/>
          <w:szCs w:val="26"/>
        </w:rPr>
      </w:pPr>
      <w:r w:rsidRPr="00BD4B64">
        <w:rPr>
          <w:rFonts w:ascii="Book Antiqua" w:eastAsia="Book Antiqua" w:hAnsi="Book Antiqua" w:cs="Book Antiqua"/>
          <w:b/>
          <w:bCs/>
          <w:color w:val="8496B0" w:themeColor="text2" w:themeTint="99"/>
          <w:sz w:val="26"/>
          <w:szCs w:val="26"/>
        </w:rPr>
        <w:t>Baisse du sous-emploi</w:t>
      </w:r>
    </w:p>
    <w:bookmarkEnd w:id="3"/>
    <w:p w:rsidR="008865DA" w:rsidRPr="00BD4B64" w:rsidRDefault="008865DA" w:rsidP="001D5F3B">
      <w:pPr>
        <w:spacing w:before="240" w:after="240" w:line="312" w:lineRule="auto"/>
        <w:jc w:val="both"/>
        <w:rPr>
          <w:rFonts w:ascii="Book Antiqua" w:eastAsia="Book Antiqua" w:hAnsi="Book Antiqua" w:cs="Book Antiqua"/>
          <w:b/>
          <w:color w:val="0D0D0D" w:themeColor="text1" w:themeTint="F2"/>
          <w:sz w:val="20"/>
          <w:szCs w:val="20"/>
        </w:rPr>
      </w:pPr>
      <w:r w:rsidRPr="00BD4B64">
        <w:rPr>
          <w:rFonts w:ascii="Book Antiqua" w:eastAsia="Book Antiqua" w:hAnsi="Book Antiqua" w:cs="Book Antiqua"/>
          <w:sz w:val="24"/>
          <w:szCs w:val="24"/>
        </w:rPr>
        <w:t>Le volume du sous-emploi est passé</w:t>
      </w:r>
      <w:r w:rsidR="001F5B45">
        <w:rPr>
          <w:rFonts w:ascii="Book Antiqua" w:eastAsia="Book Antiqua" w:hAnsi="Book Antiqua" w:cs="Book Antiqua"/>
          <w:sz w:val="24"/>
          <w:szCs w:val="24"/>
        </w:rPr>
        <w:t xml:space="preserve"> </w:t>
      </w:r>
      <w:r w:rsidR="001B348C">
        <w:rPr>
          <w:rFonts w:ascii="Book Antiqua" w:eastAsia="Book Antiqua" w:hAnsi="Book Antiqua" w:cs="Book Antiqua"/>
          <w:sz w:val="24"/>
          <w:szCs w:val="24"/>
        </w:rPr>
        <w:t>entre 2021 et 2022</w:t>
      </w:r>
      <w:r w:rsidRPr="00BD4B64">
        <w:rPr>
          <w:rFonts w:ascii="Book Antiqua" w:eastAsia="Book Antiqua" w:hAnsi="Book Antiqua" w:cs="Book Antiqua"/>
          <w:sz w:val="24"/>
          <w:szCs w:val="24"/>
        </w:rPr>
        <w:t xml:space="preserve"> de 1.003.000 à 972.000 personnes, de 550.000 à 520.000 </w:t>
      </w:r>
      <w:r w:rsidR="00035D37">
        <w:rPr>
          <w:rFonts w:ascii="Book Antiqua" w:eastAsia="Book Antiqua" w:hAnsi="Book Antiqua" w:cs="Book Antiqua"/>
          <w:sz w:val="24"/>
          <w:szCs w:val="24"/>
        </w:rPr>
        <w:t xml:space="preserve">en milieu </w:t>
      </w:r>
      <w:r w:rsidR="001D5F3B">
        <w:rPr>
          <w:rFonts w:ascii="Book Antiqua" w:eastAsia="Book Antiqua" w:hAnsi="Book Antiqua" w:cs="Book Antiqua"/>
          <w:sz w:val="24"/>
          <w:szCs w:val="24"/>
        </w:rPr>
        <w:t>urbain</w:t>
      </w:r>
      <w:r w:rsidRPr="00BD4B64">
        <w:rPr>
          <w:rFonts w:ascii="Book Antiqua" w:eastAsia="Book Antiqua" w:hAnsi="Book Antiqua" w:cs="Book Antiqua"/>
          <w:sz w:val="24"/>
          <w:szCs w:val="24"/>
        </w:rPr>
        <w:t xml:space="preserve"> et de 453.000 à 452.000</w:t>
      </w:r>
      <w:r w:rsidR="001D5F3B">
        <w:rPr>
          <w:rFonts w:ascii="Book Antiqua" w:eastAsia="Book Antiqua" w:hAnsi="Book Antiqua" w:cs="Book Antiqua"/>
          <w:sz w:val="24"/>
          <w:szCs w:val="24"/>
        </w:rPr>
        <w:t xml:space="preserve"> en milieu rural</w:t>
      </w:r>
      <w:r w:rsidRPr="00BD4B64">
        <w:rPr>
          <w:rFonts w:ascii="Book Antiqua" w:eastAsia="Book Antiqua" w:hAnsi="Book Antiqua" w:cs="Book Antiqua"/>
          <w:sz w:val="24"/>
          <w:szCs w:val="24"/>
        </w:rPr>
        <w:t xml:space="preserve">. Le taux de sous-emploi </w:t>
      </w:r>
      <w:r w:rsidR="001B348C">
        <w:rPr>
          <w:rFonts w:ascii="Book Antiqua" w:eastAsia="Book Antiqua" w:hAnsi="Book Antiqua" w:cs="Book Antiqua"/>
          <w:sz w:val="24"/>
          <w:szCs w:val="24"/>
        </w:rPr>
        <w:t>a</w:t>
      </w:r>
      <w:r w:rsidR="001F5B45">
        <w:rPr>
          <w:rFonts w:ascii="Book Antiqua" w:eastAsia="Book Antiqua" w:hAnsi="Book Antiqua" w:cs="Book Antiqua"/>
          <w:sz w:val="24"/>
          <w:szCs w:val="24"/>
        </w:rPr>
        <w:t xml:space="preserve"> </w:t>
      </w:r>
      <w:r w:rsidRPr="00BD4B64">
        <w:rPr>
          <w:rFonts w:ascii="Book Antiqua" w:eastAsia="Book Antiqua" w:hAnsi="Book Antiqua" w:cs="Book Antiqua"/>
          <w:sz w:val="24"/>
          <w:szCs w:val="24"/>
        </w:rPr>
        <w:t xml:space="preserve">ainsi </w:t>
      </w:r>
      <w:r w:rsidR="001B348C">
        <w:rPr>
          <w:rFonts w:ascii="Book Antiqua" w:eastAsia="Book Antiqua" w:hAnsi="Book Antiqua" w:cs="Book Antiqua"/>
          <w:sz w:val="24"/>
          <w:szCs w:val="24"/>
        </w:rPr>
        <w:t>baissé</w:t>
      </w:r>
      <w:r w:rsidRPr="00BD4B64">
        <w:rPr>
          <w:rFonts w:ascii="Book Antiqua" w:eastAsia="Book Antiqua" w:hAnsi="Book Antiqua" w:cs="Book Antiqua"/>
          <w:sz w:val="24"/>
          <w:szCs w:val="24"/>
        </w:rPr>
        <w:t xml:space="preserve"> de 9,3% à 9,0%</w:t>
      </w:r>
      <w:r w:rsidR="001B348C" w:rsidRPr="00BD4B64">
        <w:rPr>
          <w:rFonts w:ascii="Book Antiqua" w:eastAsia="Book Antiqua" w:hAnsi="Book Antiqua" w:cs="Book Antiqua"/>
          <w:sz w:val="24"/>
          <w:szCs w:val="24"/>
        </w:rPr>
        <w:t xml:space="preserve"> au niveau national</w:t>
      </w:r>
      <w:r w:rsidRPr="00BD4B64">
        <w:rPr>
          <w:rFonts w:ascii="Book Antiqua" w:eastAsia="Book Antiqua" w:hAnsi="Book Antiqua" w:cs="Book Antiqua"/>
          <w:sz w:val="24"/>
          <w:szCs w:val="24"/>
        </w:rPr>
        <w:t>, de 8,8% à 8,1% en milieu urbain et de 10,0% à 10,4% en milieu rural</w:t>
      </w:r>
      <w:r w:rsidRPr="00BD4B64">
        <w:rPr>
          <w:rFonts w:ascii="Book Antiqua" w:eastAsia="Book Antiqua" w:hAnsi="Book Antiqua" w:cs="Book Antiqua"/>
          <w:b/>
          <w:color w:val="0D0D0D" w:themeColor="text1" w:themeTint="F2"/>
          <w:sz w:val="20"/>
          <w:szCs w:val="20"/>
        </w:rPr>
        <w:t>.</w:t>
      </w:r>
    </w:p>
    <w:p w:rsidR="008865DA" w:rsidRPr="00BD4B64" w:rsidRDefault="008865DA" w:rsidP="008865DA">
      <w:pPr>
        <w:spacing w:after="160" w:line="259" w:lineRule="auto"/>
        <w:rPr>
          <w:rFonts w:ascii="Book Antiqua" w:eastAsia="Book Antiqua" w:hAnsi="Book Antiqua" w:cs="Book Antiqua"/>
          <w:b/>
          <w:color w:val="0D0D0D" w:themeColor="text1" w:themeTint="F2"/>
          <w:sz w:val="20"/>
          <w:szCs w:val="20"/>
        </w:rPr>
      </w:pPr>
      <w:r w:rsidRPr="00BD4B64">
        <w:rPr>
          <w:rFonts w:ascii="Book Antiqua" w:eastAsia="Book Antiqua" w:hAnsi="Book Antiqua" w:cs="Book Antiqua"/>
          <w:b/>
          <w:color w:val="0D0D0D" w:themeColor="text1" w:themeTint="F2"/>
          <w:sz w:val="20"/>
          <w:szCs w:val="20"/>
        </w:rPr>
        <w:t>Graphique 7 : Evolution du taux de sous-emploi entre 2021 et 2022 par milieu de résidence (en %)</w:t>
      </w:r>
    </w:p>
    <w:p w:rsidR="008865DA" w:rsidRPr="00BD4B64" w:rsidRDefault="008865DA" w:rsidP="008865DA">
      <w:pPr>
        <w:spacing w:after="160" w:line="259" w:lineRule="auto"/>
        <w:jc w:val="center"/>
        <w:rPr>
          <w:rFonts w:ascii="Book Antiqua" w:hAnsi="Book Antiqua" w:cs="Times New Roman"/>
          <w:b/>
          <w:bCs/>
          <w:sz w:val="20"/>
          <w:szCs w:val="20"/>
        </w:rPr>
      </w:pPr>
      <w:r w:rsidRPr="00BD4B64">
        <w:rPr>
          <w:noProof/>
        </w:rPr>
        <w:drawing>
          <wp:inline distT="0" distB="0" distL="0" distR="0">
            <wp:extent cx="4528109" cy="1814170"/>
            <wp:effectExtent l="0" t="0" r="0" b="0"/>
            <wp:docPr id="12"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865DA" w:rsidRPr="00BD4B64" w:rsidRDefault="008865DA" w:rsidP="008865DA">
      <w:pPr>
        <w:jc w:val="center"/>
        <w:rPr>
          <w:rFonts w:ascii="Book Antiqua" w:eastAsia="Book Antiqua" w:hAnsi="Book Antiqua" w:cs="Book Antiqua"/>
          <w:b/>
          <w:color w:val="0D0D0D" w:themeColor="text1" w:themeTint="F2"/>
          <w:sz w:val="20"/>
          <w:szCs w:val="20"/>
        </w:rPr>
      </w:pPr>
    </w:p>
    <w:p w:rsidR="008865DA" w:rsidRPr="00BD4B64" w:rsidRDefault="008865DA" w:rsidP="008865DA">
      <w:pPr>
        <w:spacing w:after="160" w:line="259" w:lineRule="auto"/>
        <w:rPr>
          <w:rFonts w:ascii="Book Antiqua" w:eastAsiaTheme="majorEastAsia" w:hAnsi="Book Antiqua" w:cstheme="majorHAnsi"/>
          <w:b/>
          <w:bCs/>
          <w:color w:val="1F3864" w:themeColor="accent1" w:themeShade="80"/>
          <w:spacing w:val="-10"/>
          <w:kern w:val="28"/>
          <w:sz w:val="28"/>
          <w:szCs w:val="28"/>
          <w:lang w:eastAsia="en-US"/>
        </w:rPr>
      </w:pPr>
    </w:p>
    <w:p w:rsidR="003049D0" w:rsidRPr="00BD4B64" w:rsidRDefault="003049D0" w:rsidP="003049D0">
      <w:pPr>
        <w:spacing w:after="160" w:line="259" w:lineRule="auto"/>
        <w:jc w:val="center"/>
        <w:rPr>
          <w:rFonts w:ascii="Book Antiqua" w:hAnsi="Book Antiqua" w:cs="Times New Roman"/>
          <w:b/>
          <w:bCs/>
          <w:sz w:val="20"/>
          <w:szCs w:val="20"/>
        </w:rPr>
      </w:pPr>
    </w:p>
    <w:p w:rsidR="004E2812" w:rsidRPr="00BD4B64" w:rsidRDefault="004E2812" w:rsidP="001119A1">
      <w:pPr>
        <w:jc w:val="center"/>
        <w:rPr>
          <w:rFonts w:ascii="Book Antiqua" w:eastAsia="Book Antiqua" w:hAnsi="Book Antiqua" w:cs="Book Antiqua"/>
          <w:b/>
          <w:color w:val="0D0D0D" w:themeColor="text1" w:themeTint="F2"/>
          <w:sz w:val="20"/>
          <w:szCs w:val="20"/>
        </w:rPr>
      </w:pPr>
    </w:p>
    <w:p w:rsidR="003049D0" w:rsidRPr="00BD4B64" w:rsidRDefault="003049D0">
      <w:pPr>
        <w:spacing w:after="160" w:line="259" w:lineRule="auto"/>
        <w:rPr>
          <w:rFonts w:ascii="Book Antiqua" w:eastAsiaTheme="majorEastAsia" w:hAnsi="Book Antiqua" w:cstheme="majorHAnsi"/>
          <w:b/>
          <w:bCs/>
          <w:color w:val="1F3864" w:themeColor="accent1" w:themeShade="80"/>
          <w:spacing w:val="-10"/>
          <w:kern w:val="28"/>
          <w:sz w:val="28"/>
          <w:szCs w:val="28"/>
          <w:lang w:eastAsia="en-US"/>
        </w:rPr>
      </w:pPr>
      <w:r w:rsidRPr="00BD4B64">
        <w:rPr>
          <w:rFonts w:ascii="Book Antiqua" w:hAnsi="Book Antiqua" w:cstheme="majorHAnsi"/>
          <w:b/>
          <w:bCs/>
          <w:color w:val="1F3864" w:themeColor="accent1" w:themeShade="80"/>
          <w:spacing w:val="-10"/>
          <w:kern w:val="28"/>
          <w:sz w:val="28"/>
          <w:szCs w:val="28"/>
        </w:rPr>
        <w:br w:type="page"/>
      </w:r>
    </w:p>
    <w:p w:rsidR="001119A1" w:rsidRPr="00BD4B64" w:rsidRDefault="001119A1" w:rsidP="001119A1">
      <w:pPr>
        <w:pStyle w:val="MMTopic2"/>
        <w:numPr>
          <w:ilvl w:val="0"/>
          <w:numId w:val="0"/>
        </w:numPr>
        <w:spacing w:line="360" w:lineRule="auto"/>
        <w:jc w:val="both"/>
        <w:rPr>
          <w:rFonts w:ascii="Book Antiqua" w:hAnsi="Book Antiqua" w:cstheme="majorHAnsi"/>
          <w:b/>
          <w:bCs/>
          <w:color w:val="1F3864" w:themeColor="accent1" w:themeShade="80"/>
          <w:spacing w:val="-10"/>
          <w:kern w:val="28"/>
          <w:sz w:val="28"/>
          <w:szCs w:val="28"/>
          <w:lang w:val="fr-FR"/>
        </w:rPr>
      </w:pPr>
      <w:r w:rsidRPr="00BD4B64">
        <w:rPr>
          <w:rFonts w:ascii="Book Antiqua" w:hAnsi="Book Antiqua" w:cstheme="majorHAnsi"/>
          <w:b/>
          <w:bCs/>
          <w:color w:val="1F3864" w:themeColor="accent1" w:themeShade="80"/>
          <w:spacing w:val="-10"/>
          <w:kern w:val="28"/>
          <w:sz w:val="28"/>
          <w:szCs w:val="28"/>
          <w:lang w:val="fr-FR"/>
        </w:rPr>
        <w:lastRenderedPageBreak/>
        <w:t>III. Situation régionale du marché du travail</w:t>
      </w:r>
    </w:p>
    <w:p w:rsidR="004E2812" w:rsidRPr="00BD4B64" w:rsidRDefault="001B348C" w:rsidP="00FD61C1">
      <w:pPr>
        <w:spacing w:before="240" w:line="360" w:lineRule="auto"/>
        <w:jc w:val="both"/>
        <w:rPr>
          <w:rFonts w:ascii="Book Antiqua" w:eastAsiaTheme="minorEastAsia" w:hAnsi="Book Antiqua" w:cs="Times New Roman"/>
          <w:sz w:val="24"/>
          <w:szCs w:val="24"/>
        </w:rPr>
      </w:pPr>
      <w:r>
        <w:rPr>
          <w:rFonts w:ascii="Book Antiqua" w:hAnsi="Book Antiqua" w:cs="Times New Roman"/>
          <w:sz w:val="24"/>
          <w:szCs w:val="24"/>
        </w:rPr>
        <w:t>En 2022, 5</w:t>
      </w:r>
      <w:r w:rsidR="004E2812" w:rsidRPr="00BD4B64">
        <w:rPr>
          <w:rFonts w:ascii="Book Antiqua" w:hAnsi="Book Antiqua" w:cs="Times New Roman"/>
          <w:sz w:val="24"/>
          <w:szCs w:val="24"/>
        </w:rPr>
        <w:t xml:space="preserve"> régions abritent 72</w:t>
      </w:r>
      <w:r w:rsidR="00354DEB" w:rsidRPr="00BD4B64">
        <w:rPr>
          <w:rFonts w:ascii="Book Antiqua" w:hAnsi="Book Antiqua" w:cs="Times New Roman"/>
          <w:sz w:val="24"/>
          <w:szCs w:val="24"/>
        </w:rPr>
        <w:t>,6</w:t>
      </w:r>
      <w:r w:rsidR="004E2812" w:rsidRPr="00BD4B64">
        <w:rPr>
          <w:rFonts w:ascii="Book Antiqua" w:hAnsi="Book Antiqua" w:cs="Times New Roman"/>
          <w:sz w:val="24"/>
          <w:szCs w:val="24"/>
        </w:rPr>
        <w:t>% de l’ensemble des actifs âgés de 15 ans et plus. La région de Casablanca-Settat vient en première position avec 22,2%, suivie de Rabat-Salé-Kénitra (13,</w:t>
      </w:r>
      <w:r w:rsidR="00354DEB" w:rsidRPr="00BD4B64">
        <w:rPr>
          <w:rFonts w:ascii="Book Antiqua" w:hAnsi="Book Antiqua" w:cs="Times New Roman"/>
          <w:sz w:val="24"/>
          <w:szCs w:val="24"/>
        </w:rPr>
        <w:t>7</w:t>
      </w:r>
      <w:r w:rsidR="004E2812" w:rsidRPr="00BD4B64">
        <w:rPr>
          <w:rFonts w:ascii="Book Antiqua" w:hAnsi="Book Antiqua" w:cs="Times New Roman"/>
          <w:sz w:val="24"/>
          <w:szCs w:val="24"/>
        </w:rPr>
        <w:t>%), de Marrakech-Safi (13,</w:t>
      </w:r>
      <w:r w:rsidR="00354DEB" w:rsidRPr="00BD4B64">
        <w:rPr>
          <w:rFonts w:ascii="Book Antiqua" w:hAnsi="Book Antiqua" w:cs="Times New Roman"/>
          <w:sz w:val="24"/>
          <w:szCs w:val="24"/>
        </w:rPr>
        <w:t>1</w:t>
      </w:r>
      <w:r w:rsidR="004E2812" w:rsidRPr="00BD4B64">
        <w:rPr>
          <w:rFonts w:ascii="Book Antiqua" w:hAnsi="Book Antiqua" w:cs="Times New Roman"/>
          <w:sz w:val="24"/>
          <w:szCs w:val="24"/>
        </w:rPr>
        <w:t>%), de Tanger-Tétouan-Al Hoceima (1</w:t>
      </w:r>
      <w:r w:rsidR="00354DEB" w:rsidRPr="00BD4B64">
        <w:rPr>
          <w:rFonts w:ascii="Book Antiqua" w:hAnsi="Book Antiqua" w:cs="Times New Roman"/>
          <w:sz w:val="24"/>
          <w:szCs w:val="24"/>
        </w:rPr>
        <w:t>2</w:t>
      </w:r>
      <w:r w:rsidR="004E2812" w:rsidRPr="00BD4B64">
        <w:rPr>
          <w:rFonts w:ascii="Book Antiqua" w:hAnsi="Book Antiqua" w:cs="Times New Roman"/>
          <w:sz w:val="24"/>
          <w:szCs w:val="24"/>
        </w:rPr>
        <w:t>%) et de Fès-Meknès (11,</w:t>
      </w:r>
      <w:r w:rsidR="00354DEB" w:rsidRPr="00BD4B64">
        <w:rPr>
          <w:rFonts w:ascii="Book Antiqua" w:hAnsi="Book Antiqua" w:cs="Times New Roman"/>
          <w:sz w:val="24"/>
          <w:szCs w:val="24"/>
        </w:rPr>
        <w:t>6</w:t>
      </w:r>
      <w:r w:rsidR="004E2812" w:rsidRPr="00BD4B64">
        <w:rPr>
          <w:rFonts w:ascii="Book Antiqua" w:hAnsi="Book Antiqua" w:cs="Times New Roman"/>
          <w:sz w:val="24"/>
          <w:szCs w:val="24"/>
        </w:rPr>
        <w:t>%).</w:t>
      </w:r>
    </w:p>
    <w:p w:rsidR="004E2812" w:rsidRPr="00BD4B64" w:rsidRDefault="004E2812" w:rsidP="004370EE">
      <w:pPr>
        <w:spacing w:line="360" w:lineRule="auto"/>
        <w:jc w:val="both"/>
        <w:rPr>
          <w:rFonts w:ascii="Book Antiqua" w:hAnsi="Book Antiqua" w:cs="Times New Roman"/>
          <w:sz w:val="24"/>
          <w:szCs w:val="24"/>
        </w:rPr>
      </w:pPr>
      <w:r w:rsidRPr="00BD4B64">
        <w:rPr>
          <w:rFonts w:ascii="Book Antiqua" w:hAnsi="Book Antiqua" w:cs="Times New Roman"/>
          <w:sz w:val="24"/>
          <w:szCs w:val="24"/>
        </w:rPr>
        <w:t>Trois régions enregistrent des taux d’activité supérieurs à la moyenne nationale (4</w:t>
      </w:r>
      <w:r w:rsidR="004370EE" w:rsidRPr="00BD4B64">
        <w:rPr>
          <w:rFonts w:ascii="Book Antiqua" w:hAnsi="Book Antiqua" w:cs="Times New Roman"/>
          <w:sz w:val="24"/>
          <w:szCs w:val="24"/>
        </w:rPr>
        <w:t>4</w:t>
      </w:r>
      <w:r w:rsidRPr="00BD4B64">
        <w:rPr>
          <w:rFonts w:ascii="Book Antiqua" w:hAnsi="Book Antiqua" w:cs="Times New Roman"/>
          <w:sz w:val="24"/>
          <w:szCs w:val="24"/>
        </w:rPr>
        <w:t xml:space="preserve">,3%). Il s’agit </w:t>
      </w:r>
      <w:r w:rsidR="00BF58E1" w:rsidRPr="00BD4B64">
        <w:rPr>
          <w:rFonts w:ascii="Book Antiqua" w:hAnsi="Book Antiqua" w:cs="Times New Roman"/>
          <w:sz w:val="24"/>
          <w:szCs w:val="24"/>
        </w:rPr>
        <w:t>des</w:t>
      </w:r>
      <w:r w:rsidR="007D2FFA" w:rsidRPr="00BD4B64">
        <w:rPr>
          <w:rFonts w:ascii="Book Antiqua" w:hAnsi="Book Antiqua" w:cs="Times New Roman"/>
          <w:sz w:val="24"/>
          <w:szCs w:val="24"/>
        </w:rPr>
        <w:t xml:space="preserve"> régions de </w:t>
      </w:r>
      <w:r w:rsidRPr="00BD4B64">
        <w:rPr>
          <w:rFonts w:ascii="Book Antiqua" w:hAnsi="Book Antiqua" w:cs="Times New Roman"/>
          <w:sz w:val="24"/>
          <w:szCs w:val="24"/>
        </w:rPr>
        <w:t>Tanger-Tétouan-Al Hoceima (</w:t>
      </w:r>
      <w:r w:rsidR="004370EE" w:rsidRPr="00BD4B64">
        <w:rPr>
          <w:rFonts w:ascii="Book Antiqua" w:hAnsi="Book Antiqua" w:cs="Times New Roman"/>
          <w:sz w:val="24"/>
          <w:szCs w:val="24"/>
        </w:rPr>
        <w:t>50</w:t>
      </w:r>
      <w:r w:rsidRPr="00BD4B64">
        <w:rPr>
          <w:rFonts w:ascii="Book Antiqua" w:hAnsi="Book Antiqua" w:cs="Times New Roman"/>
          <w:sz w:val="24"/>
          <w:szCs w:val="24"/>
        </w:rPr>
        <w:t>,</w:t>
      </w:r>
      <w:r w:rsidR="004370EE" w:rsidRPr="00BD4B64">
        <w:rPr>
          <w:rFonts w:ascii="Book Antiqua" w:hAnsi="Book Antiqua" w:cs="Times New Roman"/>
          <w:sz w:val="24"/>
          <w:szCs w:val="24"/>
        </w:rPr>
        <w:t>1</w:t>
      </w:r>
      <w:r w:rsidRPr="00BD4B64">
        <w:rPr>
          <w:rFonts w:ascii="Book Antiqua" w:hAnsi="Book Antiqua" w:cs="Times New Roman"/>
          <w:sz w:val="24"/>
          <w:szCs w:val="24"/>
        </w:rPr>
        <w:t>%),</w:t>
      </w:r>
      <w:r w:rsidR="001F5B45">
        <w:rPr>
          <w:rFonts w:ascii="Book Antiqua" w:hAnsi="Book Antiqua" w:cs="Times New Roman"/>
          <w:sz w:val="24"/>
          <w:szCs w:val="24"/>
        </w:rPr>
        <w:t xml:space="preserve"> </w:t>
      </w:r>
      <w:r w:rsidR="00BF58E1" w:rsidRPr="00BD4B64">
        <w:rPr>
          <w:rFonts w:ascii="Book Antiqua" w:hAnsi="Book Antiqua" w:cs="Times New Roman"/>
          <w:sz w:val="24"/>
          <w:szCs w:val="24"/>
        </w:rPr>
        <w:t>de</w:t>
      </w:r>
      <w:r w:rsidR="001F5B45">
        <w:rPr>
          <w:rFonts w:ascii="Book Antiqua" w:hAnsi="Book Antiqua" w:cs="Times New Roman"/>
          <w:sz w:val="24"/>
          <w:szCs w:val="24"/>
        </w:rPr>
        <w:t xml:space="preserve"> </w:t>
      </w:r>
      <w:r w:rsidRPr="00BD4B64">
        <w:rPr>
          <w:rFonts w:ascii="Book Antiqua" w:hAnsi="Book Antiqua" w:cs="Times New Roman"/>
          <w:sz w:val="24"/>
          <w:szCs w:val="24"/>
        </w:rPr>
        <w:t>Casablanca-Settat (4</w:t>
      </w:r>
      <w:r w:rsidR="004370EE" w:rsidRPr="00BD4B64">
        <w:rPr>
          <w:rFonts w:ascii="Book Antiqua" w:hAnsi="Book Antiqua" w:cs="Times New Roman"/>
          <w:sz w:val="24"/>
          <w:szCs w:val="24"/>
        </w:rPr>
        <w:t>6</w:t>
      </w:r>
      <w:r w:rsidRPr="00BD4B64">
        <w:rPr>
          <w:rFonts w:ascii="Book Antiqua" w:hAnsi="Book Antiqua" w:cs="Times New Roman"/>
          <w:sz w:val="24"/>
          <w:szCs w:val="24"/>
        </w:rPr>
        <w:t xml:space="preserve">,7%) et </w:t>
      </w:r>
      <w:r w:rsidR="00BF58E1" w:rsidRPr="00BD4B64">
        <w:rPr>
          <w:rFonts w:ascii="Book Antiqua" w:hAnsi="Book Antiqua" w:cs="Times New Roman"/>
          <w:sz w:val="24"/>
          <w:szCs w:val="24"/>
        </w:rPr>
        <w:t>de Marrakech</w:t>
      </w:r>
      <w:r w:rsidRPr="00BD4B64">
        <w:rPr>
          <w:rFonts w:ascii="Book Antiqua" w:hAnsi="Book Antiqua" w:cs="Times New Roman"/>
          <w:sz w:val="24"/>
          <w:szCs w:val="24"/>
        </w:rPr>
        <w:t>-Safi (4</w:t>
      </w:r>
      <w:r w:rsidR="004370EE" w:rsidRPr="00BD4B64">
        <w:rPr>
          <w:rFonts w:ascii="Book Antiqua" w:hAnsi="Book Antiqua" w:cs="Times New Roman"/>
          <w:sz w:val="24"/>
          <w:szCs w:val="24"/>
        </w:rPr>
        <w:t>5</w:t>
      </w:r>
      <w:r w:rsidRPr="00BD4B64">
        <w:rPr>
          <w:rFonts w:ascii="Book Antiqua" w:hAnsi="Book Antiqua" w:cs="Times New Roman"/>
          <w:sz w:val="24"/>
          <w:szCs w:val="24"/>
        </w:rPr>
        <w:t>,</w:t>
      </w:r>
      <w:r w:rsidR="004370EE" w:rsidRPr="00BD4B64">
        <w:rPr>
          <w:rFonts w:ascii="Book Antiqua" w:hAnsi="Book Antiqua" w:cs="Times New Roman"/>
          <w:sz w:val="24"/>
          <w:szCs w:val="24"/>
        </w:rPr>
        <w:t>0</w:t>
      </w:r>
      <w:r w:rsidRPr="00BD4B64">
        <w:rPr>
          <w:rFonts w:ascii="Book Antiqua" w:hAnsi="Book Antiqua" w:cs="Times New Roman"/>
          <w:sz w:val="24"/>
          <w:szCs w:val="24"/>
        </w:rPr>
        <w:t>%). En revanche, les taux les plus bas sont enregistrés dans les régions de Souss-Massa (</w:t>
      </w:r>
      <w:r w:rsidR="004370EE" w:rsidRPr="00BD4B64">
        <w:rPr>
          <w:rFonts w:ascii="Book Antiqua" w:hAnsi="Book Antiqua" w:cs="Times New Roman"/>
          <w:sz w:val="24"/>
          <w:szCs w:val="24"/>
        </w:rPr>
        <w:t>38</w:t>
      </w:r>
      <w:r w:rsidRPr="00BD4B64">
        <w:rPr>
          <w:rFonts w:ascii="Book Antiqua" w:hAnsi="Book Antiqua" w:cs="Times New Roman"/>
          <w:sz w:val="24"/>
          <w:szCs w:val="24"/>
        </w:rPr>
        <w:t>,3%)</w:t>
      </w:r>
      <w:r w:rsidR="00B547AE">
        <w:rPr>
          <w:rFonts w:ascii="Book Antiqua" w:hAnsi="Book Antiqua" w:cs="Times New Roman"/>
          <w:sz w:val="24"/>
          <w:szCs w:val="24"/>
        </w:rPr>
        <w:t xml:space="preserve">, </w:t>
      </w:r>
      <w:r w:rsidRPr="00BD4B64">
        <w:rPr>
          <w:rFonts w:ascii="Book Antiqua" w:hAnsi="Book Antiqua" w:cs="Times New Roman"/>
          <w:sz w:val="24"/>
          <w:szCs w:val="24"/>
        </w:rPr>
        <w:t xml:space="preserve"> de</w:t>
      </w:r>
      <w:r w:rsidR="001F5B45">
        <w:rPr>
          <w:rFonts w:ascii="Book Antiqua" w:hAnsi="Book Antiqua" w:cs="Times New Roman"/>
          <w:sz w:val="24"/>
          <w:szCs w:val="24"/>
        </w:rPr>
        <w:t xml:space="preserve"> </w:t>
      </w:r>
      <w:r w:rsidR="004370EE" w:rsidRPr="00BD4B64">
        <w:rPr>
          <w:rFonts w:ascii="Book Antiqua" w:hAnsi="Book Antiqua" w:cs="Times New Roman"/>
          <w:sz w:val="24"/>
          <w:szCs w:val="24"/>
        </w:rPr>
        <w:t xml:space="preserve">Drâa-Tafilalet </w:t>
      </w:r>
      <w:r w:rsidRPr="00BD4B64">
        <w:rPr>
          <w:rFonts w:ascii="Book Antiqua" w:hAnsi="Book Antiqua" w:cs="Times New Roman"/>
          <w:sz w:val="24"/>
          <w:szCs w:val="24"/>
        </w:rPr>
        <w:t>(4</w:t>
      </w:r>
      <w:r w:rsidR="004370EE" w:rsidRPr="00BD4B64">
        <w:rPr>
          <w:rFonts w:ascii="Book Antiqua" w:hAnsi="Book Antiqua" w:cs="Times New Roman"/>
          <w:sz w:val="24"/>
          <w:szCs w:val="24"/>
        </w:rPr>
        <w:t>1</w:t>
      </w:r>
      <w:r w:rsidRPr="00BD4B64">
        <w:rPr>
          <w:rFonts w:ascii="Book Antiqua" w:hAnsi="Book Antiqua" w:cs="Times New Roman"/>
          <w:sz w:val="24"/>
          <w:szCs w:val="24"/>
        </w:rPr>
        <w:t>,</w:t>
      </w:r>
      <w:r w:rsidR="004370EE" w:rsidRPr="00BD4B64">
        <w:rPr>
          <w:rFonts w:ascii="Book Antiqua" w:hAnsi="Book Antiqua" w:cs="Times New Roman"/>
          <w:sz w:val="24"/>
          <w:szCs w:val="24"/>
        </w:rPr>
        <w:t>0</w:t>
      </w:r>
      <w:r w:rsidRPr="00BD4B64">
        <w:rPr>
          <w:rFonts w:ascii="Book Antiqua" w:hAnsi="Book Antiqua" w:cs="Times New Roman"/>
          <w:sz w:val="24"/>
          <w:szCs w:val="24"/>
        </w:rPr>
        <w:t>%)</w:t>
      </w:r>
      <w:r w:rsidR="00BF58E1" w:rsidRPr="00BD4B64">
        <w:rPr>
          <w:rFonts w:ascii="Book Antiqua" w:hAnsi="Book Antiqua" w:cs="Times New Roman"/>
          <w:sz w:val="24"/>
          <w:szCs w:val="24"/>
        </w:rPr>
        <w:t xml:space="preserve"> et de l’Oriental (42,</w:t>
      </w:r>
      <w:r w:rsidR="004370EE" w:rsidRPr="00BD4B64">
        <w:rPr>
          <w:rFonts w:ascii="Book Antiqua" w:hAnsi="Book Antiqua" w:cs="Times New Roman"/>
          <w:sz w:val="24"/>
          <w:szCs w:val="24"/>
        </w:rPr>
        <w:t>0</w:t>
      </w:r>
      <w:r w:rsidR="00BF58E1" w:rsidRPr="00BD4B64">
        <w:rPr>
          <w:rFonts w:ascii="Book Antiqua" w:hAnsi="Book Antiqua" w:cs="Times New Roman"/>
          <w:sz w:val="24"/>
          <w:szCs w:val="24"/>
        </w:rPr>
        <w:t>%)</w:t>
      </w:r>
      <w:r w:rsidR="00B547AE">
        <w:rPr>
          <w:rFonts w:ascii="Book Antiqua" w:hAnsi="Book Antiqua" w:cs="Times New Roman"/>
          <w:sz w:val="24"/>
          <w:szCs w:val="24"/>
        </w:rPr>
        <w:t>.</w:t>
      </w:r>
    </w:p>
    <w:p w:rsidR="00BF58E1" w:rsidRPr="00BD4B64" w:rsidRDefault="00BF58E1" w:rsidP="004E2812">
      <w:pPr>
        <w:rPr>
          <w:rFonts w:ascii="Book Antiqua" w:hAnsi="Book Antiqua" w:cs="Times New Roman"/>
          <w:b/>
          <w:bCs/>
          <w:sz w:val="20"/>
          <w:szCs w:val="20"/>
        </w:rPr>
      </w:pPr>
    </w:p>
    <w:p w:rsidR="004E2812" w:rsidRPr="00BD4B64" w:rsidRDefault="004E2812" w:rsidP="004E2812">
      <w:pPr>
        <w:rPr>
          <w:rFonts w:ascii="Book Antiqua" w:hAnsi="Book Antiqua" w:cs="Times New Roman"/>
          <w:b/>
          <w:bCs/>
          <w:sz w:val="24"/>
          <w:szCs w:val="24"/>
        </w:rPr>
      </w:pPr>
      <w:r w:rsidRPr="00BD4B64">
        <w:rPr>
          <w:rFonts w:ascii="Book Antiqua" w:hAnsi="Book Antiqua" w:cs="Times New Roman"/>
          <w:b/>
          <w:bCs/>
          <w:sz w:val="20"/>
          <w:szCs w:val="20"/>
        </w:rPr>
        <w:t xml:space="preserve">Graphique </w:t>
      </w:r>
      <w:r w:rsidR="001A5A8D" w:rsidRPr="00BD4B64">
        <w:rPr>
          <w:rFonts w:ascii="Book Antiqua" w:hAnsi="Book Antiqua" w:cs="Times New Roman"/>
          <w:b/>
          <w:bCs/>
          <w:sz w:val="20"/>
          <w:szCs w:val="20"/>
        </w:rPr>
        <w:t>8</w:t>
      </w:r>
      <w:r w:rsidRPr="00BD4B64">
        <w:rPr>
          <w:rFonts w:ascii="Book Antiqua" w:hAnsi="Book Antiqua" w:cs="Times New Roman"/>
          <w:b/>
          <w:bCs/>
          <w:sz w:val="20"/>
          <w:szCs w:val="20"/>
        </w:rPr>
        <w:t xml:space="preserve">: Taux d’activité selon les régions et le milieu de résidence en </w:t>
      </w:r>
      <w:r w:rsidR="00F26F34" w:rsidRPr="00BD4B64">
        <w:rPr>
          <w:rFonts w:ascii="Book Antiqua" w:hAnsi="Book Antiqua" w:cs="Times New Roman"/>
          <w:b/>
          <w:bCs/>
          <w:sz w:val="20"/>
          <w:szCs w:val="20"/>
        </w:rPr>
        <w:t>2022</w:t>
      </w:r>
      <w:r w:rsidRPr="00BD4B64">
        <w:rPr>
          <w:rFonts w:ascii="Book Antiqua" w:hAnsi="Book Antiqua" w:cs="Times New Roman"/>
          <w:b/>
          <w:bCs/>
          <w:sz w:val="20"/>
          <w:szCs w:val="20"/>
        </w:rPr>
        <w:t xml:space="preserve"> (en%)</w:t>
      </w:r>
    </w:p>
    <w:p w:rsidR="004E2812" w:rsidRPr="00BD4B64" w:rsidRDefault="004370EE" w:rsidP="004E2812">
      <w:pPr>
        <w:rPr>
          <w:rFonts w:ascii="Book Antiqua" w:hAnsi="Book Antiqua" w:cs="Times New Roman"/>
          <w:sz w:val="24"/>
          <w:szCs w:val="24"/>
        </w:rPr>
      </w:pPr>
      <w:r w:rsidRPr="00BD4B64">
        <w:rPr>
          <w:rFonts w:ascii="Book Antiqua" w:hAnsi="Book Antiqua" w:cs="Times New Roman"/>
          <w:noProof/>
          <w:sz w:val="24"/>
          <w:szCs w:val="24"/>
        </w:rPr>
        <w:drawing>
          <wp:inline distT="0" distB="0" distL="0" distR="0">
            <wp:extent cx="5757062" cy="4206240"/>
            <wp:effectExtent l="0" t="0" r="0" b="0"/>
            <wp:docPr id="3"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E2812" w:rsidRPr="00BD4B64" w:rsidRDefault="004E2812" w:rsidP="004E2812">
      <w:pPr>
        <w:rPr>
          <w:rFonts w:ascii="Book Antiqua" w:hAnsi="Book Antiqua" w:cs="Times New Roman"/>
          <w:sz w:val="24"/>
          <w:szCs w:val="24"/>
        </w:rPr>
      </w:pPr>
    </w:p>
    <w:p w:rsidR="004E2812" w:rsidRPr="00BD4B64" w:rsidRDefault="004E2812" w:rsidP="001D5F3B">
      <w:pPr>
        <w:spacing w:line="360" w:lineRule="auto"/>
        <w:jc w:val="both"/>
        <w:rPr>
          <w:rFonts w:ascii="Book Antiqua" w:hAnsi="Book Antiqua" w:cs="Times New Roman"/>
          <w:sz w:val="24"/>
          <w:szCs w:val="24"/>
        </w:rPr>
      </w:pPr>
      <w:r w:rsidRPr="00BD4B64">
        <w:rPr>
          <w:rFonts w:ascii="Book Antiqua" w:hAnsi="Book Antiqua" w:cs="Times New Roman"/>
          <w:sz w:val="24"/>
          <w:szCs w:val="24"/>
        </w:rPr>
        <w:t xml:space="preserve">Par ailleurs, </w:t>
      </w:r>
      <w:r w:rsidR="00B547AE">
        <w:rPr>
          <w:rFonts w:ascii="Book Antiqua" w:hAnsi="Book Antiqua" w:cs="Times New Roman"/>
          <w:sz w:val="24"/>
          <w:szCs w:val="24"/>
        </w:rPr>
        <w:t>5</w:t>
      </w:r>
      <w:r w:rsidRPr="00BD4B64">
        <w:rPr>
          <w:rFonts w:ascii="Book Antiqua" w:hAnsi="Book Antiqua" w:cs="Times New Roman"/>
          <w:sz w:val="24"/>
          <w:szCs w:val="24"/>
        </w:rPr>
        <w:t>régions concentrent 71,</w:t>
      </w:r>
      <w:r w:rsidR="00261D65" w:rsidRPr="00BD4B64">
        <w:rPr>
          <w:rFonts w:ascii="Book Antiqua" w:hAnsi="Book Antiqua" w:cs="Times New Roman"/>
          <w:sz w:val="24"/>
          <w:szCs w:val="24"/>
        </w:rPr>
        <w:t>4</w:t>
      </w:r>
      <w:r w:rsidR="00B547AE" w:rsidRPr="00BD4B64">
        <w:rPr>
          <w:rFonts w:ascii="Book Antiqua" w:hAnsi="Book Antiqua" w:cs="Times New Roman"/>
          <w:sz w:val="24"/>
          <w:szCs w:val="24"/>
        </w:rPr>
        <w:t>%</w:t>
      </w:r>
      <w:r w:rsidR="00B547AE">
        <w:rPr>
          <w:rFonts w:ascii="Book Antiqua" w:hAnsi="Book Antiqua" w:cs="Times New Roman"/>
          <w:sz w:val="24"/>
          <w:szCs w:val="24"/>
        </w:rPr>
        <w:t xml:space="preserve"> des chômeurs</w:t>
      </w:r>
      <w:r w:rsidR="00B547AE" w:rsidRPr="00BD4B64">
        <w:rPr>
          <w:rFonts w:ascii="Book Antiqua" w:hAnsi="Book Antiqua" w:cs="Times New Roman"/>
          <w:sz w:val="24"/>
          <w:szCs w:val="24"/>
        </w:rPr>
        <w:t xml:space="preserve">, </w:t>
      </w:r>
      <w:r w:rsidRPr="00BD4B64">
        <w:rPr>
          <w:rFonts w:ascii="Book Antiqua" w:hAnsi="Book Antiqua" w:cs="Times New Roman"/>
          <w:sz w:val="24"/>
          <w:szCs w:val="24"/>
        </w:rPr>
        <w:t>au niveau national. La région de Casablanca-Settat vient en première position avec 2</w:t>
      </w:r>
      <w:r w:rsidR="00261D65" w:rsidRPr="00BD4B64">
        <w:rPr>
          <w:rFonts w:ascii="Book Antiqua" w:hAnsi="Book Antiqua" w:cs="Times New Roman"/>
          <w:sz w:val="24"/>
          <w:szCs w:val="24"/>
        </w:rPr>
        <w:t>5</w:t>
      </w:r>
      <w:r w:rsidRPr="00BD4B64">
        <w:rPr>
          <w:rFonts w:ascii="Book Antiqua" w:hAnsi="Book Antiqua" w:cs="Times New Roman"/>
          <w:sz w:val="24"/>
          <w:szCs w:val="24"/>
        </w:rPr>
        <w:t>,</w:t>
      </w:r>
      <w:r w:rsidR="00261D65" w:rsidRPr="00BD4B64">
        <w:rPr>
          <w:rFonts w:ascii="Book Antiqua" w:hAnsi="Book Antiqua" w:cs="Times New Roman"/>
          <w:sz w:val="24"/>
          <w:szCs w:val="24"/>
        </w:rPr>
        <w:t>9</w:t>
      </w:r>
      <w:r w:rsidRPr="00BD4B64">
        <w:rPr>
          <w:rFonts w:ascii="Book Antiqua" w:hAnsi="Book Antiqua" w:cs="Times New Roman"/>
          <w:sz w:val="24"/>
          <w:szCs w:val="24"/>
        </w:rPr>
        <w:t xml:space="preserve">%, suivie de </w:t>
      </w:r>
      <w:r w:rsidR="00261D65" w:rsidRPr="00BD4B64">
        <w:rPr>
          <w:rFonts w:ascii="Book Antiqua" w:hAnsi="Book Antiqua" w:cs="Times New Roman"/>
          <w:sz w:val="24"/>
          <w:szCs w:val="24"/>
        </w:rPr>
        <w:t>Fès-Meknès (13,</w:t>
      </w:r>
      <w:r w:rsidR="001D5F3B">
        <w:rPr>
          <w:rFonts w:ascii="Book Antiqua" w:hAnsi="Book Antiqua" w:cs="Times New Roman"/>
          <w:sz w:val="24"/>
          <w:szCs w:val="24"/>
        </w:rPr>
        <w:t>2</w:t>
      </w:r>
      <w:r w:rsidR="00261D65" w:rsidRPr="00BD4B64">
        <w:rPr>
          <w:rFonts w:ascii="Book Antiqua" w:hAnsi="Book Antiqua" w:cs="Times New Roman"/>
          <w:sz w:val="24"/>
          <w:szCs w:val="24"/>
        </w:rPr>
        <w:t xml:space="preserve">%), de </w:t>
      </w:r>
      <w:r w:rsidRPr="00BD4B64">
        <w:rPr>
          <w:rFonts w:ascii="Book Antiqua" w:hAnsi="Book Antiqua" w:cs="Times New Roman"/>
          <w:sz w:val="24"/>
          <w:szCs w:val="24"/>
        </w:rPr>
        <w:t>Rabat-Salé-Kénitra (1</w:t>
      </w:r>
      <w:r w:rsidR="00261D65" w:rsidRPr="00BD4B64">
        <w:rPr>
          <w:rFonts w:ascii="Book Antiqua" w:hAnsi="Book Antiqua" w:cs="Times New Roman"/>
          <w:sz w:val="24"/>
          <w:szCs w:val="24"/>
        </w:rPr>
        <w:t>2</w:t>
      </w:r>
      <w:r w:rsidRPr="00BD4B64">
        <w:rPr>
          <w:rFonts w:ascii="Book Antiqua" w:hAnsi="Book Antiqua" w:cs="Times New Roman"/>
          <w:sz w:val="24"/>
          <w:szCs w:val="24"/>
        </w:rPr>
        <w:t>,</w:t>
      </w:r>
      <w:r w:rsidR="00261D65" w:rsidRPr="00BD4B64">
        <w:rPr>
          <w:rFonts w:ascii="Book Antiqua" w:hAnsi="Book Antiqua" w:cs="Times New Roman"/>
          <w:sz w:val="24"/>
          <w:szCs w:val="24"/>
        </w:rPr>
        <w:t>7</w:t>
      </w:r>
      <w:r w:rsidRPr="00BD4B64">
        <w:rPr>
          <w:rFonts w:ascii="Book Antiqua" w:hAnsi="Book Antiqua" w:cs="Times New Roman"/>
          <w:sz w:val="24"/>
          <w:szCs w:val="24"/>
        </w:rPr>
        <w:t>%), de Tanger-Tétouan-Al Hoceima (9,8%) et de l’Oriental (9,</w:t>
      </w:r>
      <w:r w:rsidR="00261D65" w:rsidRPr="00BD4B64">
        <w:rPr>
          <w:rFonts w:ascii="Book Antiqua" w:hAnsi="Book Antiqua" w:cs="Times New Roman"/>
          <w:sz w:val="24"/>
          <w:szCs w:val="24"/>
        </w:rPr>
        <w:t>8</w:t>
      </w:r>
      <w:r w:rsidRPr="00BD4B64">
        <w:rPr>
          <w:rFonts w:ascii="Book Antiqua" w:hAnsi="Book Antiqua" w:cs="Times New Roman"/>
          <w:sz w:val="24"/>
          <w:szCs w:val="24"/>
        </w:rPr>
        <w:t xml:space="preserve">%). </w:t>
      </w:r>
    </w:p>
    <w:p w:rsidR="0033732A" w:rsidRPr="00BD4B64" w:rsidRDefault="0033732A" w:rsidP="004E2812">
      <w:pPr>
        <w:spacing w:line="360" w:lineRule="auto"/>
        <w:jc w:val="lowKashida"/>
        <w:rPr>
          <w:rFonts w:ascii="Book Antiqua" w:hAnsi="Book Antiqua" w:cs="Times New Roman"/>
          <w:sz w:val="24"/>
          <w:szCs w:val="24"/>
        </w:rPr>
      </w:pPr>
    </w:p>
    <w:p w:rsidR="004E2812" w:rsidRPr="00BD4B64" w:rsidRDefault="004E2812" w:rsidP="00287D21">
      <w:pPr>
        <w:spacing w:line="360" w:lineRule="auto"/>
        <w:jc w:val="lowKashida"/>
        <w:rPr>
          <w:rFonts w:ascii="Book Antiqua" w:hAnsi="Book Antiqua" w:cs="Times New Roman"/>
          <w:sz w:val="24"/>
          <w:szCs w:val="24"/>
        </w:rPr>
      </w:pPr>
      <w:r w:rsidRPr="00BD4B64">
        <w:rPr>
          <w:rFonts w:ascii="Book Antiqua" w:hAnsi="Book Antiqua" w:cs="Times New Roman"/>
          <w:sz w:val="24"/>
          <w:szCs w:val="24"/>
        </w:rPr>
        <w:lastRenderedPageBreak/>
        <w:t xml:space="preserve">Les taux de chômage les plus élevés sont observés dans les </w:t>
      </w:r>
      <w:r w:rsidR="00B547AE">
        <w:rPr>
          <w:rFonts w:ascii="Book Antiqua" w:hAnsi="Book Antiqua" w:cs="Times New Roman"/>
          <w:sz w:val="24"/>
          <w:szCs w:val="24"/>
        </w:rPr>
        <w:t xml:space="preserve">3 </w:t>
      </w:r>
      <w:r w:rsidRPr="00BD4B64">
        <w:rPr>
          <w:rFonts w:ascii="Book Antiqua" w:hAnsi="Book Antiqua" w:cs="Times New Roman"/>
          <w:sz w:val="24"/>
          <w:szCs w:val="24"/>
        </w:rPr>
        <w:t xml:space="preserve">régions du Sud (20,1%) et </w:t>
      </w:r>
      <w:r w:rsidR="00BF58E1" w:rsidRPr="00BD4B64">
        <w:rPr>
          <w:rFonts w:ascii="Book Antiqua" w:hAnsi="Book Antiqua" w:cs="Times New Roman"/>
          <w:sz w:val="24"/>
          <w:szCs w:val="24"/>
        </w:rPr>
        <w:t>dans la</w:t>
      </w:r>
      <w:r w:rsidRPr="00BD4B64">
        <w:rPr>
          <w:rFonts w:ascii="Book Antiqua" w:hAnsi="Book Antiqua" w:cs="Times New Roman"/>
          <w:sz w:val="24"/>
          <w:szCs w:val="24"/>
        </w:rPr>
        <w:t xml:space="preserve"> région de l’Oriental (1</w:t>
      </w:r>
      <w:r w:rsidR="00261D65" w:rsidRPr="00BD4B64">
        <w:rPr>
          <w:rFonts w:ascii="Book Antiqua" w:hAnsi="Book Antiqua" w:cs="Times New Roman"/>
          <w:sz w:val="24"/>
          <w:szCs w:val="24"/>
        </w:rPr>
        <w:t>7</w:t>
      </w:r>
      <w:r w:rsidRPr="00BD4B64">
        <w:rPr>
          <w:rFonts w:ascii="Book Antiqua" w:hAnsi="Book Antiqua" w:cs="Times New Roman"/>
          <w:sz w:val="24"/>
          <w:szCs w:val="24"/>
        </w:rPr>
        <w:t>,</w:t>
      </w:r>
      <w:r w:rsidR="00261D65" w:rsidRPr="00BD4B64">
        <w:rPr>
          <w:rFonts w:ascii="Book Antiqua" w:hAnsi="Book Antiqua" w:cs="Times New Roman"/>
          <w:sz w:val="24"/>
          <w:szCs w:val="24"/>
        </w:rPr>
        <w:t>4</w:t>
      </w:r>
      <w:r w:rsidRPr="00BD4B64">
        <w:rPr>
          <w:rFonts w:ascii="Book Antiqua" w:hAnsi="Book Antiqua" w:cs="Times New Roman"/>
          <w:sz w:val="24"/>
          <w:szCs w:val="24"/>
        </w:rPr>
        <w:t xml:space="preserve">%). Avec une acuité moindre, deux autres régions dépassent la moyenne nationale </w:t>
      </w:r>
      <w:r w:rsidR="00B547AE">
        <w:rPr>
          <w:rFonts w:ascii="Book Antiqua" w:hAnsi="Book Antiqua" w:cs="Times New Roman"/>
          <w:sz w:val="24"/>
          <w:szCs w:val="24"/>
        </w:rPr>
        <w:t xml:space="preserve">de </w:t>
      </w:r>
      <w:r w:rsidRPr="00BD4B64">
        <w:rPr>
          <w:rFonts w:ascii="Book Antiqua" w:hAnsi="Book Antiqua" w:cs="Times New Roman"/>
          <w:sz w:val="24"/>
          <w:szCs w:val="24"/>
        </w:rPr>
        <w:t>1</w:t>
      </w:r>
      <w:r w:rsidR="00261D65" w:rsidRPr="00BD4B64">
        <w:rPr>
          <w:rFonts w:ascii="Book Antiqua" w:hAnsi="Book Antiqua" w:cs="Times New Roman"/>
          <w:sz w:val="24"/>
          <w:szCs w:val="24"/>
        </w:rPr>
        <w:t>1</w:t>
      </w:r>
      <w:r w:rsidRPr="00BD4B64">
        <w:rPr>
          <w:rFonts w:ascii="Book Antiqua" w:hAnsi="Book Antiqua" w:cs="Times New Roman"/>
          <w:sz w:val="24"/>
          <w:szCs w:val="24"/>
        </w:rPr>
        <w:t>,</w:t>
      </w:r>
      <w:r w:rsidR="00261D65" w:rsidRPr="00BD4B64">
        <w:rPr>
          <w:rFonts w:ascii="Book Antiqua" w:hAnsi="Book Antiqua" w:cs="Times New Roman"/>
          <w:sz w:val="24"/>
          <w:szCs w:val="24"/>
        </w:rPr>
        <w:t>8</w:t>
      </w:r>
      <w:r w:rsidRPr="00BD4B64">
        <w:rPr>
          <w:rFonts w:ascii="Book Antiqua" w:hAnsi="Book Antiqua" w:cs="Times New Roman"/>
          <w:sz w:val="24"/>
          <w:szCs w:val="24"/>
        </w:rPr>
        <w:t>%</w:t>
      </w:r>
      <w:r w:rsidR="00B547AE">
        <w:rPr>
          <w:rFonts w:ascii="Book Antiqua" w:hAnsi="Book Antiqua" w:cs="Times New Roman"/>
          <w:sz w:val="24"/>
          <w:szCs w:val="24"/>
        </w:rPr>
        <w:t xml:space="preserve">, </w:t>
      </w:r>
      <w:r w:rsidRPr="00BD4B64">
        <w:rPr>
          <w:rFonts w:ascii="Book Antiqua" w:hAnsi="Book Antiqua" w:cs="Times New Roman"/>
          <w:sz w:val="24"/>
          <w:szCs w:val="24"/>
        </w:rPr>
        <w:t xml:space="preserve"> à savoir Casablanca-Settat (1</w:t>
      </w:r>
      <w:r w:rsidR="00261D65" w:rsidRPr="00BD4B64">
        <w:rPr>
          <w:rFonts w:ascii="Book Antiqua" w:hAnsi="Book Antiqua" w:cs="Times New Roman"/>
          <w:sz w:val="24"/>
          <w:szCs w:val="24"/>
        </w:rPr>
        <w:t>3</w:t>
      </w:r>
      <w:r w:rsidRPr="00BD4B64">
        <w:rPr>
          <w:rFonts w:ascii="Book Antiqua" w:hAnsi="Book Antiqua" w:cs="Times New Roman"/>
          <w:sz w:val="24"/>
          <w:szCs w:val="24"/>
        </w:rPr>
        <w:t>,</w:t>
      </w:r>
      <w:r w:rsidR="00261D65" w:rsidRPr="00BD4B64">
        <w:rPr>
          <w:rFonts w:ascii="Book Antiqua" w:hAnsi="Book Antiqua" w:cs="Times New Roman"/>
          <w:sz w:val="24"/>
          <w:szCs w:val="24"/>
        </w:rPr>
        <w:t>8</w:t>
      </w:r>
      <w:r w:rsidRPr="00BD4B64">
        <w:rPr>
          <w:rFonts w:ascii="Book Antiqua" w:hAnsi="Book Antiqua" w:cs="Times New Roman"/>
          <w:sz w:val="24"/>
          <w:szCs w:val="24"/>
        </w:rPr>
        <w:t>%) et Fès-Meknès (13,</w:t>
      </w:r>
      <w:r w:rsidR="00261D65" w:rsidRPr="00BD4B64">
        <w:rPr>
          <w:rFonts w:ascii="Book Antiqua" w:hAnsi="Book Antiqua" w:cs="Times New Roman"/>
          <w:sz w:val="24"/>
          <w:szCs w:val="24"/>
        </w:rPr>
        <w:t>5</w:t>
      </w:r>
      <w:r w:rsidRPr="00BD4B64">
        <w:rPr>
          <w:rFonts w:ascii="Book Antiqua" w:hAnsi="Book Antiqua" w:cs="Times New Roman"/>
          <w:sz w:val="24"/>
          <w:szCs w:val="24"/>
        </w:rPr>
        <w:t xml:space="preserve">%). En revanche, les régions de Marrakech-Safi, </w:t>
      </w:r>
      <w:r w:rsidR="00287D21" w:rsidRPr="00BD4B64">
        <w:rPr>
          <w:rFonts w:ascii="Book Antiqua" w:hAnsi="Book Antiqua" w:cs="Times New Roman"/>
          <w:sz w:val="24"/>
          <w:szCs w:val="24"/>
        </w:rPr>
        <w:t xml:space="preserve">de Tanger-Tétouan-Al Hoceïma et </w:t>
      </w:r>
      <w:r w:rsidRPr="00BD4B64">
        <w:rPr>
          <w:rFonts w:ascii="Book Antiqua" w:hAnsi="Book Antiqua" w:cs="Times New Roman"/>
          <w:sz w:val="24"/>
          <w:szCs w:val="24"/>
        </w:rPr>
        <w:t xml:space="preserve">de Drâa-Tafilalet enregistrent les taux les plus bas, respectivement </w:t>
      </w:r>
      <w:r w:rsidR="00261D65" w:rsidRPr="00BD4B64">
        <w:rPr>
          <w:rFonts w:ascii="Book Antiqua" w:hAnsi="Book Antiqua" w:cs="Times New Roman"/>
          <w:sz w:val="24"/>
          <w:szCs w:val="24"/>
        </w:rPr>
        <w:t>6</w:t>
      </w:r>
      <w:r w:rsidRPr="00BD4B64">
        <w:rPr>
          <w:rFonts w:ascii="Book Antiqua" w:hAnsi="Book Antiqua" w:cs="Times New Roman"/>
          <w:sz w:val="24"/>
          <w:szCs w:val="24"/>
        </w:rPr>
        <w:t>,</w:t>
      </w:r>
      <w:r w:rsidR="00261D65" w:rsidRPr="00BD4B64">
        <w:rPr>
          <w:rFonts w:ascii="Book Antiqua" w:hAnsi="Book Antiqua" w:cs="Times New Roman"/>
          <w:sz w:val="24"/>
          <w:szCs w:val="24"/>
        </w:rPr>
        <w:t>9</w:t>
      </w:r>
      <w:r w:rsidRPr="00BD4B64">
        <w:rPr>
          <w:rFonts w:ascii="Book Antiqua" w:hAnsi="Book Antiqua" w:cs="Times New Roman"/>
          <w:sz w:val="24"/>
          <w:szCs w:val="24"/>
        </w:rPr>
        <w:t>%, 9,</w:t>
      </w:r>
      <w:r w:rsidR="003F51AA" w:rsidRPr="00BD4B64">
        <w:rPr>
          <w:rFonts w:ascii="Book Antiqua" w:hAnsi="Book Antiqua" w:cs="Times New Roman"/>
          <w:sz w:val="24"/>
          <w:szCs w:val="24"/>
        </w:rPr>
        <w:t>7</w:t>
      </w:r>
      <w:r w:rsidRPr="00BD4B64">
        <w:rPr>
          <w:rFonts w:ascii="Book Antiqua" w:hAnsi="Book Antiqua" w:cs="Times New Roman"/>
          <w:sz w:val="24"/>
          <w:szCs w:val="24"/>
        </w:rPr>
        <w:t>% et 9,</w:t>
      </w:r>
      <w:r w:rsidR="003F51AA" w:rsidRPr="00BD4B64">
        <w:rPr>
          <w:rFonts w:ascii="Book Antiqua" w:hAnsi="Book Antiqua" w:cs="Times New Roman"/>
          <w:sz w:val="24"/>
          <w:szCs w:val="24"/>
        </w:rPr>
        <w:t>7</w:t>
      </w:r>
      <w:r w:rsidRPr="00BD4B64">
        <w:rPr>
          <w:rFonts w:ascii="Book Antiqua" w:hAnsi="Book Antiqua" w:cs="Times New Roman"/>
          <w:sz w:val="24"/>
          <w:szCs w:val="24"/>
        </w:rPr>
        <w:t>%.</w:t>
      </w:r>
    </w:p>
    <w:p w:rsidR="004E2812" w:rsidRPr="00BD4B64" w:rsidRDefault="004E2812" w:rsidP="004E2812">
      <w:pPr>
        <w:spacing w:line="360" w:lineRule="auto"/>
        <w:rPr>
          <w:rFonts w:ascii="Book Antiqua" w:hAnsi="Book Antiqua" w:cs="Times New Roman"/>
          <w:b/>
          <w:bCs/>
          <w:sz w:val="20"/>
          <w:szCs w:val="20"/>
        </w:rPr>
      </w:pPr>
      <w:r w:rsidRPr="00BD4B64">
        <w:rPr>
          <w:rFonts w:ascii="Book Antiqua" w:hAnsi="Book Antiqua" w:cs="Times New Roman"/>
          <w:b/>
          <w:bCs/>
          <w:sz w:val="20"/>
          <w:szCs w:val="20"/>
        </w:rPr>
        <w:t xml:space="preserve">Graphique </w:t>
      </w:r>
      <w:r w:rsidR="001A5A8D" w:rsidRPr="00BD4B64">
        <w:rPr>
          <w:rFonts w:ascii="Book Antiqua" w:hAnsi="Book Antiqua" w:cs="Times New Roman"/>
          <w:b/>
          <w:bCs/>
          <w:sz w:val="20"/>
          <w:szCs w:val="20"/>
        </w:rPr>
        <w:t>9</w:t>
      </w:r>
      <w:r w:rsidRPr="00BD4B64">
        <w:rPr>
          <w:rFonts w:ascii="Book Antiqua" w:hAnsi="Book Antiqua" w:cs="Times New Roman"/>
          <w:b/>
          <w:bCs/>
          <w:sz w:val="20"/>
          <w:szCs w:val="20"/>
        </w:rPr>
        <w:t xml:space="preserve"> : Taux de chômage selon les régions et le milieu de résidence en </w:t>
      </w:r>
      <w:r w:rsidR="00F26F34" w:rsidRPr="00BD4B64">
        <w:rPr>
          <w:rFonts w:ascii="Book Antiqua" w:hAnsi="Book Antiqua" w:cs="Times New Roman"/>
          <w:b/>
          <w:bCs/>
          <w:sz w:val="20"/>
          <w:szCs w:val="20"/>
        </w:rPr>
        <w:t>2022</w:t>
      </w:r>
      <w:r w:rsidRPr="00BD4B64">
        <w:rPr>
          <w:rFonts w:ascii="Book Antiqua" w:hAnsi="Book Antiqua" w:cs="Times New Roman"/>
          <w:b/>
          <w:bCs/>
          <w:sz w:val="20"/>
          <w:szCs w:val="20"/>
        </w:rPr>
        <w:t xml:space="preserve"> (en%)</w:t>
      </w:r>
    </w:p>
    <w:p w:rsidR="004E2812" w:rsidRPr="00BD4B64" w:rsidRDefault="00261D65" w:rsidP="004E2812">
      <w:pPr>
        <w:rPr>
          <w:rFonts w:ascii="Book Antiqua" w:hAnsi="Book Antiqua" w:cs="Times New Roman"/>
          <w:sz w:val="24"/>
          <w:szCs w:val="24"/>
        </w:rPr>
      </w:pPr>
      <w:r w:rsidRPr="00BD4B64">
        <w:rPr>
          <w:rFonts w:ascii="Book Antiqua" w:hAnsi="Book Antiqua" w:cs="Times New Roman"/>
          <w:noProof/>
          <w:sz w:val="24"/>
          <w:szCs w:val="24"/>
        </w:rPr>
        <w:drawing>
          <wp:inline distT="0" distB="0" distL="0" distR="0">
            <wp:extent cx="5757062" cy="3569817"/>
            <wp:effectExtent l="0" t="0" r="0" b="0"/>
            <wp:docPr id="6"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E2812" w:rsidRPr="00BD4B64" w:rsidRDefault="004E2812" w:rsidP="004E2812">
      <w:pPr>
        <w:rPr>
          <w:rFonts w:ascii="Book Antiqua" w:hAnsi="Book Antiqua" w:cs="Times New Roman"/>
          <w:sz w:val="24"/>
          <w:szCs w:val="24"/>
        </w:rPr>
      </w:pPr>
    </w:p>
    <w:p w:rsidR="004E2812" w:rsidRPr="00BD4B64" w:rsidRDefault="004E2812" w:rsidP="004E2812">
      <w:pPr>
        <w:rPr>
          <w:rFonts w:ascii="Book Antiqua" w:hAnsi="Book Antiqua" w:cs="Times New Roman"/>
          <w:sz w:val="24"/>
          <w:szCs w:val="24"/>
        </w:rPr>
      </w:pPr>
    </w:p>
    <w:p w:rsidR="004E2812" w:rsidRPr="00BD4B64" w:rsidRDefault="004E2812" w:rsidP="004E2812">
      <w:pPr>
        <w:rPr>
          <w:rFonts w:ascii="Book Antiqua" w:hAnsi="Book Antiqua" w:cs="Times New Roman"/>
          <w:sz w:val="24"/>
          <w:szCs w:val="24"/>
        </w:rPr>
      </w:pPr>
    </w:p>
    <w:p w:rsidR="004E2812" w:rsidRPr="00BD4B64" w:rsidRDefault="004E2812" w:rsidP="004E2812">
      <w:pPr>
        <w:rPr>
          <w:rFonts w:ascii="Book Antiqua" w:eastAsia="Times New Roman" w:hAnsi="Book Antiqua" w:cs="Browallia New"/>
          <w:b/>
          <w:bCs/>
        </w:rPr>
      </w:pPr>
      <w:r w:rsidRPr="00BD4B64">
        <w:rPr>
          <w:rFonts w:ascii="Book Antiqua" w:hAnsi="Book Antiqua" w:cs="Times New Roman"/>
          <w:sz w:val="24"/>
          <w:szCs w:val="24"/>
        </w:rPr>
        <w:br w:type="page"/>
      </w:r>
      <w:r w:rsidRPr="00BD4B64">
        <w:rPr>
          <w:rFonts w:ascii="Book Antiqua" w:eastAsia="Times New Roman" w:hAnsi="Book Antiqua" w:cs="Browallia New"/>
          <w:b/>
          <w:bCs/>
        </w:rPr>
        <w:lastRenderedPageBreak/>
        <w:t>Tableau1 : Indicateurs annuels d’activité, d’emploi et de chômage par milieu de résidence</w:t>
      </w:r>
    </w:p>
    <w:p w:rsidR="00FF0E14" w:rsidRPr="00BD4B64" w:rsidRDefault="00FF0E14" w:rsidP="00FF0E14">
      <w:pPr>
        <w:jc w:val="right"/>
        <w:rPr>
          <w:rFonts w:ascii="Book Antiqua" w:hAnsi="Book Antiqua" w:cs="Times New Roman"/>
          <w:sz w:val="24"/>
          <w:szCs w:val="24"/>
          <w:vertAlign w:val="superscript"/>
        </w:rPr>
      </w:pPr>
      <w:r w:rsidRPr="00BD4B64">
        <w:rPr>
          <w:rFonts w:ascii="Book Antiqua" w:hAnsi="Book Antiqua" w:cs="Times New Roman"/>
          <w:sz w:val="24"/>
          <w:szCs w:val="24"/>
          <w:vertAlign w:val="superscript"/>
        </w:rPr>
        <w:t>(Effectifs en milliers ; Taux en %)</w:t>
      </w:r>
    </w:p>
    <w:tbl>
      <w:tblPr>
        <w:tblW w:w="5000" w:type="pct"/>
        <w:tblCellMar>
          <w:left w:w="70" w:type="dxa"/>
          <w:right w:w="70" w:type="dxa"/>
        </w:tblCellMar>
        <w:tblLook w:val="04A0"/>
      </w:tblPr>
      <w:tblGrid>
        <w:gridCol w:w="4110"/>
        <w:gridCol w:w="777"/>
        <w:gridCol w:w="776"/>
        <w:gridCol w:w="1010"/>
        <w:gridCol w:w="765"/>
        <w:gridCol w:w="761"/>
        <w:gridCol w:w="1013"/>
      </w:tblGrid>
      <w:tr w:rsidR="00FF0E14" w:rsidRPr="00BD4B64" w:rsidTr="00FF0E14">
        <w:trPr>
          <w:trHeight w:val="315"/>
        </w:trPr>
        <w:tc>
          <w:tcPr>
            <w:tcW w:w="223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0E14" w:rsidRPr="00BD4B64" w:rsidRDefault="00FF0E14" w:rsidP="00FF0E14">
            <w:pPr>
              <w:bidi/>
              <w:spacing w:line="240" w:lineRule="auto"/>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tl/>
              </w:rPr>
              <w:t> </w:t>
            </w:r>
          </w:p>
        </w:tc>
        <w:tc>
          <w:tcPr>
            <w:tcW w:w="1391" w:type="pct"/>
            <w:gridSpan w:val="3"/>
            <w:tcBorders>
              <w:top w:val="single" w:sz="4" w:space="0" w:color="auto"/>
              <w:left w:val="nil"/>
              <w:bottom w:val="single" w:sz="4" w:space="0" w:color="auto"/>
              <w:right w:val="single" w:sz="4" w:space="0" w:color="auto"/>
            </w:tcBorders>
            <w:shd w:val="clear" w:color="auto" w:fill="auto"/>
            <w:noWrap/>
            <w:hideMark/>
          </w:tcPr>
          <w:p w:rsidR="00FF0E14" w:rsidRPr="00BD4B64" w:rsidRDefault="00FF0E14" w:rsidP="00FF0E14">
            <w:pPr>
              <w:spacing w:line="240" w:lineRule="auto"/>
              <w:jc w:val="center"/>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Pr>
              <w:t>2021</w:t>
            </w:r>
          </w:p>
        </w:tc>
        <w:tc>
          <w:tcPr>
            <w:tcW w:w="1378" w:type="pct"/>
            <w:gridSpan w:val="3"/>
            <w:tcBorders>
              <w:top w:val="single" w:sz="4" w:space="0" w:color="auto"/>
              <w:left w:val="nil"/>
              <w:bottom w:val="single" w:sz="4" w:space="0" w:color="auto"/>
              <w:right w:val="single" w:sz="4" w:space="0" w:color="auto"/>
            </w:tcBorders>
            <w:shd w:val="clear" w:color="auto" w:fill="auto"/>
            <w:noWrap/>
            <w:hideMark/>
          </w:tcPr>
          <w:p w:rsidR="00FF0E14" w:rsidRPr="00BD4B64" w:rsidRDefault="00FF0E14" w:rsidP="00FF0E14">
            <w:pPr>
              <w:spacing w:line="240" w:lineRule="auto"/>
              <w:jc w:val="center"/>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Pr>
              <w:t>2022</w:t>
            </w:r>
          </w:p>
        </w:tc>
      </w:tr>
      <w:tr w:rsidR="00FF0E14" w:rsidRPr="00BD4B64" w:rsidTr="00FF0E14">
        <w:trPr>
          <w:trHeight w:val="231"/>
        </w:trPr>
        <w:tc>
          <w:tcPr>
            <w:tcW w:w="223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F0E14" w:rsidRPr="00BD4B64" w:rsidRDefault="00FF0E14" w:rsidP="00FF0E14">
            <w:pPr>
              <w:spacing w:line="240" w:lineRule="auto"/>
              <w:rPr>
                <w:rFonts w:ascii="Garamond" w:eastAsia="Times New Roman" w:hAnsi="Garamond" w:cs="Calibri"/>
                <w:b/>
                <w:bCs/>
                <w:color w:val="000000"/>
                <w:sz w:val="18"/>
                <w:szCs w:val="18"/>
              </w:rPr>
            </w:pPr>
          </w:p>
        </w:tc>
        <w:tc>
          <w:tcPr>
            <w:tcW w:w="422" w:type="pct"/>
            <w:tcBorders>
              <w:top w:val="nil"/>
              <w:left w:val="nil"/>
              <w:bottom w:val="single" w:sz="4" w:space="0" w:color="auto"/>
              <w:right w:val="single" w:sz="4" w:space="0" w:color="auto"/>
            </w:tcBorders>
            <w:shd w:val="clear" w:color="auto" w:fill="auto"/>
            <w:hideMark/>
          </w:tcPr>
          <w:p w:rsidR="00FF0E14" w:rsidRPr="00BD4B64" w:rsidRDefault="00FF0E14" w:rsidP="00FF0E14">
            <w:pPr>
              <w:bidi/>
              <w:spacing w:line="240" w:lineRule="auto"/>
              <w:jc w:val="center"/>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Pr>
              <w:t>Urbain</w:t>
            </w:r>
          </w:p>
        </w:tc>
        <w:tc>
          <w:tcPr>
            <w:tcW w:w="421" w:type="pct"/>
            <w:tcBorders>
              <w:top w:val="nil"/>
              <w:left w:val="nil"/>
              <w:bottom w:val="single" w:sz="4" w:space="0" w:color="auto"/>
              <w:right w:val="single" w:sz="4" w:space="0" w:color="auto"/>
            </w:tcBorders>
            <w:shd w:val="clear" w:color="auto" w:fill="auto"/>
            <w:hideMark/>
          </w:tcPr>
          <w:p w:rsidR="00FF0E14" w:rsidRPr="00BD4B64" w:rsidRDefault="00FF0E14" w:rsidP="00FF0E14">
            <w:pPr>
              <w:bidi/>
              <w:spacing w:line="240" w:lineRule="auto"/>
              <w:jc w:val="center"/>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Pr>
              <w:t>Rural</w:t>
            </w:r>
          </w:p>
        </w:tc>
        <w:tc>
          <w:tcPr>
            <w:tcW w:w="548" w:type="pct"/>
            <w:tcBorders>
              <w:top w:val="nil"/>
              <w:left w:val="nil"/>
              <w:bottom w:val="single" w:sz="4" w:space="0" w:color="auto"/>
              <w:right w:val="single" w:sz="4" w:space="0" w:color="auto"/>
            </w:tcBorders>
            <w:shd w:val="clear" w:color="auto" w:fill="auto"/>
            <w:hideMark/>
          </w:tcPr>
          <w:p w:rsidR="00FF0E14" w:rsidRPr="00BD4B64" w:rsidRDefault="00FF0E14" w:rsidP="00FF0E14">
            <w:pPr>
              <w:bidi/>
              <w:spacing w:line="240" w:lineRule="auto"/>
              <w:jc w:val="center"/>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Pr>
              <w:t>Ensemble</w:t>
            </w:r>
          </w:p>
        </w:tc>
        <w:tc>
          <w:tcPr>
            <w:tcW w:w="415" w:type="pct"/>
            <w:tcBorders>
              <w:top w:val="nil"/>
              <w:left w:val="nil"/>
              <w:bottom w:val="single" w:sz="4" w:space="0" w:color="auto"/>
              <w:right w:val="single" w:sz="4" w:space="0" w:color="auto"/>
            </w:tcBorders>
            <w:shd w:val="clear" w:color="auto" w:fill="auto"/>
            <w:hideMark/>
          </w:tcPr>
          <w:p w:rsidR="00FF0E14" w:rsidRPr="00BD4B64" w:rsidRDefault="00FF0E14" w:rsidP="00FF0E14">
            <w:pPr>
              <w:bidi/>
              <w:spacing w:line="240" w:lineRule="auto"/>
              <w:jc w:val="center"/>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Pr>
              <w:t>Urbain</w:t>
            </w:r>
          </w:p>
        </w:tc>
        <w:tc>
          <w:tcPr>
            <w:tcW w:w="413" w:type="pct"/>
            <w:tcBorders>
              <w:top w:val="nil"/>
              <w:left w:val="nil"/>
              <w:bottom w:val="single" w:sz="4" w:space="0" w:color="auto"/>
              <w:right w:val="single" w:sz="4" w:space="0" w:color="auto"/>
            </w:tcBorders>
            <w:shd w:val="clear" w:color="auto" w:fill="auto"/>
            <w:hideMark/>
          </w:tcPr>
          <w:p w:rsidR="00FF0E14" w:rsidRPr="00BD4B64" w:rsidRDefault="00FF0E14" w:rsidP="00FF0E14">
            <w:pPr>
              <w:bidi/>
              <w:spacing w:line="240" w:lineRule="auto"/>
              <w:jc w:val="center"/>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Pr>
              <w:t>Rural</w:t>
            </w:r>
          </w:p>
        </w:tc>
        <w:tc>
          <w:tcPr>
            <w:tcW w:w="550" w:type="pct"/>
            <w:tcBorders>
              <w:top w:val="nil"/>
              <w:left w:val="nil"/>
              <w:bottom w:val="single" w:sz="4" w:space="0" w:color="auto"/>
              <w:right w:val="single" w:sz="4" w:space="0" w:color="auto"/>
            </w:tcBorders>
            <w:shd w:val="clear" w:color="auto" w:fill="auto"/>
            <w:hideMark/>
          </w:tcPr>
          <w:p w:rsidR="00FF0E14" w:rsidRPr="00BD4B64" w:rsidRDefault="00FF0E14" w:rsidP="00FF0E14">
            <w:pPr>
              <w:bidi/>
              <w:spacing w:line="240" w:lineRule="auto"/>
              <w:jc w:val="center"/>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Pr>
              <w:t>Ensemble</w:t>
            </w:r>
          </w:p>
        </w:tc>
      </w:tr>
      <w:tr w:rsidR="00FF0E14" w:rsidRPr="00BD4B64" w:rsidTr="00FF0E14">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rPr>
                <w:rFonts w:ascii="Garamond" w:eastAsia="Times New Roman" w:hAnsi="Garamond" w:cs="Calibri"/>
                <w:b/>
                <w:bCs/>
                <w:color w:val="1F497D"/>
                <w:sz w:val="18"/>
                <w:szCs w:val="18"/>
              </w:rPr>
            </w:pPr>
            <w:r w:rsidRPr="00BD4B64">
              <w:rPr>
                <w:rFonts w:ascii="Garamond" w:eastAsia="Times New Roman" w:hAnsi="Garamond" w:cs="Calibri"/>
                <w:b/>
                <w:bCs/>
                <w:color w:val="1F497D"/>
                <w:sz w:val="18"/>
                <w:szCs w:val="18"/>
              </w:rPr>
              <w:t>Activité (des 15 ans et plus)</w:t>
            </w:r>
          </w:p>
        </w:tc>
      </w:tr>
      <w:tr w:rsidR="00FF0E14" w:rsidRPr="00BD4B64" w:rsidTr="00FF0E14">
        <w:trPr>
          <w:trHeight w:val="315"/>
        </w:trPr>
        <w:tc>
          <w:tcPr>
            <w:tcW w:w="2231" w:type="pct"/>
            <w:tcBorders>
              <w:top w:val="nil"/>
              <w:left w:val="single" w:sz="4" w:space="0" w:color="auto"/>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1"/>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Pr>
              <w:t>Population active</w:t>
            </w:r>
          </w:p>
        </w:tc>
        <w:tc>
          <w:tcPr>
            <w:tcW w:w="422"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1"/>
              <w:jc w:val="center"/>
              <w:rPr>
                <w:rFonts w:ascii="Garamond" w:eastAsia="Times New Roman" w:hAnsi="Garamond" w:cs="Calibri"/>
                <w:b/>
                <w:bCs/>
                <w:color w:val="010205"/>
                <w:sz w:val="18"/>
                <w:szCs w:val="18"/>
              </w:rPr>
            </w:pPr>
            <w:r w:rsidRPr="00BD4B64">
              <w:rPr>
                <w:rFonts w:ascii="Garamond" w:eastAsia="Times New Roman" w:hAnsi="Garamond" w:cs="Calibri"/>
                <w:b/>
                <w:bCs/>
                <w:color w:val="010205"/>
                <w:sz w:val="18"/>
                <w:szCs w:val="18"/>
              </w:rPr>
              <w:t>7 511</w:t>
            </w:r>
          </w:p>
        </w:tc>
        <w:tc>
          <w:tcPr>
            <w:tcW w:w="421"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1"/>
              <w:jc w:val="center"/>
              <w:rPr>
                <w:rFonts w:ascii="Garamond" w:eastAsia="Times New Roman" w:hAnsi="Garamond" w:cs="Calibri"/>
                <w:b/>
                <w:bCs/>
                <w:color w:val="010205"/>
                <w:sz w:val="18"/>
                <w:szCs w:val="18"/>
              </w:rPr>
            </w:pPr>
            <w:r w:rsidRPr="00BD4B64">
              <w:rPr>
                <w:rFonts w:ascii="Garamond" w:eastAsia="Times New Roman" w:hAnsi="Garamond" w:cs="Calibri"/>
                <w:b/>
                <w:bCs/>
                <w:color w:val="010205"/>
                <w:sz w:val="18"/>
                <w:szCs w:val="18"/>
              </w:rPr>
              <w:t>4 770</w:t>
            </w:r>
          </w:p>
        </w:tc>
        <w:tc>
          <w:tcPr>
            <w:tcW w:w="548"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1"/>
              <w:jc w:val="center"/>
              <w:rPr>
                <w:rFonts w:ascii="Garamond" w:eastAsia="Times New Roman" w:hAnsi="Garamond" w:cs="Calibri"/>
                <w:b/>
                <w:bCs/>
                <w:color w:val="010205"/>
                <w:sz w:val="18"/>
                <w:szCs w:val="18"/>
              </w:rPr>
            </w:pPr>
            <w:r w:rsidRPr="00BD4B64">
              <w:rPr>
                <w:rFonts w:ascii="Garamond" w:eastAsia="Times New Roman" w:hAnsi="Garamond" w:cs="Calibri"/>
                <w:b/>
                <w:bCs/>
                <w:color w:val="010205"/>
                <w:sz w:val="18"/>
                <w:szCs w:val="18"/>
              </w:rPr>
              <w:t>12 280</w:t>
            </w:r>
          </w:p>
        </w:tc>
        <w:tc>
          <w:tcPr>
            <w:tcW w:w="415"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1"/>
              <w:jc w:val="center"/>
              <w:rPr>
                <w:rFonts w:ascii="Garamond" w:eastAsia="Times New Roman" w:hAnsi="Garamond" w:cs="Calibri"/>
                <w:b/>
                <w:bCs/>
                <w:color w:val="010205"/>
                <w:sz w:val="18"/>
                <w:szCs w:val="18"/>
              </w:rPr>
            </w:pPr>
            <w:r w:rsidRPr="00BD4B64">
              <w:rPr>
                <w:rFonts w:ascii="Garamond" w:eastAsia="Times New Roman" w:hAnsi="Garamond" w:cs="Calibri"/>
                <w:b/>
                <w:bCs/>
                <w:color w:val="010205"/>
                <w:sz w:val="18"/>
                <w:szCs w:val="18"/>
              </w:rPr>
              <w:t>7 591</w:t>
            </w:r>
          </w:p>
        </w:tc>
        <w:tc>
          <w:tcPr>
            <w:tcW w:w="413"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1"/>
              <w:jc w:val="center"/>
              <w:rPr>
                <w:rFonts w:ascii="Garamond" w:eastAsia="Times New Roman" w:hAnsi="Garamond" w:cs="Calibri"/>
                <w:b/>
                <w:bCs/>
                <w:color w:val="010205"/>
                <w:sz w:val="18"/>
                <w:szCs w:val="18"/>
              </w:rPr>
            </w:pPr>
            <w:r w:rsidRPr="00BD4B64">
              <w:rPr>
                <w:rFonts w:ascii="Garamond" w:eastAsia="Times New Roman" w:hAnsi="Garamond" w:cs="Calibri"/>
                <w:b/>
                <w:bCs/>
                <w:color w:val="010205"/>
                <w:sz w:val="18"/>
                <w:szCs w:val="18"/>
              </w:rPr>
              <w:t>4 599</w:t>
            </w:r>
          </w:p>
        </w:tc>
        <w:tc>
          <w:tcPr>
            <w:tcW w:w="550"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1"/>
              <w:jc w:val="center"/>
              <w:rPr>
                <w:rFonts w:ascii="Garamond" w:eastAsia="Times New Roman" w:hAnsi="Garamond" w:cs="Calibri"/>
                <w:b/>
                <w:bCs/>
                <w:color w:val="010205"/>
                <w:sz w:val="18"/>
                <w:szCs w:val="18"/>
              </w:rPr>
            </w:pPr>
            <w:r w:rsidRPr="00BD4B64">
              <w:rPr>
                <w:rFonts w:ascii="Garamond" w:eastAsia="Times New Roman" w:hAnsi="Garamond" w:cs="Calibri"/>
                <w:b/>
                <w:bCs/>
                <w:color w:val="010205"/>
                <w:sz w:val="18"/>
                <w:szCs w:val="18"/>
              </w:rPr>
              <w:t>12 191</w:t>
            </w:r>
          </w:p>
        </w:tc>
      </w:tr>
      <w:tr w:rsidR="00FF0E14" w:rsidRPr="00BD4B64" w:rsidTr="00FF0E14">
        <w:trPr>
          <w:trHeight w:val="315"/>
        </w:trPr>
        <w:tc>
          <w:tcPr>
            <w:tcW w:w="2231" w:type="pct"/>
            <w:tcBorders>
              <w:top w:val="nil"/>
              <w:left w:val="single" w:sz="4" w:space="0" w:color="auto"/>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Taux de féminisation de la population active</w:t>
            </w:r>
          </w:p>
        </w:tc>
        <w:tc>
          <w:tcPr>
            <w:tcW w:w="422"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22,8</w:t>
            </w:r>
          </w:p>
        </w:tc>
        <w:tc>
          <w:tcPr>
            <w:tcW w:w="421"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24,5</w:t>
            </w:r>
          </w:p>
        </w:tc>
        <w:tc>
          <w:tcPr>
            <w:tcW w:w="548"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23,5</w:t>
            </w:r>
          </w:p>
        </w:tc>
        <w:tc>
          <w:tcPr>
            <w:tcW w:w="415"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22,5</w:t>
            </w:r>
          </w:p>
        </w:tc>
        <w:tc>
          <w:tcPr>
            <w:tcW w:w="413"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22,9</w:t>
            </w:r>
          </w:p>
        </w:tc>
        <w:tc>
          <w:tcPr>
            <w:tcW w:w="550"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22,6</w:t>
            </w:r>
          </w:p>
        </w:tc>
      </w:tr>
      <w:tr w:rsidR="00FF0E14" w:rsidRPr="00BD4B64" w:rsidTr="00FF0E14">
        <w:trPr>
          <w:trHeight w:val="315"/>
        </w:trPr>
        <w:tc>
          <w:tcPr>
            <w:tcW w:w="2231" w:type="pct"/>
            <w:tcBorders>
              <w:top w:val="nil"/>
              <w:left w:val="single" w:sz="4" w:space="0" w:color="auto"/>
              <w:bottom w:val="single" w:sz="4" w:space="0" w:color="auto"/>
              <w:right w:val="single" w:sz="4" w:space="0" w:color="auto"/>
            </w:tcBorders>
            <w:shd w:val="clear" w:color="auto" w:fill="auto"/>
            <w:noWrap/>
            <w:vAlign w:val="center"/>
            <w:hideMark/>
          </w:tcPr>
          <w:p w:rsidR="00FF0E14" w:rsidRPr="00BD4B64" w:rsidRDefault="00FF0E14" w:rsidP="00CA5CF1">
            <w:pPr>
              <w:spacing w:line="240" w:lineRule="auto"/>
              <w:ind w:firstLineChars="100" w:firstLine="181"/>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Pr>
              <w:t>Taux d'activité</w:t>
            </w:r>
          </w:p>
        </w:tc>
        <w:tc>
          <w:tcPr>
            <w:tcW w:w="422"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CA5CF1">
            <w:pPr>
              <w:spacing w:line="240" w:lineRule="auto"/>
              <w:ind w:firstLineChars="100" w:firstLine="181"/>
              <w:jc w:val="center"/>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Pr>
              <w:t>42,3</w:t>
            </w:r>
          </w:p>
        </w:tc>
        <w:tc>
          <w:tcPr>
            <w:tcW w:w="421"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CA5CF1">
            <w:pPr>
              <w:spacing w:line="240" w:lineRule="auto"/>
              <w:ind w:firstLineChars="100" w:firstLine="181"/>
              <w:jc w:val="center"/>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Pr>
              <w:t>50,9</w:t>
            </w:r>
          </w:p>
        </w:tc>
        <w:tc>
          <w:tcPr>
            <w:tcW w:w="548"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CA5CF1">
            <w:pPr>
              <w:spacing w:line="240" w:lineRule="auto"/>
              <w:ind w:firstLineChars="100" w:firstLine="181"/>
              <w:jc w:val="center"/>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Pr>
              <w:t>45,3</w:t>
            </w:r>
          </w:p>
        </w:tc>
        <w:tc>
          <w:tcPr>
            <w:tcW w:w="415"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CA5CF1">
            <w:pPr>
              <w:spacing w:line="240" w:lineRule="auto"/>
              <w:ind w:firstLineChars="100" w:firstLine="181"/>
              <w:jc w:val="center"/>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Pr>
              <w:t>41,9</w:t>
            </w:r>
          </w:p>
        </w:tc>
        <w:tc>
          <w:tcPr>
            <w:tcW w:w="413"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CA5CF1">
            <w:pPr>
              <w:spacing w:line="240" w:lineRule="auto"/>
              <w:ind w:firstLineChars="100" w:firstLine="181"/>
              <w:jc w:val="center"/>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Pr>
              <w:t>49,1</w:t>
            </w:r>
          </w:p>
        </w:tc>
        <w:tc>
          <w:tcPr>
            <w:tcW w:w="550"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CA5CF1">
            <w:pPr>
              <w:spacing w:line="240" w:lineRule="auto"/>
              <w:ind w:firstLineChars="100" w:firstLine="181"/>
              <w:jc w:val="center"/>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Pr>
              <w:t>44,3</w:t>
            </w:r>
          </w:p>
        </w:tc>
      </w:tr>
      <w:tr w:rsidR="00FF0E14" w:rsidRPr="00BD4B64" w:rsidTr="00FF0E14">
        <w:trPr>
          <w:trHeight w:val="315"/>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F0E14" w:rsidRPr="00BD4B64" w:rsidRDefault="00FF0E14" w:rsidP="00FF0E14">
            <w:pPr>
              <w:spacing w:line="240" w:lineRule="auto"/>
              <w:ind w:firstLineChars="200" w:firstLine="360"/>
              <w:rPr>
                <w:rFonts w:ascii="Garamond" w:eastAsia="Times New Roman" w:hAnsi="Garamond" w:cs="Calibri"/>
                <w:i/>
                <w:iCs/>
                <w:color w:val="000000"/>
                <w:sz w:val="18"/>
                <w:szCs w:val="18"/>
              </w:rPr>
            </w:pPr>
            <w:r w:rsidRPr="00BD4B64">
              <w:rPr>
                <w:rFonts w:ascii="Garamond" w:eastAsia="Times New Roman" w:hAnsi="Garamond" w:cs="Calibri"/>
                <w:i/>
                <w:iCs/>
                <w:color w:val="000000"/>
                <w:sz w:val="18"/>
                <w:szCs w:val="18"/>
              </w:rPr>
              <w:t>• Selon le sexe</w:t>
            </w:r>
          </w:p>
        </w:tc>
      </w:tr>
      <w:tr w:rsidR="00FF0E14" w:rsidRPr="00BD4B64" w:rsidTr="00FF0E14">
        <w:trPr>
          <w:trHeight w:val="315"/>
        </w:trPr>
        <w:tc>
          <w:tcPr>
            <w:tcW w:w="2231" w:type="pct"/>
            <w:tcBorders>
              <w:top w:val="nil"/>
              <w:left w:val="single" w:sz="4" w:space="0" w:color="auto"/>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400" w:firstLine="720"/>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Hommes</w:t>
            </w:r>
          </w:p>
        </w:tc>
        <w:tc>
          <w:tcPr>
            <w:tcW w:w="422"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67,3</w:t>
            </w:r>
          </w:p>
        </w:tc>
        <w:tc>
          <w:tcPr>
            <w:tcW w:w="421"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76,0</w:t>
            </w:r>
          </w:p>
        </w:tc>
        <w:tc>
          <w:tcPr>
            <w:tcW w:w="548"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70,4</w:t>
            </w:r>
          </w:p>
        </w:tc>
        <w:tc>
          <w:tcPr>
            <w:tcW w:w="415"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67,0</w:t>
            </w:r>
          </w:p>
        </w:tc>
        <w:tc>
          <w:tcPr>
            <w:tcW w:w="413"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74,4</w:t>
            </w:r>
          </w:p>
        </w:tc>
        <w:tc>
          <w:tcPr>
            <w:tcW w:w="550"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69,6</w:t>
            </w:r>
          </w:p>
        </w:tc>
      </w:tr>
      <w:tr w:rsidR="00FF0E14" w:rsidRPr="00BD4B64" w:rsidTr="00FF0E14">
        <w:trPr>
          <w:trHeight w:val="315"/>
        </w:trPr>
        <w:tc>
          <w:tcPr>
            <w:tcW w:w="2231" w:type="pct"/>
            <w:tcBorders>
              <w:top w:val="nil"/>
              <w:left w:val="single" w:sz="4" w:space="0" w:color="auto"/>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400" w:firstLine="720"/>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Femmes</w:t>
            </w:r>
          </w:p>
        </w:tc>
        <w:tc>
          <w:tcPr>
            <w:tcW w:w="422"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18,7</w:t>
            </w:r>
          </w:p>
        </w:tc>
        <w:tc>
          <w:tcPr>
            <w:tcW w:w="421"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25,2</w:t>
            </w:r>
          </w:p>
        </w:tc>
        <w:tc>
          <w:tcPr>
            <w:tcW w:w="548"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20,9</w:t>
            </w:r>
          </w:p>
        </w:tc>
        <w:tc>
          <w:tcPr>
            <w:tcW w:w="415"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18,3</w:t>
            </w:r>
          </w:p>
        </w:tc>
        <w:tc>
          <w:tcPr>
            <w:tcW w:w="413"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22,8</w:t>
            </w:r>
          </w:p>
        </w:tc>
        <w:tc>
          <w:tcPr>
            <w:tcW w:w="550"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19,8</w:t>
            </w:r>
          </w:p>
        </w:tc>
      </w:tr>
      <w:tr w:rsidR="00FF0E14" w:rsidRPr="00BD4B64" w:rsidTr="00FF0E14">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200" w:firstLine="360"/>
              <w:rPr>
                <w:rFonts w:ascii="Garamond" w:eastAsia="Times New Roman" w:hAnsi="Garamond" w:cs="Calibri"/>
                <w:i/>
                <w:iCs/>
                <w:color w:val="000000"/>
                <w:sz w:val="18"/>
                <w:szCs w:val="18"/>
              </w:rPr>
            </w:pPr>
            <w:r w:rsidRPr="00BD4B64">
              <w:rPr>
                <w:rFonts w:ascii="Garamond" w:eastAsia="Times New Roman" w:hAnsi="Garamond" w:cs="Calibri"/>
                <w:i/>
                <w:iCs/>
                <w:color w:val="000000"/>
                <w:sz w:val="18"/>
                <w:szCs w:val="18"/>
              </w:rPr>
              <w:t>• Selon l'âge</w:t>
            </w:r>
          </w:p>
        </w:tc>
      </w:tr>
      <w:tr w:rsidR="00FF0E14" w:rsidRPr="00BD4B64" w:rsidTr="00FF0E14">
        <w:trPr>
          <w:trHeight w:val="315"/>
        </w:trPr>
        <w:tc>
          <w:tcPr>
            <w:tcW w:w="2231" w:type="pct"/>
            <w:tcBorders>
              <w:top w:val="nil"/>
              <w:left w:val="single" w:sz="4" w:space="0" w:color="auto"/>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400" w:firstLine="720"/>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15-24 ans</w:t>
            </w:r>
          </w:p>
        </w:tc>
        <w:tc>
          <w:tcPr>
            <w:tcW w:w="422"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20,6</w:t>
            </w:r>
          </w:p>
        </w:tc>
        <w:tc>
          <w:tcPr>
            <w:tcW w:w="421"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28,9</w:t>
            </w:r>
          </w:p>
        </w:tc>
        <w:tc>
          <w:tcPr>
            <w:tcW w:w="548"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23,9</w:t>
            </w:r>
          </w:p>
        </w:tc>
        <w:tc>
          <w:tcPr>
            <w:tcW w:w="415"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20,3</w:t>
            </w:r>
          </w:p>
        </w:tc>
        <w:tc>
          <w:tcPr>
            <w:tcW w:w="413"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26,5</w:t>
            </w:r>
          </w:p>
        </w:tc>
        <w:tc>
          <w:tcPr>
            <w:tcW w:w="550"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22,8</w:t>
            </w:r>
          </w:p>
        </w:tc>
      </w:tr>
      <w:tr w:rsidR="00FF0E14" w:rsidRPr="00BD4B64" w:rsidTr="00FF0E14">
        <w:trPr>
          <w:trHeight w:val="315"/>
        </w:trPr>
        <w:tc>
          <w:tcPr>
            <w:tcW w:w="2231" w:type="pct"/>
            <w:tcBorders>
              <w:top w:val="nil"/>
              <w:left w:val="single" w:sz="4" w:space="0" w:color="auto"/>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400" w:firstLine="720"/>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25-34 ans</w:t>
            </w:r>
          </w:p>
        </w:tc>
        <w:tc>
          <w:tcPr>
            <w:tcW w:w="422"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59,4</w:t>
            </w:r>
          </w:p>
        </w:tc>
        <w:tc>
          <w:tcPr>
            <w:tcW w:w="421"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61,4</w:t>
            </w:r>
          </w:p>
        </w:tc>
        <w:tc>
          <w:tcPr>
            <w:tcW w:w="548"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60,1</w:t>
            </w:r>
          </w:p>
        </w:tc>
        <w:tc>
          <w:tcPr>
            <w:tcW w:w="415"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59,6</w:t>
            </w:r>
          </w:p>
        </w:tc>
        <w:tc>
          <w:tcPr>
            <w:tcW w:w="413"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60,7</w:t>
            </w:r>
          </w:p>
        </w:tc>
        <w:tc>
          <w:tcPr>
            <w:tcW w:w="550"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59,9</w:t>
            </w:r>
          </w:p>
        </w:tc>
      </w:tr>
      <w:tr w:rsidR="00FF0E14" w:rsidRPr="00BD4B64" w:rsidTr="00FF0E14">
        <w:trPr>
          <w:trHeight w:val="315"/>
        </w:trPr>
        <w:tc>
          <w:tcPr>
            <w:tcW w:w="2231" w:type="pct"/>
            <w:tcBorders>
              <w:top w:val="nil"/>
              <w:left w:val="single" w:sz="4" w:space="0" w:color="auto"/>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400" w:firstLine="720"/>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35-44 ans</w:t>
            </w:r>
          </w:p>
        </w:tc>
        <w:tc>
          <w:tcPr>
            <w:tcW w:w="422"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57,9</w:t>
            </w:r>
          </w:p>
        </w:tc>
        <w:tc>
          <w:tcPr>
            <w:tcW w:w="421"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65,9</w:t>
            </w:r>
          </w:p>
        </w:tc>
        <w:tc>
          <w:tcPr>
            <w:tcW w:w="548"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60,5</w:t>
            </w:r>
          </w:p>
        </w:tc>
        <w:tc>
          <w:tcPr>
            <w:tcW w:w="415"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57,1</w:t>
            </w:r>
          </w:p>
        </w:tc>
        <w:tc>
          <w:tcPr>
            <w:tcW w:w="413"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64,3</w:t>
            </w:r>
          </w:p>
        </w:tc>
        <w:tc>
          <w:tcPr>
            <w:tcW w:w="550"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59,4</w:t>
            </w:r>
          </w:p>
        </w:tc>
      </w:tr>
      <w:tr w:rsidR="00FF0E14" w:rsidRPr="00BD4B64" w:rsidTr="00FF0E14">
        <w:trPr>
          <w:trHeight w:val="315"/>
        </w:trPr>
        <w:tc>
          <w:tcPr>
            <w:tcW w:w="2231" w:type="pct"/>
            <w:tcBorders>
              <w:top w:val="nil"/>
              <w:left w:val="single" w:sz="4" w:space="0" w:color="auto"/>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400" w:firstLine="720"/>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45 ans et plus</w:t>
            </w:r>
          </w:p>
        </w:tc>
        <w:tc>
          <w:tcPr>
            <w:tcW w:w="422"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36,0</w:t>
            </w:r>
          </w:p>
        </w:tc>
        <w:tc>
          <w:tcPr>
            <w:tcW w:w="421"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53,2</w:t>
            </w:r>
          </w:p>
        </w:tc>
        <w:tc>
          <w:tcPr>
            <w:tcW w:w="548"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41,8</w:t>
            </w:r>
          </w:p>
        </w:tc>
        <w:tc>
          <w:tcPr>
            <w:tcW w:w="415"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35,3</w:t>
            </w:r>
          </w:p>
        </w:tc>
        <w:tc>
          <w:tcPr>
            <w:tcW w:w="413"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51,0</w:t>
            </w:r>
          </w:p>
        </w:tc>
        <w:tc>
          <w:tcPr>
            <w:tcW w:w="550"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40,5</w:t>
            </w:r>
          </w:p>
        </w:tc>
      </w:tr>
      <w:tr w:rsidR="00FF0E14" w:rsidRPr="00BD4B64" w:rsidTr="00FF0E14">
        <w:trPr>
          <w:trHeight w:val="315"/>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F0E14" w:rsidRPr="00BD4B64" w:rsidRDefault="00FF0E14" w:rsidP="00FF0E14">
            <w:pPr>
              <w:spacing w:line="240" w:lineRule="auto"/>
              <w:ind w:firstLineChars="200" w:firstLine="360"/>
              <w:rPr>
                <w:rFonts w:ascii="Garamond" w:eastAsia="Times New Roman" w:hAnsi="Garamond" w:cs="Calibri"/>
                <w:i/>
                <w:iCs/>
                <w:color w:val="000000"/>
                <w:sz w:val="18"/>
                <w:szCs w:val="18"/>
              </w:rPr>
            </w:pPr>
            <w:r w:rsidRPr="00BD4B64">
              <w:rPr>
                <w:rFonts w:ascii="Garamond" w:eastAsia="Times New Roman" w:hAnsi="Garamond" w:cs="Calibri"/>
                <w:i/>
                <w:iCs/>
                <w:color w:val="000000"/>
                <w:sz w:val="18"/>
                <w:szCs w:val="18"/>
              </w:rPr>
              <w:t>• Selon le diplôme</w:t>
            </w:r>
          </w:p>
        </w:tc>
      </w:tr>
      <w:tr w:rsidR="00FF0E14" w:rsidRPr="00BD4B64" w:rsidTr="00FF0E14">
        <w:trPr>
          <w:trHeight w:val="315"/>
        </w:trPr>
        <w:tc>
          <w:tcPr>
            <w:tcW w:w="2231" w:type="pct"/>
            <w:tcBorders>
              <w:top w:val="nil"/>
              <w:left w:val="single" w:sz="4" w:space="0" w:color="auto"/>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400" w:firstLine="720"/>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Non diplômés</w:t>
            </w:r>
          </w:p>
        </w:tc>
        <w:tc>
          <w:tcPr>
            <w:tcW w:w="422"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35,2</w:t>
            </w:r>
          </w:p>
        </w:tc>
        <w:tc>
          <w:tcPr>
            <w:tcW w:w="421"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53,6</w:t>
            </w:r>
          </w:p>
        </w:tc>
        <w:tc>
          <w:tcPr>
            <w:tcW w:w="548"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43,8</w:t>
            </w:r>
          </w:p>
        </w:tc>
        <w:tc>
          <w:tcPr>
            <w:tcW w:w="415"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34,6</w:t>
            </w:r>
          </w:p>
        </w:tc>
        <w:tc>
          <w:tcPr>
            <w:tcW w:w="413"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51,5</w:t>
            </w:r>
          </w:p>
        </w:tc>
        <w:tc>
          <w:tcPr>
            <w:tcW w:w="550"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42,3</w:t>
            </w:r>
          </w:p>
        </w:tc>
      </w:tr>
      <w:tr w:rsidR="00FF0E14" w:rsidRPr="00BD4B64" w:rsidTr="00FF0E14">
        <w:trPr>
          <w:trHeight w:val="315"/>
        </w:trPr>
        <w:tc>
          <w:tcPr>
            <w:tcW w:w="2231" w:type="pct"/>
            <w:tcBorders>
              <w:top w:val="nil"/>
              <w:left w:val="single" w:sz="4" w:space="0" w:color="auto"/>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400" w:firstLine="720"/>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Diplômés</w:t>
            </w:r>
          </w:p>
        </w:tc>
        <w:tc>
          <w:tcPr>
            <w:tcW w:w="422"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47,2</w:t>
            </w:r>
          </w:p>
        </w:tc>
        <w:tc>
          <w:tcPr>
            <w:tcW w:w="421"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45,3</w:t>
            </w:r>
          </w:p>
        </w:tc>
        <w:tc>
          <w:tcPr>
            <w:tcW w:w="548"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46,8</w:t>
            </w:r>
          </w:p>
        </w:tc>
        <w:tc>
          <w:tcPr>
            <w:tcW w:w="415"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46,8</w:t>
            </w:r>
          </w:p>
        </w:tc>
        <w:tc>
          <w:tcPr>
            <w:tcW w:w="413"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44,2</w:t>
            </w:r>
          </w:p>
        </w:tc>
        <w:tc>
          <w:tcPr>
            <w:tcW w:w="550"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46,2</w:t>
            </w:r>
          </w:p>
        </w:tc>
      </w:tr>
      <w:tr w:rsidR="00FF0E14" w:rsidRPr="00BD4B64" w:rsidTr="00FF0E14">
        <w:trPr>
          <w:trHeight w:val="315"/>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F0E14" w:rsidRPr="00BD4B64" w:rsidRDefault="00FF0E14" w:rsidP="00FF0E14">
            <w:pPr>
              <w:spacing w:line="240" w:lineRule="auto"/>
              <w:rPr>
                <w:rFonts w:ascii="Garamond" w:eastAsia="Times New Roman" w:hAnsi="Garamond" w:cs="Calibri"/>
                <w:b/>
                <w:bCs/>
                <w:color w:val="1F497D"/>
                <w:sz w:val="18"/>
                <w:szCs w:val="18"/>
              </w:rPr>
            </w:pPr>
            <w:r w:rsidRPr="00BD4B64">
              <w:rPr>
                <w:rFonts w:ascii="Garamond" w:eastAsia="Times New Roman" w:hAnsi="Garamond" w:cs="Calibri"/>
                <w:b/>
                <w:bCs/>
                <w:color w:val="1F497D"/>
                <w:sz w:val="18"/>
                <w:szCs w:val="18"/>
              </w:rPr>
              <w:t>Emploi (des 15 ans et plus)</w:t>
            </w:r>
          </w:p>
        </w:tc>
      </w:tr>
      <w:tr w:rsidR="00FF0E14" w:rsidRPr="00BD4B64" w:rsidTr="00FF0E14">
        <w:trPr>
          <w:trHeight w:val="315"/>
        </w:trPr>
        <w:tc>
          <w:tcPr>
            <w:tcW w:w="2231" w:type="pct"/>
            <w:tcBorders>
              <w:top w:val="nil"/>
              <w:left w:val="single" w:sz="4" w:space="0" w:color="auto"/>
              <w:bottom w:val="single" w:sz="4" w:space="0" w:color="auto"/>
              <w:right w:val="single" w:sz="4" w:space="0" w:color="auto"/>
            </w:tcBorders>
            <w:shd w:val="clear" w:color="auto" w:fill="auto"/>
            <w:noWrap/>
            <w:vAlign w:val="center"/>
            <w:hideMark/>
          </w:tcPr>
          <w:p w:rsidR="00FF0E14" w:rsidRPr="00BD4B64" w:rsidRDefault="00FF0E14" w:rsidP="00287D21">
            <w:pPr>
              <w:spacing w:line="240" w:lineRule="auto"/>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Pr>
              <w:t>Population active occupée</w:t>
            </w:r>
          </w:p>
        </w:tc>
        <w:tc>
          <w:tcPr>
            <w:tcW w:w="422"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1"/>
              <w:jc w:val="center"/>
              <w:rPr>
                <w:rFonts w:ascii="Garamond" w:eastAsia="Times New Roman" w:hAnsi="Garamond" w:cs="Calibri"/>
                <w:b/>
                <w:bCs/>
                <w:color w:val="010205"/>
                <w:sz w:val="18"/>
                <w:szCs w:val="18"/>
              </w:rPr>
            </w:pPr>
            <w:r w:rsidRPr="00BD4B64">
              <w:rPr>
                <w:rFonts w:ascii="Garamond" w:eastAsia="Times New Roman" w:hAnsi="Garamond" w:cs="Calibri"/>
                <w:b/>
                <w:bCs/>
                <w:color w:val="010205"/>
                <w:sz w:val="18"/>
                <w:szCs w:val="18"/>
              </w:rPr>
              <w:t>6 239</w:t>
            </w:r>
          </w:p>
        </w:tc>
        <w:tc>
          <w:tcPr>
            <w:tcW w:w="421"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1"/>
              <w:jc w:val="center"/>
              <w:rPr>
                <w:rFonts w:ascii="Garamond" w:eastAsia="Times New Roman" w:hAnsi="Garamond" w:cs="Calibri"/>
                <w:b/>
                <w:bCs/>
                <w:color w:val="010205"/>
                <w:sz w:val="18"/>
                <w:szCs w:val="18"/>
              </w:rPr>
            </w:pPr>
            <w:r w:rsidRPr="00BD4B64">
              <w:rPr>
                <w:rFonts w:ascii="Garamond" w:eastAsia="Times New Roman" w:hAnsi="Garamond" w:cs="Calibri"/>
                <w:b/>
                <w:bCs/>
                <w:color w:val="010205"/>
                <w:sz w:val="18"/>
                <w:szCs w:val="18"/>
              </w:rPr>
              <w:t>4 533</w:t>
            </w:r>
          </w:p>
        </w:tc>
        <w:tc>
          <w:tcPr>
            <w:tcW w:w="548"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1"/>
              <w:jc w:val="center"/>
              <w:rPr>
                <w:rFonts w:ascii="Garamond" w:eastAsia="Times New Roman" w:hAnsi="Garamond" w:cs="Calibri"/>
                <w:b/>
                <w:bCs/>
                <w:color w:val="010205"/>
                <w:sz w:val="18"/>
                <w:szCs w:val="18"/>
              </w:rPr>
            </w:pPr>
            <w:r w:rsidRPr="00BD4B64">
              <w:rPr>
                <w:rFonts w:ascii="Garamond" w:eastAsia="Times New Roman" w:hAnsi="Garamond" w:cs="Calibri"/>
                <w:b/>
                <w:bCs/>
                <w:color w:val="010205"/>
                <w:sz w:val="18"/>
                <w:szCs w:val="18"/>
              </w:rPr>
              <w:t>10 772</w:t>
            </w:r>
          </w:p>
        </w:tc>
        <w:tc>
          <w:tcPr>
            <w:tcW w:w="415"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1"/>
              <w:jc w:val="center"/>
              <w:rPr>
                <w:rFonts w:ascii="Garamond" w:eastAsia="Times New Roman" w:hAnsi="Garamond" w:cs="Calibri"/>
                <w:b/>
                <w:bCs/>
                <w:color w:val="010205"/>
                <w:sz w:val="18"/>
                <w:szCs w:val="18"/>
              </w:rPr>
            </w:pPr>
            <w:r w:rsidRPr="00BD4B64">
              <w:rPr>
                <w:rFonts w:ascii="Garamond" w:eastAsia="Times New Roman" w:hAnsi="Garamond" w:cs="Calibri"/>
                <w:b/>
                <w:bCs/>
                <w:color w:val="010205"/>
                <w:sz w:val="18"/>
                <w:szCs w:val="18"/>
              </w:rPr>
              <w:t>6 390</w:t>
            </w:r>
          </w:p>
        </w:tc>
        <w:tc>
          <w:tcPr>
            <w:tcW w:w="413"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1"/>
              <w:jc w:val="center"/>
              <w:rPr>
                <w:rFonts w:ascii="Garamond" w:eastAsia="Times New Roman" w:hAnsi="Garamond" w:cs="Calibri"/>
                <w:b/>
                <w:bCs/>
                <w:color w:val="010205"/>
                <w:sz w:val="18"/>
                <w:szCs w:val="18"/>
              </w:rPr>
            </w:pPr>
            <w:r w:rsidRPr="00BD4B64">
              <w:rPr>
                <w:rFonts w:ascii="Garamond" w:eastAsia="Times New Roman" w:hAnsi="Garamond" w:cs="Calibri"/>
                <w:b/>
                <w:bCs/>
                <w:color w:val="010205"/>
                <w:sz w:val="18"/>
                <w:szCs w:val="18"/>
              </w:rPr>
              <w:t>4 359</w:t>
            </w:r>
          </w:p>
        </w:tc>
        <w:tc>
          <w:tcPr>
            <w:tcW w:w="550"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1"/>
              <w:jc w:val="center"/>
              <w:rPr>
                <w:rFonts w:ascii="Garamond" w:eastAsia="Times New Roman" w:hAnsi="Garamond" w:cs="Calibri"/>
                <w:b/>
                <w:bCs/>
                <w:color w:val="010205"/>
                <w:sz w:val="18"/>
                <w:szCs w:val="18"/>
              </w:rPr>
            </w:pPr>
            <w:r w:rsidRPr="00BD4B64">
              <w:rPr>
                <w:rFonts w:ascii="Garamond" w:eastAsia="Times New Roman" w:hAnsi="Garamond" w:cs="Calibri"/>
                <w:b/>
                <w:bCs/>
                <w:color w:val="010205"/>
                <w:sz w:val="18"/>
                <w:szCs w:val="18"/>
              </w:rPr>
              <w:t>10 749</w:t>
            </w:r>
          </w:p>
        </w:tc>
      </w:tr>
      <w:tr w:rsidR="00FF0E14" w:rsidRPr="00BD4B64" w:rsidTr="00FF0E14">
        <w:trPr>
          <w:trHeight w:val="315"/>
        </w:trPr>
        <w:tc>
          <w:tcPr>
            <w:tcW w:w="2231" w:type="pct"/>
            <w:tcBorders>
              <w:top w:val="nil"/>
              <w:left w:val="single" w:sz="4" w:space="0" w:color="auto"/>
              <w:bottom w:val="single" w:sz="4" w:space="0" w:color="auto"/>
              <w:right w:val="single" w:sz="4" w:space="0" w:color="auto"/>
            </w:tcBorders>
            <w:shd w:val="clear" w:color="auto" w:fill="auto"/>
            <w:noWrap/>
            <w:vAlign w:val="center"/>
            <w:hideMark/>
          </w:tcPr>
          <w:p w:rsidR="00FF0E14" w:rsidRPr="00BD4B64" w:rsidRDefault="00FF0E14" w:rsidP="00287D21">
            <w:pPr>
              <w:spacing w:line="240" w:lineRule="auto"/>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Pr>
              <w:t>Taux d'emploi</w:t>
            </w:r>
          </w:p>
        </w:tc>
        <w:tc>
          <w:tcPr>
            <w:tcW w:w="422"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1"/>
              <w:jc w:val="center"/>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Pr>
              <w:t>35,1</w:t>
            </w:r>
          </w:p>
        </w:tc>
        <w:tc>
          <w:tcPr>
            <w:tcW w:w="421"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1"/>
              <w:jc w:val="center"/>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Pr>
              <w:t>48,4</w:t>
            </w:r>
          </w:p>
        </w:tc>
        <w:tc>
          <w:tcPr>
            <w:tcW w:w="548"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1"/>
              <w:jc w:val="center"/>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Pr>
              <w:t>39,7</w:t>
            </w:r>
          </w:p>
        </w:tc>
        <w:tc>
          <w:tcPr>
            <w:tcW w:w="415"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1"/>
              <w:jc w:val="center"/>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Pr>
              <w:t>35,3</w:t>
            </w:r>
          </w:p>
        </w:tc>
        <w:tc>
          <w:tcPr>
            <w:tcW w:w="413"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1"/>
              <w:jc w:val="center"/>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Pr>
              <w:t>46,5</w:t>
            </w:r>
          </w:p>
        </w:tc>
        <w:tc>
          <w:tcPr>
            <w:tcW w:w="550"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1"/>
              <w:jc w:val="center"/>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Pr>
              <w:t>39,1</w:t>
            </w:r>
          </w:p>
        </w:tc>
      </w:tr>
      <w:tr w:rsidR="00FF0E14" w:rsidRPr="00BD4B64" w:rsidTr="00FF0E14">
        <w:trPr>
          <w:trHeight w:val="315"/>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F0E14" w:rsidRPr="00BD4B64" w:rsidRDefault="00FF0E14" w:rsidP="00FF0E14">
            <w:pPr>
              <w:spacing w:line="240" w:lineRule="auto"/>
              <w:ind w:firstLineChars="200" w:firstLine="360"/>
              <w:rPr>
                <w:rFonts w:ascii="Garamond" w:eastAsia="Times New Roman" w:hAnsi="Garamond" w:cs="Calibri"/>
                <w:i/>
                <w:iCs/>
                <w:color w:val="000000"/>
                <w:sz w:val="18"/>
                <w:szCs w:val="18"/>
              </w:rPr>
            </w:pPr>
            <w:r w:rsidRPr="00BD4B64">
              <w:rPr>
                <w:rFonts w:ascii="Garamond" w:eastAsia="Times New Roman" w:hAnsi="Garamond" w:cs="Calibri"/>
                <w:i/>
                <w:iCs/>
                <w:color w:val="000000"/>
                <w:sz w:val="18"/>
                <w:szCs w:val="18"/>
              </w:rPr>
              <w:t>• Selon le sexe</w:t>
            </w:r>
          </w:p>
        </w:tc>
      </w:tr>
      <w:tr w:rsidR="00FF0E14" w:rsidRPr="00BD4B64" w:rsidTr="00FF0E14">
        <w:trPr>
          <w:trHeight w:val="315"/>
        </w:trPr>
        <w:tc>
          <w:tcPr>
            <w:tcW w:w="2231" w:type="pct"/>
            <w:tcBorders>
              <w:top w:val="nil"/>
              <w:left w:val="single" w:sz="4" w:space="0" w:color="auto"/>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400" w:firstLine="720"/>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Hommes</w:t>
            </w:r>
          </w:p>
        </w:tc>
        <w:tc>
          <w:tcPr>
            <w:tcW w:w="422"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57,6</w:t>
            </w:r>
          </w:p>
        </w:tc>
        <w:tc>
          <w:tcPr>
            <w:tcW w:w="421"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71,9</w:t>
            </w:r>
          </w:p>
        </w:tc>
        <w:tc>
          <w:tcPr>
            <w:tcW w:w="548"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62,7</w:t>
            </w:r>
          </w:p>
        </w:tc>
        <w:tc>
          <w:tcPr>
            <w:tcW w:w="415"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58,2</w:t>
            </w:r>
          </w:p>
        </w:tc>
        <w:tc>
          <w:tcPr>
            <w:tcW w:w="413"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70,3</w:t>
            </w:r>
          </w:p>
        </w:tc>
        <w:tc>
          <w:tcPr>
            <w:tcW w:w="550"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62,4</w:t>
            </w:r>
          </w:p>
        </w:tc>
      </w:tr>
      <w:tr w:rsidR="00FF0E14" w:rsidRPr="00BD4B64" w:rsidTr="00FF0E14">
        <w:trPr>
          <w:trHeight w:val="315"/>
        </w:trPr>
        <w:tc>
          <w:tcPr>
            <w:tcW w:w="2231" w:type="pct"/>
            <w:tcBorders>
              <w:top w:val="nil"/>
              <w:left w:val="single" w:sz="4" w:space="0" w:color="auto"/>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400" w:firstLine="720"/>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Femmes</w:t>
            </w:r>
          </w:p>
        </w:tc>
        <w:tc>
          <w:tcPr>
            <w:tcW w:w="422"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13,9</w:t>
            </w:r>
          </w:p>
        </w:tc>
        <w:tc>
          <w:tcPr>
            <w:tcW w:w="421"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24,3</w:t>
            </w:r>
          </w:p>
        </w:tc>
        <w:tc>
          <w:tcPr>
            <w:tcW w:w="548"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17,4</w:t>
            </w:r>
          </w:p>
        </w:tc>
        <w:tc>
          <w:tcPr>
            <w:tcW w:w="415"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13,7</w:t>
            </w:r>
          </w:p>
        </w:tc>
        <w:tc>
          <w:tcPr>
            <w:tcW w:w="413"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21,9</w:t>
            </w:r>
          </w:p>
        </w:tc>
        <w:tc>
          <w:tcPr>
            <w:tcW w:w="550"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16,4</w:t>
            </w:r>
          </w:p>
        </w:tc>
      </w:tr>
      <w:tr w:rsidR="00FF0E14" w:rsidRPr="00BD4B64" w:rsidTr="00FF0E14">
        <w:trPr>
          <w:trHeight w:val="315"/>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F0E14" w:rsidRPr="00BD4B64" w:rsidRDefault="00FF0E14" w:rsidP="00287D21">
            <w:pPr>
              <w:spacing w:line="240" w:lineRule="auto"/>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Structure de l'emploi selon les secteurs d'activité économique</w:t>
            </w:r>
          </w:p>
        </w:tc>
      </w:tr>
      <w:tr w:rsidR="00FF0E14" w:rsidRPr="00BD4B64" w:rsidTr="00FF0E14">
        <w:trPr>
          <w:trHeight w:val="315"/>
        </w:trPr>
        <w:tc>
          <w:tcPr>
            <w:tcW w:w="2231" w:type="pct"/>
            <w:tcBorders>
              <w:top w:val="nil"/>
              <w:left w:val="single" w:sz="4" w:space="0" w:color="auto"/>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200" w:firstLine="360"/>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Agriculture</w:t>
            </w:r>
            <w:r w:rsidR="00287D21" w:rsidRPr="00BD4B64">
              <w:rPr>
                <w:rFonts w:ascii="Garamond" w:eastAsia="Times New Roman" w:hAnsi="Garamond" w:cs="Calibri"/>
                <w:color w:val="000000"/>
                <w:sz w:val="18"/>
                <w:szCs w:val="18"/>
              </w:rPr>
              <w:t>, forêt et pêche</w:t>
            </w:r>
          </w:p>
        </w:tc>
        <w:tc>
          <w:tcPr>
            <w:tcW w:w="422"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4,6</w:t>
            </w:r>
          </w:p>
        </w:tc>
        <w:tc>
          <w:tcPr>
            <w:tcW w:w="421"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67,8</w:t>
            </w:r>
          </w:p>
        </w:tc>
        <w:tc>
          <w:tcPr>
            <w:tcW w:w="548"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31,2</w:t>
            </w:r>
          </w:p>
        </w:tc>
        <w:tc>
          <w:tcPr>
            <w:tcW w:w="415"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4,4</w:t>
            </w:r>
          </w:p>
        </w:tc>
        <w:tc>
          <w:tcPr>
            <w:tcW w:w="413"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65,8</w:t>
            </w:r>
          </w:p>
        </w:tc>
        <w:tc>
          <w:tcPr>
            <w:tcW w:w="550"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29,3</w:t>
            </w:r>
          </w:p>
        </w:tc>
      </w:tr>
      <w:tr w:rsidR="00FF0E14" w:rsidRPr="00BD4B64" w:rsidTr="00FF0E14">
        <w:trPr>
          <w:trHeight w:val="315"/>
        </w:trPr>
        <w:tc>
          <w:tcPr>
            <w:tcW w:w="2231" w:type="pct"/>
            <w:tcBorders>
              <w:top w:val="nil"/>
              <w:left w:val="single" w:sz="4" w:space="0" w:color="auto"/>
              <w:bottom w:val="single" w:sz="4" w:space="0" w:color="auto"/>
              <w:right w:val="single" w:sz="4" w:space="0" w:color="auto"/>
            </w:tcBorders>
            <w:shd w:val="clear" w:color="auto" w:fill="auto"/>
            <w:noWrap/>
            <w:vAlign w:val="center"/>
            <w:hideMark/>
          </w:tcPr>
          <w:p w:rsidR="00FF0E14" w:rsidRPr="00BD4B64" w:rsidRDefault="00FF0E14" w:rsidP="00287D21">
            <w:pPr>
              <w:spacing w:line="240" w:lineRule="auto"/>
              <w:ind w:firstLineChars="200" w:firstLine="360"/>
              <w:rPr>
                <w:rFonts w:ascii="Garamond" w:eastAsia="Times New Roman" w:hAnsi="Garamond" w:cs="Calibri"/>
                <w:color w:val="000000"/>
                <w:sz w:val="18"/>
                <w:szCs w:val="18"/>
              </w:rPr>
            </w:pPr>
            <w:r w:rsidRPr="001F5B45">
              <w:rPr>
                <w:rFonts w:ascii="Garamond" w:eastAsia="Times New Roman" w:hAnsi="Garamond" w:cs="Calibri"/>
                <w:color w:val="000000"/>
                <w:sz w:val="18"/>
                <w:szCs w:val="18"/>
              </w:rPr>
              <w:t>Industrie</w:t>
            </w:r>
            <w:r w:rsidR="001F5B45" w:rsidRPr="001F5B45">
              <w:rPr>
                <w:rFonts w:ascii="Garamond" w:eastAsia="Times New Roman" w:hAnsi="Garamond" w:cs="Calibri"/>
                <w:color w:val="000000"/>
                <w:sz w:val="18"/>
                <w:szCs w:val="18"/>
              </w:rPr>
              <w:t xml:space="preserve"> </w:t>
            </w:r>
            <w:r w:rsidR="00225147" w:rsidRPr="001F5B45">
              <w:rPr>
                <w:rFonts w:ascii="Garamond" w:eastAsia="Times New Roman" w:hAnsi="Garamond" w:cs="Calibri"/>
                <w:color w:val="000000"/>
                <w:sz w:val="18"/>
                <w:szCs w:val="18"/>
              </w:rPr>
              <w:t>y compris l’artisanat</w:t>
            </w:r>
          </w:p>
        </w:tc>
        <w:tc>
          <w:tcPr>
            <w:tcW w:w="422"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17,0</w:t>
            </w:r>
          </w:p>
        </w:tc>
        <w:tc>
          <w:tcPr>
            <w:tcW w:w="421"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4,4</w:t>
            </w:r>
          </w:p>
        </w:tc>
        <w:tc>
          <w:tcPr>
            <w:tcW w:w="548"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11,7</w:t>
            </w:r>
          </w:p>
        </w:tc>
        <w:tc>
          <w:tcPr>
            <w:tcW w:w="415"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16,9</w:t>
            </w:r>
          </w:p>
        </w:tc>
        <w:tc>
          <w:tcPr>
            <w:tcW w:w="413"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4,9</w:t>
            </w:r>
          </w:p>
        </w:tc>
        <w:tc>
          <w:tcPr>
            <w:tcW w:w="550"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12,0</w:t>
            </w:r>
          </w:p>
        </w:tc>
      </w:tr>
      <w:tr w:rsidR="00FF0E14" w:rsidRPr="00BD4B64" w:rsidTr="00FF0E14">
        <w:trPr>
          <w:trHeight w:val="315"/>
        </w:trPr>
        <w:tc>
          <w:tcPr>
            <w:tcW w:w="2231" w:type="pct"/>
            <w:tcBorders>
              <w:top w:val="nil"/>
              <w:left w:val="single" w:sz="4" w:space="0" w:color="auto"/>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200" w:firstLine="360"/>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BTP</w:t>
            </w:r>
          </w:p>
        </w:tc>
        <w:tc>
          <w:tcPr>
            <w:tcW w:w="422"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12,5</w:t>
            </w:r>
          </w:p>
        </w:tc>
        <w:tc>
          <w:tcPr>
            <w:tcW w:w="421"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9,5</w:t>
            </w:r>
          </w:p>
        </w:tc>
        <w:tc>
          <w:tcPr>
            <w:tcW w:w="548"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11,2</w:t>
            </w:r>
          </w:p>
        </w:tc>
        <w:tc>
          <w:tcPr>
            <w:tcW w:w="415"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12,3</w:t>
            </w:r>
          </w:p>
        </w:tc>
        <w:tc>
          <w:tcPr>
            <w:tcW w:w="413"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9,7</w:t>
            </w:r>
          </w:p>
        </w:tc>
        <w:tc>
          <w:tcPr>
            <w:tcW w:w="550"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11,2</w:t>
            </w:r>
          </w:p>
        </w:tc>
      </w:tr>
      <w:tr w:rsidR="00FF0E14" w:rsidRPr="00BD4B64" w:rsidTr="00FF0E14">
        <w:trPr>
          <w:trHeight w:val="315"/>
        </w:trPr>
        <w:tc>
          <w:tcPr>
            <w:tcW w:w="2231" w:type="pct"/>
            <w:tcBorders>
              <w:top w:val="nil"/>
              <w:left w:val="single" w:sz="4" w:space="0" w:color="auto"/>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200" w:firstLine="360"/>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Services</w:t>
            </w:r>
          </w:p>
        </w:tc>
        <w:tc>
          <w:tcPr>
            <w:tcW w:w="422"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65,8</w:t>
            </w:r>
          </w:p>
        </w:tc>
        <w:tc>
          <w:tcPr>
            <w:tcW w:w="421"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18,3</w:t>
            </w:r>
          </w:p>
        </w:tc>
        <w:tc>
          <w:tcPr>
            <w:tcW w:w="548"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45,8</w:t>
            </w:r>
          </w:p>
        </w:tc>
        <w:tc>
          <w:tcPr>
            <w:tcW w:w="415"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66,4</w:t>
            </w:r>
          </w:p>
        </w:tc>
        <w:tc>
          <w:tcPr>
            <w:tcW w:w="413"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19,6</w:t>
            </w:r>
          </w:p>
        </w:tc>
        <w:tc>
          <w:tcPr>
            <w:tcW w:w="550"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47,4</w:t>
            </w:r>
          </w:p>
        </w:tc>
      </w:tr>
      <w:tr w:rsidR="00FF0E14" w:rsidRPr="00BD4B64" w:rsidTr="00FF0E14">
        <w:trPr>
          <w:trHeight w:val="315"/>
        </w:trPr>
        <w:tc>
          <w:tcPr>
            <w:tcW w:w="2231" w:type="pct"/>
            <w:tcBorders>
              <w:top w:val="nil"/>
              <w:left w:val="single" w:sz="4" w:space="0" w:color="auto"/>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Part de l'emploi rémunéré dans l'emploi total, dont :</w:t>
            </w:r>
          </w:p>
        </w:tc>
        <w:tc>
          <w:tcPr>
            <w:tcW w:w="422"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97,3</w:t>
            </w:r>
          </w:p>
        </w:tc>
        <w:tc>
          <w:tcPr>
            <w:tcW w:w="421"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69,9</w:t>
            </w:r>
          </w:p>
        </w:tc>
        <w:tc>
          <w:tcPr>
            <w:tcW w:w="548"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85,8</w:t>
            </w:r>
          </w:p>
        </w:tc>
        <w:tc>
          <w:tcPr>
            <w:tcW w:w="415"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97,5</w:t>
            </w:r>
          </w:p>
        </w:tc>
        <w:tc>
          <w:tcPr>
            <w:tcW w:w="413"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72,2</w:t>
            </w:r>
          </w:p>
        </w:tc>
        <w:tc>
          <w:tcPr>
            <w:tcW w:w="550"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87,2</w:t>
            </w:r>
          </w:p>
        </w:tc>
      </w:tr>
      <w:tr w:rsidR="00FF0E14" w:rsidRPr="00BD4B64" w:rsidTr="00FF0E14">
        <w:trPr>
          <w:trHeight w:val="315"/>
        </w:trPr>
        <w:tc>
          <w:tcPr>
            <w:tcW w:w="2231" w:type="pct"/>
            <w:tcBorders>
              <w:top w:val="nil"/>
              <w:left w:val="single" w:sz="4" w:space="0" w:color="auto"/>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200" w:firstLine="360"/>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Salariés</w:t>
            </w:r>
          </w:p>
        </w:tc>
        <w:tc>
          <w:tcPr>
            <w:tcW w:w="422"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67,8</w:t>
            </w:r>
          </w:p>
        </w:tc>
        <w:tc>
          <w:tcPr>
            <w:tcW w:w="421"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46,2</w:t>
            </w:r>
          </w:p>
        </w:tc>
        <w:tc>
          <w:tcPr>
            <w:tcW w:w="548"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60,4</w:t>
            </w:r>
          </w:p>
        </w:tc>
        <w:tc>
          <w:tcPr>
            <w:tcW w:w="415"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67,2</w:t>
            </w:r>
          </w:p>
        </w:tc>
        <w:tc>
          <w:tcPr>
            <w:tcW w:w="413"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46,8</w:t>
            </w:r>
          </w:p>
        </w:tc>
        <w:tc>
          <w:tcPr>
            <w:tcW w:w="550"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60,3</w:t>
            </w:r>
          </w:p>
        </w:tc>
      </w:tr>
      <w:tr w:rsidR="00FF0E14" w:rsidRPr="00BD4B64" w:rsidTr="00FF0E14">
        <w:trPr>
          <w:trHeight w:val="315"/>
        </w:trPr>
        <w:tc>
          <w:tcPr>
            <w:tcW w:w="2231" w:type="pct"/>
            <w:tcBorders>
              <w:top w:val="nil"/>
              <w:left w:val="single" w:sz="4" w:space="0" w:color="auto"/>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200" w:firstLine="360"/>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Auto-employés</w:t>
            </w:r>
          </w:p>
        </w:tc>
        <w:tc>
          <w:tcPr>
            <w:tcW w:w="422"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32,2</w:t>
            </w:r>
          </w:p>
        </w:tc>
        <w:tc>
          <w:tcPr>
            <w:tcW w:w="421"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53,8</w:t>
            </w:r>
          </w:p>
        </w:tc>
        <w:tc>
          <w:tcPr>
            <w:tcW w:w="548"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39,6</w:t>
            </w:r>
          </w:p>
        </w:tc>
        <w:tc>
          <w:tcPr>
            <w:tcW w:w="415"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32,8</w:t>
            </w:r>
          </w:p>
        </w:tc>
        <w:tc>
          <w:tcPr>
            <w:tcW w:w="413"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53,2</w:t>
            </w:r>
          </w:p>
        </w:tc>
        <w:tc>
          <w:tcPr>
            <w:tcW w:w="550"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39,7</w:t>
            </w:r>
          </w:p>
        </w:tc>
      </w:tr>
      <w:tr w:rsidR="00287D21" w:rsidRPr="00BD4B64" w:rsidTr="00287D21">
        <w:trPr>
          <w:trHeight w:val="315"/>
        </w:trPr>
        <w:tc>
          <w:tcPr>
            <w:tcW w:w="2231" w:type="pct"/>
            <w:tcBorders>
              <w:top w:val="nil"/>
              <w:left w:val="single" w:sz="4" w:space="0" w:color="auto"/>
              <w:bottom w:val="single" w:sz="4" w:space="0" w:color="auto"/>
              <w:right w:val="single" w:sz="4" w:space="0" w:color="auto"/>
            </w:tcBorders>
            <w:shd w:val="clear" w:color="auto" w:fill="auto"/>
            <w:noWrap/>
            <w:vAlign w:val="center"/>
            <w:hideMark/>
          </w:tcPr>
          <w:p w:rsidR="00287D21" w:rsidRPr="00BD4B64" w:rsidRDefault="00287D21" w:rsidP="00287D21">
            <w:pPr>
              <w:spacing w:line="240" w:lineRule="auto"/>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Pr>
              <w:t>Population active occupée en sous-emploi</w:t>
            </w:r>
          </w:p>
        </w:tc>
        <w:tc>
          <w:tcPr>
            <w:tcW w:w="422" w:type="pct"/>
            <w:tcBorders>
              <w:top w:val="nil"/>
              <w:left w:val="nil"/>
              <w:bottom w:val="single" w:sz="4" w:space="0" w:color="auto"/>
              <w:right w:val="single" w:sz="4" w:space="0" w:color="auto"/>
            </w:tcBorders>
            <w:shd w:val="clear" w:color="auto" w:fill="auto"/>
            <w:noWrap/>
            <w:vAlign w:val="center"/>
            <w:hideMark/>
          </w:tcPr>
          <w:p w:rsidR="00287D21" w:rsidRPr="00BD4B64" w:rsidRDefault="00287D21" w:rsidP="00287D21">
            <w:pPr>
              <w:spacing w:line="240" w:lineRule="auto"/>
              <w:ind w:firstLineChars="100" w:firstLine="181"/>
              <w:jc w:val="center"/>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Pr>
              <w:t>550</w:t>
            </w:r>
          </w:p>
        </w:tc>
        <w:tc>
          <w:tcPr>
            <w:tcW w:w="421" w:type="pct"/>
            <w:tcBorders>
              <w:top w:val="nil"/>
              <w:left w:val="nil"/>
              <w:bottom w:val="single" w:sz="4" w:space="0" w:color="auto"/>
              <w:right w:val="single" w:sz="4" w:space="0" w:color="auto"/>
            </w:tcBorders>
            <w:shd w:val="clear" w:color="auto" w:fill="auto"/>
            <w:noWrap/>
            <w:vAlign w:val="center"/>
            <w:hideMark/>
          </w:tcPr>
          <w:p w:rsidR="00287D21" w:rsidRPr="00BD4B64" w:rsidRDefault="00287D21" w:rsidP="00287D21">
            <w:pPr>
              <w:spacing w:line="240" w:lineRule="auto"/>
              <w:ind w:firstLineChars="100" w:firstLine="181"/>
              <w:jc w:val="center"/>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Pr>
              <w:t>453</w:t>
            </w:r>
          </w:p>
        </w:tc>
        <w:tc>
          <w:tcPr>
            <w:tcW w:w="548" w:type="pct"/>
            <w:tcBorders>
              <w:top w:val="nil"/>
              <w:left w:val="nil"/>
              <w:bottom w:val="single" w:sz="4" w:space="0" w:color="auto"/>
              <w:right w:val="single" w:sz="4" w:space="0" w:color="auto"/>
            </w:tcBorders>
            <w:shd w:val="clear" w:color="auto" w:fill="auto"/>
            <w:noWrap/>
            <w:vAlign w:val="center"/>
            <w:hideMark/>
          </w:tcPr>
          <w:p w:rsidR="00287D21" w:rsidRPr="00BD4B64" w:rsidRDefault="00287D21" w:rsidP="00287D21">
            <w:pPr>
              <w:spacing w:line="240" w:lineRule="auto"/>
              <w:ind w:firstLineChars="100" w:firstLine="181"/>
              <w:jc w:val="center"/>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Pr>
              <w:t>1 003</w:t>
            </w:r>
          </w:p>
        </w:tc>
        <w:tc>
          <w:tcPr>
            <w:tcW w:w="415" w:type="pct"/>
            <w:tcBorders>
              <w:top w:val="nil"/>
              <w:left w:val="nil"/>
              <w:bottom w:val="single" w:sz="4" w:space="0" w:color="auto"/>
              <w:right w:val="single" w:sz="4" w:space="0" w:color="auto"/>
            </w:tcBorders>
            <w:shd w:val="clear" w:color="auto" w:fill="auto"/>
            <w:noWrap/>
            <w:vAlign w:val="center"/>
            <w:hideMark/>
          </w:tcPr>
          <w:p w:rsidR="00287D21" w:rsidRPr="00BD4B64" w:rsidRDefault="00287D21" w:rsidP="00287D21">
            <w:pPr>
              <w:spacing w:line="240" w:lineRule="auto"/>
              <w:ind w:firstLineChars="100" w:firstLine="181"/>
              <w:jc w:val="center"/>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Pr>
              <w:t>520</w:t>
            </w:r>
          </w:p>
        </w:tc>
        <w:tc>
          <w:tcPr>
            <w:tcW w:w="413" w:type="pct"/>
            <w:tcBorders>
              <w:top w:val="nil"/>
              <w:left w:val="nil"/>
              <w:bottom w:val="single" w:sz="4" w:space="0" w:color="auto"/>
              <w:right w:val="single" w:sz="4" w:space="0" w:color="auto"/>
            </w:tcBorders>
            <w:shd w:val="clear" w:color="auto" w:fill="auto"/>
            <w:noWrap/>
            <w:vAlign w:val="center"/>
            <w:hideMark/>
          </w:tcPr>
          <w:p w:rsidR="00287D21" w:rsidRPr="00BD4B64" w:rsidRDefault="00287D21" w:rsidP="00287D21">
            <w:pPr>
              <w:spacing w:line="240" w:lineRule="auto"/>
              <w:ind w:firstLineChars="100" w:firstLine="181"/>
              <w:jc w:val="center"/>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Pr>
              <w:t>452</w:t>
            </w:r>
          </w:p>
        </w:tc>
        <w:tc>
          <w:tcPr>
            <w:tcW w:w="550" w:type="pct"/>
            <w:tcBorders>
              <w:top w:val="nil"/>
              <w:left w:val="nil"/>
              <w:bottom w:val="single" w:sz="4" w:space="0" w:color="auto"/>
              <w:right w:val="single" w:sz="4" w:space="0" w:color="auto"/>
            </w:tcBorders>
            <w:shd w:val="clear" w:color="auto" w:fill="auto"/>
            <w:noWrap/>
            <w:vAlign w:val="center"/>
            <w:hideMark/>
          </w:tcPr>
          <w:p w:rsidR="00287D21" w:rsidRPr="00BD4B64" w:rsidRDefault="00287D21" w:rsidP="00287D21">
            <w:pPr>
              <w:spacing w:line="240" w:lineRule="auto"/>
              <w:ind w:firstLineChars="100" w:firstLine="181"/>
              <w:jc w:val="center"/>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Pr>
              <w:t>972</w:t>
            </w:r>
          </w:p>
        </w:tc>
      </w:tr>
      <w:tr w:rsidR="00287D21" w:rsidRPr="00BD4B64" w:rsidTr="00287D21">
        <w:trPr>
          <w:trHeight w:val="315"/>
        </w:trPr>
        <w:tc>
          <w:tcPr>
            <w:tcW w:w="2231" w:type="pct"/>
            <w:tcBorders>
              <w:top w:val="nil"/>
              <w:left w:val="single" w:sz="4" w:space="0" w:color="auto"/>
              <w:bottom w:val="single" w:sz="4" w:space="0" w:color="auto"/>
              <w:right w:val="single" w:sz="4" w:space="0" w:color="auto"/>
            </w:tcBorders>
            <w:shd w:val="clear" w:color="auto" w:fill="auto"/>
            <w:noWrap/>
            <w:vAlign w:val="center"/>
            <w:hideMark/>
          </w:tcPr>
          <w:p w:rsidR="00287D21" w:rsidRPr="00BD4B64" w:rsidRDefault="00287D21" w:rsidP="00287D21">
            <w:pPr>
              <w:spacing w:line="240" w:lineRule="auto"/>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Pr>
              <w:t>Taux de sous-emploi</w:t>
            </w:r>
          </w:p>
        </w:tc>
        <w:tc>
          <w:tcPr>
            <w:tcW w:w="422" w:type="pct"/>
            <w:tcBorders>
              <w:top w:val="nil"/>
              <w:left w:val="nil"/>
              <w:bottom w:val="single" w:sz="4" w:space="0" w:color="auto"/>
              <w:right w:val="single" w:sz="4" w:space="0" w:color="auto"/>
            </w:tcBorders>
            <w:shd w:val="clear" w:color="auto" w:fill="auto"/>
            <w:noWrap/>
            <w:vAlign w:val="center"/>
            <w:hideMark/>
          </w:tcPr>
          <w:p w:rsidR="00287D21" w:rsidRPr="00BD4B64" w:rsidRDefault="00287D21" w:rsidP="00287D21">
            <w:pPr>
              <w:spacing w:line="240" w:lineRule="auto"/>
              <w:ind w:firstLineChars="100" w:firstLine="181"/>
              <w:jc w:val="center"/>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Pr>
              <w:t>8,8</w:t>
            </w:r>
          </w:p>
        </w:tc>
        <w:tc>
          <w:tcPr>
            <w:tcW w:w="421" w:type="pct"/>
            <w:tcBorders>
              <w:top w:val="nil"/>
              <w:left w:val="nil"/>
              <w:bottom w:val="single" w:sz="4" w:space="0" w:color="auto"/>
              <w:right w:val="single" w:sz="4" w:space="0" w:color="auto"/>
            </w:tcBorders>
            <w:shd w:val="clear" w:color="auto" w:fill="auto"/>
            <w:noWrap/>
            <w:vAlign w:val="center"/>
            <w:hideMark/>
          </w:tcPr>
          <w:p w:rsidR="00287D21" w:rsidRPr="00BD4B64" w:rsidRDefault="00287D21" w:rsidP="00287D21">
            <w:pPr>
              <w:spacing w:line="240" w:lineRule="auto"/>
              <w:ind w:firstLineChars="100" w:firstLine="181"/>
              <w:jc w:val="center"/>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Pr>
              <w:t>10,0</w:t>
            </w:r>
          </w:p>
        </w:tc>
        <w:tc>
          <w:tcPr>
            <w:tcW w:w="548" w:type="pct"/>
            <w:tcBorders>
              <w:top w:val="nil"/>
              <w:left w:val="nil"/>
              <w:bottom w:val="single" w:sz="4" w:space="0" w:color="auto"/>
              <w:right w:val="single" w:sz="4" w:space="0" w:color="auto"/>
            </w:tcBorders>
            <w:shd w:val="clear" w:color="auto" w:fill="auto"/>
            <w:noWrap/>
            <w:vAlign w:val="center"/>
            <w:hideMark/>
          </w:tcPr>
          <w:p w:rsidR="00287D21" w:rsidRPr="00BD4B64" w:rsidRDefault="00287D21" w:rsidP="00287D21">
            <w:pPr>
              <w:spacing w:line="240" w:lineRule="auto"/>
              <w:ind w:firstLineChars="100" w:firstLine="181"/>
              <w:jc w:val="center"/>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Pr>
              <w:t>9,3</w:t>
            </w:r>
          </w:p>
        </w:tc>
        <w:tc>
          <w:tcPr>
            <w:tcW w:w="415" w:type="pct"/>
            <w:tcBorders>
              <w:top w:val="nil"/>
              <w:left w:val="nil"/>
              <w:bottom w:val="single" w:sz="4" w:space="0" w:color="auto"/>
              <w:right w:val="single" w:sz="4" w:space="0" w:color="auto"/>
            </w:tcBorders>
            <w:shd w:val="clear" w:color="auto" w:fill="auto"/>
            <w:noWrap/>
            <w:vAlign w:val="center"/>
            <w:hideMark/>
          </w:tcPr>
          <w:p w:rsidR="00287D21" w:rsidRPr="00BD4B64" w:rsidRDefault="00287D21" w:rsidP="00287D21">
            <w:pPr>
              <w:spacing w:line="240" w:lineRule="auto"/>
              <w:ind w:firstLineChars="100" w:firstLine="181"/>
              <w:jc w:val="center"/>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Pr>
              <w:t>8,1</w:t>
            </w:r>
          </w:p>
        </w:tc>
        <w:tc>
          <w:tcPr>
            <w:tcW w:w="413" w:type="pct"/>
            <w:tcBorders>
              <w:top w:val="nil"/>
              <w:left w:val="nil"/>
              <w:bottom w:val="single" w:sz="4" w:space="0" w:color="auto"/>
              <w:right w:val="single" w:sz="4" w:space="0" w:color="auto"/>
            </w:tcBorders>
            <w:shd w:val="clear" w:color="auto" w:fill="auto"/>
            <w:noWrap/>
            <w:vAlign w:val="center"/>
            <w:hideMark/>
          </w:tcPr>
          <w:p w:rsidR="00287D21" w:rsidRPr="00BD4B64" w:rsidRDefault="00287D21" w:rsidP="00287D21">
            <w:pPr>
              <w:spacing w:line="240" w:lineRule="auto"/>
              <w:ind w:firstLineChars="100" w:firstLine="181"/>
              <w:jc w:val="center"/>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Pr>
              <w:t>10,4</w:t>
            </w:r>
          </w:p>
        </w:tc>
        <w:tc>
          <w:tcPr>
            <w:tcW w:w="550" w:type="pct"/>
            <w:tcBorders>
              <w:top w:val="nil"/>
              <w:left w:val="nil"/>
              <w:bottom w:val="single" w:sz="4" w:space="0" w:color="auto"/>
              <w:right w:val="single" w:sz="4" w:space="0" w:color="auto"/>
            </w:tcBorders>
            <w:shd w:val="clear" w:color="auto" w:fill="auto"/>
            <w:noWrap/>
            <w:vAlign w:val="center"/>
            <w:hideMark/>
          </w:tcPr>
          <w:p w:rsidR="00287D21" w:rsidRPr="00BD4B64" w:rsidRDefault="00287D21" w:rsidP="00287D21">
            <w:pPr>
              <w:spacing w:line="240" w:lineRule="auto"/>
              <w:ind w:firstLineChars="100" w:firstLine="181"/>
              <w:jc w:val="center"/>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Pr>
              <w:t>9,0</w:t>
            </w:r>
          </w:p>
        </w:tc>
      </w:tr>
      <w:tr w:rsidR="00287D21" w:rsidRPr="00BD4B64" w:rsidTr="007241D8">
        <w:trPr>
          <w:trHeight w:val="315"/>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87D21" w:rsidRPr="00BD4B64" w:rsidRDefault="00287D21" w:rsidP="007241D8">
            <w:pPr>
              <w:spacing w:line="240" w:lineRule="auto"/>
              <w:ind w:firstLineChars="200" w:firstLine="360"/>
              <w:rPr>
                <w:rFonts w:ascii="Garamond" w:eastAsia="Times New Roman" w:hAnsi="Garamond" w:cs="Calibri"/>
                <w:i/>
                <w:iCs/>
                <w:color w:val="000000"/>
                <w:sz w:val="18"/>
                <w:szCs w:val="18"/>
              </w:rPr>
            </w:pPr>
            <w:r w:rsidRPr="00BD4B64">
              <w:rPr>
                <w:rFonts w:ascii="Garamond" w:eastAsia="Times New Roman" w:hAnsi="Garamond" w:cs="Calibri"/>
                <w:i/>
                <w:iCs/>
                <w:color w:val="000000"/>
                <w:sz w:val="18"/>
                <w:szCs w:val="18"/>
              </w:rPr>
              <w:t>• Selon la forme de sous-emploi</w:t>
            </w:r>
          </w:p>
        </w:tc>
      </w:tr>
      <w:tr w:rsidR="00287D21" w:rsidRPr="00BD4B64" w:rsidTr="0090682D">
        <w:trPr>
          <w:trHeight w:val="284"/>
        </w:trPr>
        <w:tc>
          <w:tcPr>
            <w:tcW w:w="2231" w:type="pct"/>
            <w:tcBorders>
              <w:top w:val="nil"/>
              <w:left w:val="single" w:sz="4" w:space="0" w:color="auto"/>
              <w:bottom w:val="single" w:sz="4" w:space="0" w:color="auto"/>
              <w:right w:val="single" w:sz="4" w:space="0" w:color="auto"/>
            </w:tcBorders>
            <w:shd w:val="clear" w:color="auto" w:fill="auto"/>
            <w:noWrap/>
            <w:vAlign w:val="center"/>
            <w:hideMark/>
          </w:tcPr>
          <w:p w:rsidR="00287D21" w:rsidRPr="00BD4B64" w:rsidRDefault="00287D21" w:rsidP="007241D8">
            <w:pPr>
              <w:spacing w:line="240" w:lineRule="auto"/>
              <w:ind w:firstLineChars="400" w:firstLine="720"/>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Sous-emploi visible (lié à la durée de travail)</w:t>
            </w:r>
          </w:p>
        </w:tc>
        <w:tc>
          <w:tcPr>
            <w:tcW w:w="422" w:type="pct"/>
            <w:tcBorders>
              <w:top w:val="nil"/>
              <w:left w:val="nil"/>
              <w:bottom w:val="single" w:sz="4" w:space="0" w:color="auto"/>
              <w:right w:val="single" w:sz="4" w:space="0" w:color="auto"/>
            </w:tcBorders>
            <w:shd w:val="clear" w:color="auto" w:fill="auto"/>
            <w:noWrap/>
            <w:vAlign w:val="center"/>
            <w:hideMark/>
          </w:tcPr>
          <w:p w:rsidR="00287D21" w:rsidRPr="00BD4B64" w:rsidRDefault="00287D21" w:rsidP="007241D8">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3,8</w:t>
            </w:r>
          </w:p>
        </w:tc>
        <w:tc>
          <w:tcPr>
            <w:tcW w:w="421" w:type="pct"/>
            <w:tcBorders>
              <w:top w:val="nil"/>
              <w:left w:val="nil"/>
              <w:bottom w:val="single" w:sz="4" w:space="0" w:color="auto"/>
              <w:right w:val="single" w:sz="4" w:space="0" w:color="auto"/>
            </w:tcBorders>
            <w:shd w:val="clear" w:color="auto" w:fill="auto"/>
            <w:noWrap/>
            <w:vAlign w:val="center"/>
            <w:hideMark/>
          </w:tcPr>
          <w:p w:rsidR="00287D21" w:rsidRPr="00BD4B64" w:rsidRDefault="00287D21" w:rsidP="007241D8">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4,9</w:t>
            </w:r>
          </w:p>
        </w:tc>
        <w:tc>
          <w:tcPr>
            <w:tcW w:w="548" w:type="pct"/>
            <w:tcBorders>
              <w:top w:val="nil"/>
              <w:left w:val="nil"/>
              <w:bottom w:val="single" w:sz="4" w:space="0" w:color="auto"/>
              <w:right w:val="single" w:sz="4" w:space="0" w:color="auto"/>
            </w:tcBorders>
            <w:shd w:val="clear" w:color="auto" w:fill="auto"/>
            <w:noWrap/>
            <w:vAlign w:val="center"/>
            <w:hideMark/>
          </w:tcPr>
          <w:p w:rsidR="00287D21" w:rsidRPr="00BD4B64" w:rsidRDefault="00287D21" w:rsidP="007241D8">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4,3</w:t>
            </w:r>
          </w:p>
        </w:tc>
        <w:tc>
          <w:tcPr>
            <w:tcW w:w="415" w:type="pct"/>
            <w:tcBorders>
              <w:top w:val="nil"/>
              <w:left w:val="nil"/>
              <w:bottom w:val="single" w:sz="4" w:space="0" w:color="auto"/>
              <w:right w:val="single" w:sz="4" w:space="0" w:color="auto"/>
            </w:tcBorders>
            <w:shd w:val="clear" w:color="auto" w:fill="auto"/>
            <w:noWrap/>
            <w:vAlign w:val="center"/>
            <w:hideMark/>
          </w:tcPr>
          <w:p w:rsidR="00287D21" w:rsidRPr="00BD4B64" w:rsidRDefault="00287D21" w:rsidP="007241D8">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3,3</w:t>
            </w:r>
          </w:p>
        </w:tc>
        <w:tc>
          <w:tcPr>
            <w:tcW w:w="413" w:type="pct"/>
            <w:tcBorders>
              <w:top w:val="nil"/>
              <w:left w:val="nil"/>
              <w:bottom w:val="single" w:sz="4" w:space="0" w:color="auto"/>
              <w:right w:val="single" w:sz="4" w:space="0" w:color="auto"/>
            </w:tcBorders>
            <w:shd w:val="clear" w:color="auto" w:fill="auto"/>
            <w:noWrap/>
            <w:vAlign w:val="center"/>
            <w:hideMark/>
          </w:tcPr>
          <w:p w:rsidR="00287D21" w:rsidRPr="00BD4B64" w:rsidRDefault="00287D21" w:rsidP="007241D8">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5,1</w:t>
            </w:r>
          </w:p>
        </w:tc>
        <w:tc>
          <w:tcPr>
            <w:tcW w:w="550" w:type="pct"/>
            <w:tcBorders>
              <w:top w:val="nil"/>
              <w:left w:val="nil"/>
              <w:bottom w:val="single" w:sz="4" w:space="0" w:color="auto"/>
              <w:right w:val="single" w:sz="4" w:space="0" w:color="auto"/>
            </w:tcBorders>
            <w:shd w:val="clear" w:color="auto" w:fill="auto"/>
            <w:noWrap/>
            <w:vAlign w:val="center"/>
            <w:hideMark/>
          </w:tcPr>
          <w:p w:rsidR="00287D21" w:rsidRPr="00BD4B64" w:rsidRDefault="00287D21" w:rsidP="007241D8">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4,1</w:t>
            </w:r>
          </w:p>
        </w:tc>
      </w:tr>
      <w:tr w:rsidR="00287D21" w:rsidRPr="00BD4B64" w:rsidTr="0090682D">
        <w:trPr>
          <w:trHeight w:val="284"/>
        </w:trPr>
        <w:tc>
          <w:tcPr>
            <w:tcW w:w="2231" w:type="pct"/>
            <w:tcBorders>
              <w:top w:val="nil"/>
              <w:left w:val="single" w:sz="4" w:space="0" w:color="auto"/>
              <w:bottom w:val="single" w:sz="4" w:space="0" w:color="auto"/>
              <w:right w:val="single" w:sz="4" w:space="0" w:color="auto"/>
            </w:tcBorders>
            <w:shd w:val="clear" w:color="auto" w:fill="auto"/>
            <w:vAlign w:val="center"/>
            <w:hideMark/>
          </w:tcPr>
          <w:p w:rsidR="00287D21" w:rsidRPr="00BD4B64" w:rsidRDefault="00287D21" w:rsidP="007241D8">
            <w:pPr>
              <w:spacing w:line="240" w:lineRule="auto"/>
              <w:ind w:firstLineChars="400" w:firstLine="720"/>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Sous-emploi invisible (lié aux revenus d'activité et à l'adéquation formation-emploi)</w:t>
            </w:r>
          </w:p>
        </w:tc>
        <w:tc>
          <w:tcPr>
            <w:tcW w:w="422" w:type="pct"/>
            <w:tcBorders>
              <w:top w:val="nil"/>
              <w:left w:val="nil"/>
              <w:bottom w:val="single" w:sz="4" w:space="0" w:color="auto"/>
              <w:right w:val="single" w:sz="4" w:space="0" w:color="auto"/>
            </w:tcBorders>
            <w:shd w:val="clear" w:color="auto" w:fill="auto"/>
            <w:noWrap/>
            <w:vAlign w:val="center"/>
            <w:hideMark/>
          </w:tcPr>
          <w:p w:rsidR="00287D21" w:rsidRPr="00BD4B64" w:rsidRDefault="00287D21" w:rsidP="007241D8">
            <w:pPr>
              <w:spacing w:line="240" w:lineRule="auto"/>
              <w:ind w:firstLineChars="100" w:firstLine="180"/>
              <w:jc w:val="center"/>
              <w:rPr>
                <w:rFonts w:ascii="Garamond" w:eastAsia="Times New Roman" w:hAnsi="Garamond" w:cs="Calibri"/>
                <w:color w:val="010205"/>
                <w:sz w:val="18"/>
                <w:szCs w:val="18"/>
              </w:rPr>
            </w:pPr>
            <w:r w:rsidRPr="00BD4B64">
              <w:rPr>
                <w:rFonts w:ascii="Garamond" w:eastAsia="Times New Roman" w:hAnsi="Garamond" w:cs="Calibri"/>
                <w:color w:val="010205"/>
                <w:sz w:val="18"/>
                <w:szCs w:val="18"/>
              </w:rPr>
              <w:t>5,0</w:t>
            </w:r>
          </w:p>
        </w:tc>
        <w:tc>
          <w:tcPr>
            <w:tcW w:w="421" w:type="pct"/>
            <w:tcBorders>
              <w:top w:val="nil"/>
              <w:left w:val="nil"/>
              <w:bottom w:val="single" w:sz="4" w:space="0" w:color="auto"/>
              <w:right w:val="single" w:sz="4" w:space="0" w:color="auto"/>
            </w:tcBorders>
            <w:shd w:val="clear" w:color="auto" w:fill="auto"/>
            <w:noWrap/>
            <w:vAlign w:val="center"/>
            <w:hideMark/>
          </w:tcPr>
          <w:p w:rsidR="00287D21" w:rsidRPr="00BD4B64" w:rsidRDefault="00287D21" w:rsidP="007241D8">
            <w:pPr>
              <w:spacing w:line="240" w:lineRule="auto"/>
              <w:ind w:firstLineChars="100" w:firstLine="180"/>
              <w:jc w:val="center"/>
              <w:rPr>
                <w:rFonts w:ascii="Garamond" w:eastAsia="Times New Roman" w:hAnsi="Garamond" w:cs="Calibri"/>
                <w:color w:val="010205"/>
                <w:sz w:val="18"/>
                <w:szCs w:val="18"/>
              </w:rPr>
            </w:pPr>
            <w:r w:rsidRPr="00BD4B64">
              <w:rPr>
                <w:rFonts w:ascii="Garamond" w:eastAsia="Times New Roman" w:hAnsi="Garamond" w:cs="Calibri"/>
                <w:color w:val="010205"/>
                <w:sz w:val="18"/>
                <w:szCs w:val="18"/>
              </w:rPr>
              <w:t>5,1</w:t>
            </w:r>
          </w:p>
        </w:tc>
        <w:tc>
          <w:tcPr>
            <w:tcW w:w="548" w:type="pct"/>
            <w:tcBorders>
              <w:top w:val="nil"/>
              <w:left w:val="nil"/>
              <w:bottom w:val="single" w:sz="4" w:space="0" w:color="auto"/>
              <w:right w:val="single" w:sz="4" w:space="0" w:color="auto"/>
            </w:tcBorders>
            <w:shd w:val="clear" w:color="auto" w:fill="auto"/>
            <w:noWrap/>
            <w:vAlign w:val="center"/>
            <w:hideMark/>
          </w:tcPr>
          <w:p w:rsidR="00287D21" w:rsidRPr="00BD4B64" w:rsidRDefault="00287D21" w:rsidP="007241D8">
            <w:pPr>
              <w:spacing w:line="240" w:lineRule="auto"/>
              <w:ind w:firstLineChars="100" w:firstLine="180"/>
              <w:jc w:val="center"/>
              <w:rPr>
                <w:rFonts w:ascii="Garamond" w:eastAsia="Times New Roman" w:hAnsi="Garamond" w:cs="Calibri"/>
                <w:color w:val="010205"/>
                <w:sz w:val="18"/>
                <w:szCs w:val="18"/>
              </w:rPr>
            </w:pPr>
            <w:r w:rsidRPr="00BD4B64">
              <w:rPr>
                <w:rFonts w:ascii="Garamond" w:eastAsia="Times New Roman" w:hAnsi="Garamond" w:cs="Calibri"/>
                <w:color w:val="010205"/>
                <w:sz w:val="18"/>
                <w:szCs w:val="18"/>
              </w:rPr>
              <w:t>5,0</w:t>
            </w:r>
          </w:p>
        </w:tc>
        <w:tc>
          <w:tcPr>
            <w:tcW w:w="415" w:type="pct"/>
            <w:tcBorders>
              <w:top w:val="nil"/>
              <w:left w:val="nil"/>
              <w:bottom w:val="single" w:sz="4" w:space="0" w:color="auto"/>
              <w:right w:val="single" w:sz="4" w:space="0" w:color="auto"/>
            </w:tcBorders>
            <w:shd w:val="clear" w:color="auto" w:fill="auto"/>
            <w:noWrap/>
            <w:vAlign w:val="center"/>
            <w:hideMark/>
          </w:tcPr>
          <w:p w:rsidR="00287D21" w:rsidRPr="00BD4B64" w:rsidRDefault="00287D21" w:rsidP="007241D8">
            <w:pPr>
              <w:spacing w:line="240" w:lineRule="auto"/>
              <w:ind w:firstLineChars="100" w:firstLine="180"/>
              <w:jc w:val="center"/>
              <w:rPr>
                <w:rFonts w:ascii="Garamond" w:eastAsia="Times New Roman" w:hAnsi="Garamond" w:cs="Calibri"/>
                <w:color w:val="010205"/>
                <w:sz w:val="18"/>
                <w:szCs w:val="18"/>
              </w:rPr>
            </w:pPr>
            <w:r w:rsidRPr="00BD4B64">
              <w:rPr>
                <w:rFonts w:ascii="Garamond" w:eastAsia="Times New Roman" w:hAnsi="Garamond" w:cs="Calibri"/>
                <w:color w:val="010205"/>
                <w:sz w:val="18"/>
                <w:szCs w:val="18"/>
              </w:rPr>
              <w:t>4,8</w:t>
            </w:r>
          </w:p>
        </w:tc>
        <w:tc>
          <w:tcPr>
            <w:tcW w:w="413" w:type="pct"/>
            <w:tcBorders>
              <w:top w:val="nil"/>
              <w:left w:val="nil"/>
              <w:bottom w:val="single" w:sz="4" w:space="0" w:color="auto"/>
              <w:right w:val="single" w:sz="4" w:space="0" w:color="auto"/>
            </w:tcBorders>
            <w:shd w:val="clear" w:color="auto" w:fill="auto"/>
            <w:noWrap/>
            <w:vAlign w:val="center"/>
            <w:hideMark/>
          </w:tcPr>
          <w:p w:rsidR="00287D21" w:rsidRPr="00BD4B64" w:rsidRDefault="00287D21" w:rsidP="007241D8">
            <w:pPr>
              <w:spacing w:line="240" w:lineRule="auto"/>
              <w:ind w:firstLineChars="100" w:firstLine="180"/>
              <w:jc w:val="center"/>
              <w:rPr>
                <w:rFonts w:ascii="Garamond" w:eastAsia="Times New Roman" w:hAnsi="Garamond" w:cs="Calibri"/>
                <w:color w:val="010205"/>
                <w:sz w:val="18"/>
                <w:szCs w:val="18"/>
              </w:rPr>
            </w:pPr>
            <w:r w:rsidRPr="00BD4B64">
              <w:rPr>
                <w:rFonts w:ascii="Garamond" w:eastAsia="Times New Roman" w:hAnsi="Garamond" w:cs="Calibri"/>
                <w:color w:val="010205"/>
                <w:sz w:val="18"/>
                <w:szCs w:val="18"/>
              </w:rPr>
              <w:t>5,2</w:t>
            </w:r>
          </w:p>
        </w:tc>
        <w:tc>
          <w:tcPr>
            <w:tcW w:w="550" w:type="pct"/>
            <w:tcBorders>
              <w:top w:val="nil"/>
              <w:left w:val="nil"/>
              <w:bottom w:val="single" w:sz="4" w:space="0" w:color="auto"/>
              <w:right w:val="single" w:sz="4" w:space="0" w:color="auto"/>
            </w:tcBorders>
            <w:shd w:val="clear" w:color="auto" w:fill="auto"/>
            <w:noWrap/>
            <w:vAlign w:val="center"/>
            <w:hideMark/>
          </w:tcPr>
          <w:p w:rsidR="00287D21" w:rsidRPr="00BD4B64" w:rsidRDefault="00287D21" w:rsidP="007241D8">
            <w:pPr>
              <w:spacing w:line="240" w:lineRule="auto"/>
              <w:ind w:firstLineChars="100" w:firstLine="180"/>
              <w:jc w:val="center"/>
              <w:rPr>
                <w:rFonts w:ascii="Garamond" w:eastAsia="Times New Roman" w:hAnsi="Garamond" w:cs="Calibri"/>
                <w:color w:val="010205"/>
                <w:sz w:val="18"/>
                <w:szCs w:val="18"/>
              </w:rPr>
            </w:pPr>
            <w:r w:rsidRPr="00BD4B64">
              <w:rPr>
                <w:rFonts w:ascii="Garamond" w:eastAsia="Times New Roman" w:hAnsi="Garamond" w:cs="Calibri"/>
                <w:color w:val="010205"/>
                <w:sz w:val="18"/>
                <w:szCs w:val="18"/>
              </w:rPr>
              <w:t>5,0</w:t>
            </w:r>
          </w:p>
        </w:tc>
      </w:tr>
    </w:tbl>
    <w:p w:rsidR="004E2812" w:rsidRPr="00BD4B64" w:rsidRDefault="004E2812" w:rsidP="004E2812">
      <w:pPr>
        <w:rPr>
          <w:rFonts w:ascii="Book Antiqua" w:eastAsia="Times New Roman" w:hAnsi="Book Antiqua" w:cs="Browallia New"/>
          <w:b/>
          <w:bCs/>
        </w:rPr>
      </w:pPr>
    </w:p>
    <w:p w:rsidR="004E2812" w:rsidRPr="00BD4B64" w:rsidRDefault="004E2812" w:rsidP="004E2812">
      <w:pPr>
        <w:rPr>
          <w:rFonts w:ascii="Book Antiqua" w:eastAsia="Times New Roman" w:hAnsi="Book Antiqua" w:cs="Browallia New"/>
          <w:b/>
          <w:bCs/>
        </w:rPr>
      </w:pPr>
      <w:r w:rsidRPr="00BD4B64">
        <w:rPr>
          <w:rFonts w:ascii="Book Antiqua" w:eastAsia="Times New Roman" w:hAnsi="Book Antiqua" w:cs="Browallia New"/>
          <w:b/>
          <w:bCs/>
        </w:rPr>
        <w:br w:type="page"/>
      </w:r>
    </w:p>
    <w:p w:rsidR="004E2812" w:rsidRPr="00BD4B64" w:rsidRDefault="004E2812" w:rsidP="004E2812">
      <w:pPr>
        <w:rPr>
          <w:rFonts w:ascii="Book Antiqua" w:eastAsia="Times New Roman" w:hAnsi="Book Antiqua" w:cs="Browallia New"/>
          <w:b/>
          <w:bCs/>
        </w:rPr>
      </w:pPr>
      <w:r w:rsidRPr="00BD4B64">
        <w:rPr>
          <w:rFonts w:ascii="Book Antiqua" w:eastAsia="Times New Roman" w:hAnsi="Book Antiqua" w:cs="Browallia New"/>
          <w:b/>
          <w:bCs/>
        </w:rPr>
        <w:lastRenderedPageBreak/>
        <w:t>Tableau1 (Suite) : Indicateurs annuels d’activité, d’emploi et de chômage par milieu de résidence</w:t>
      </w:r>
    </w:p>
    <w:tbl>
      <w:tblPr>
        <w:tblW w:w="5000" w:type="pct"/>
        <w:tblCellMar>
          <w:left w:w="70" w:type="dxa"/>
          <w:right w:w="70" w:type="dxa"/>
        </w:tblCellMar>
        <w:tblLook w:val="04A0"/>
      </w:tblPr>
      <w:tblGrid>
        <w:gridCol w:w="4111"/>
        <w:gridCol w:w="775"/>
        <w:gridCol w:w="775"/>
        <w:gridCol w:w="1010"/>
        <w:gridCol w:w="765"/>
        <w:gridCol w:w="761"/>
        <w:gridCol w:w="1015"/>
      </w:tblGrid>
      <w:tr w:rsidR="00FF0E14" w:rsidRPr="00BD4B64" w:rsidTr="00CA5CF1">
        <w:trPr>
          <w:trHeight w:val="315"/>
        </w:trPr>
        <w:tc>
          <w:tcPr>
            <w:tcW w:w="2231" w:type="pct"/>
            <w:vMerge w:val="restart"/>
            <w:tcBorders>
              <w:top w:val="single" w:sz="4" w:space="0" w:color="auto"/>
              <w:left w:val="single" w:sz="4" w:space="0" w:color="auto"/>
              <w:right w:val="single" w:sz="4" w:space="0" w:color="auto"/>
            </w:tcBorders>
            <w:shd w:val="clear" w:color="auto" w:fill="auto"/>
            <w:vAlign w:val="center"/>
            <w:hideMark/>
          </w:tcPr>
          <w:p w:rsidR="00FF0E14" w:rsidRPr="00BD4B64" w:rsidRDefault="00FF0E14" w:rsidP="00CA5CF1">
            <w:pPr>
              <w:spacing w:line="240" w:lineRule="auto"/>
              <w:ind w:firstLineChars="100" w:firstLine="180"/>
              <w:rPr>
                <w:rFonts w:ascii="Garamond" w:eastAsia="Times New Roman" w:hAnsi="Garamond" w:cs="Calibri"/>
                <w:color w:val="000000"/>
                <w:sz w:val="18"/>
                <w:szCs w:val="18"/>
              </w:rPr>
            </w:pPr>
          </w:p>
        </w:tc>
        <w:tc>
          <w:tcPr>
            <w:tcW w:w="1389" w:type="pct"/>
            <w:gridSpan w:val="3"/>
            <w:tcBorders>
              <w:top w:val="single" w:sz="4" w:space="0" w:color="auto"/>
              <w:left w:val="nil"/>
              <w:bottom w:val="single" w:sz="4" w:space="0" w:color="auto"/>
              <w:right w:val="single" w:sz="4" w:space="0" w:color="auto"/>
            </w:tcBorders>
            <w:shd w:val="clear" w:color="auto" w:fill="auto"/>
            <w:noWrap/>
            <w:hideMark/>
          </w:tcPr>
          <w:p w:rsidR="00FF0E14" w:rsidRPr="00BD4B64" w:rsidRDefault="00FF0E14" w:rsidP="00FF0E14">
            <w:pPr>
              <w:spacing w:line="240" w:lineRule="auto"/>
              <w:jc w:val="center"/>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Pr>
              <w:t>2021</w:t>
            </w:r>
          </w:p>
        </w:tc>
        <w:tc>
          <w:tcPr>
            <w:tcW w:w="1379" w:type="pct"/>
            <w:gridSpan w:val="3"/>
            <w:tcBorders>
              <w:top w:val="single" w:sz="4" w:space="0" w:color="auto"/>
              <w:left w:val="nil"/>
              <w:bottom w:val="single" w:sz="4" w:space="0" w:color="auto"/>
              <w:right w:val="single" w:sz="4" w:space="0" w:color="auto"/>
            </w:tcBorders>
            <w:shd w:val="clear" w:color="auto" w:fill="auto"/>
            <w:noWrap/>
            <w:hideMark/>
          </w:tcPr>
          <w:p w:rsidR="00FF0E14" w:rsidRPr="00BD4B64" w:rsidRDefault="00FF0E14" w:rsidP="00FF0E14">
            <w:pPr>
              <w:spacing w:line="240" w:lineRule="auto"/>
              <w:jc w:val="center"/>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Pr>
              <w:t>2022</w:t>
            </w:r>
          </w:p>
        </w:tc>
      </w:tr>
      <w:tr w:rsidR="00FF0E14" w:rsidRPr="00BD4B64" w:rsidTr="00CA5CF1">
        <w:trPr>
          <w:trHeight w:val="315"/>
        </w:trPr>
        <w:tc>
          <w:tcPr>
            <w:tcW w:w="2231" w:type="pct"/>
            <w:vMerge/>
            <w:tcBorders>
              <w:left w:val="single" w:sz="4" w:space="0" w:color="auto"/>
              <w:bottom w:val="single" w:sz="4" w:space="0" w:color="auto"/>
              <w:right w:val="single" w:sz="4" w:space="0" w:color="auto"/>
            </w:tcBorders>
            <w:shd w:val="clear" w:color="auto" w:fill="auto"/>
            <w:vAlign w:val="center"/>
            <w:hideMark/>
          </w:tcPr>
          <w:p w:rsidR="00FF0E14" w:rsidRPr="00BD4B64" w:rsidRDefault="00FF0E14" w:rsidP="00CA5CF1">
            <w:pPr>
              <w:spacing w:line="240" w:lineRule="auto"/>
              <w:ind w:firstLineChars="100" w:firstLine="180"/>
              <w:rPr>
                <w:rFonts w:ascii="Garamond" w:eastAsia="Times New Roman" w:hAnsi="Garamond" w:cs="Calibri"/>
                <w:color w:val="000000"/>
                <w:sz w:val="18"/>
                <w:szCs w:val="18"/>
              </w:rPr>
            </w:pPr>
          </w:p>
        </w:tc>
        <w:tc>
          <w:tcPr>
            <w:tcW w:w="421" w:type="pct"/>
            <w:tcBorders>
              <w:top w:val="nil"/>
              <w:left w:val="nil"/>
              <w:bottom w:val="single" w:sz="4" w:space="0" w:color="auto"/>
              <w:right w:val="single" w:sz="4" w:space="0" w:color="auto"/>
            </w:tcBorders>
            <w:shd w:val="clear" w:color="auto" w:fill="auto"/>
            <w:noWrap/>
            <w:hideMark/>
          </w:tcPr>
          <w:p w:rsidR="00FF0E14" w:rsidRPr="00BD4B64" w:rsidRDefault="00FF0E14" w:rsidP="00FF0E14">
            <w:pPr>
              <w:bidi/>
              <w:spacing w:line="240" w:lineRule="auto"/>
              <w:jc w:val="center"/>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Pr>
              <w:t>Urbain</w:t>
            </w:r>
          </w:p>
        </w:tc>
        <w:tc>
          <w:tcPr>
            <w:tcW w:w="421" w:type="pct"/>
            <w:tcBorders>
              <w:top w:val="nil"/>
              <w:left w:val="nil"/>
              <w:bottom w:val="single" w:sz="4" w:space="0" w:color="auto"/>
              <w:right w:val="single" w:sz="4" w:space="0" w:color="auto"/>
            </w:tcBorders>
            <w:shd w:val="clear" w:color="auto" w:fill="auto"/>
            <w:noWrap/>
            <w:hideMark/>
          </w:tcPr>
          <w:p w:rsidR="00FF0E14" w:rsidRPr="00BD4B64" w:rsidRDefault="00FF0E14" w:rsidP="00FF0E14">
            <w:pPr>
              <w:bidi/>
              <w:spacing w:line="240" w:lineRule="auto"/>
              <w:jc w:val="center"/>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Pr>
              <w:t>Rural</w:t>
            </w:r>
          </w:p>
        </w:tc>
        <w:tc>
          <w:tcPr>
            <w:tcW w:w="548" w:type="pct"/>
            <w:tcBorders>
              <w:top w:val="nil"/>
              <w:left w:val="nil"/>
              <w:bottom w:val="single" w:sz="4" w:space="0" w:color="auto"/>
              <w:right w:val="single" w:sz="4" w:space="0" w:color="auto"/>
            </w:tcBorders>
            <w:shd w:val="clear" w:color="auto" w:fill="auto"/>
            <w:noWrap/>
            <w:hideMark/>
          </w:tcPr>
          <w:p w:rsidR="00FF0E14" w:rsidRPr="00BD4B64" w:rsidRDefault="00FF0E14" w:rsidP="00FF0E14">
            <w:pPr>
              <w:bidi/>
              <w:spacing w:line="240" w:lineRule="auto"/>
              <w:jc w:val="center"/>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Pr>
              <w:t>Ensemble</w:t>
            </w:r>
          </w:p>
        </w:tc>
        <w:tc>
          <w:tcPr>
            <w:tcW w:w="415" w:type="pct"/>
            <w:tcBorders>
              <w:top w:val="nil"/>
              <w:left w:val="nil"/>
              <w:bottom w:val="single" w:sz="4" w:space="0" w:color="auto"/>
              <w:right w:val="single" w:sz="4" w:space="0" w:color="auto"/>
            </w:tcBorders>
            <w:shd w:val="clear" w:color="auto" w:fill="auto"/>
            <w:noWrap/>
            <w:hideMark/>
          </w:tcPr>
          <w:p w:rsidR="00FF0E14" w:rsidRPr="00BD4B64" w:rsidRDefault="00FF0E14" w:rsidP="00FF0E14">
            <w:pPr>
              <w:bidi/>
              <w:spacing w:line="240" w:lineRule="auto"/>
              <w:jc w:val="center"/>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Pr>
              <w:t>Urbain</w:t>
            </w:r>
          </w:p>
        </w:tc>
        <w:tc>
          <w:tcPr>
            <w:tcW w:w="413" w:type="pct"/>
            <w:tcBorders>
              <w:top w:val="nil"/>
              <w:left w:val="nil"/>
              <w:bottom w:val="single" w:sz="4" w:space="0" w:color="auto"/>
              <w:right w:val="single" w:sz="4" w:space="0" w:color="auto"/>
            </w:tcBorders>
            <w:shd w:val="clear" w:color="auto" w:fill="auto"/>
            <w:noWrap/>
            <w:hideMark/>
          </w:tcPr>
          <w:p w:rsidR="00FF0E14" w:rsidRPr="00BD4B64" w:rsidRDefault="00FF0E14" w:rsidP="00FF0E14">
            <w:pPr>
              <w:bidi/>
              <w:spacing w:line="240" w:lineRule="auto"/>
              <w:jc w:val="center"/>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Pr>
              <w:t>Rural</w:t>
            </w:r>
          </w:p>
        </w:tc>
        <w:tc>
          <w:tcPr>
            <w:tcW w:w="551" w:type="pct"/>
            <w:tcBorders>
              <w:top w:val="nil"/>
              <w:left w:val="nil"/>
              <w:bottom w:val="single" w:sz="4" w:space="0" w:color="auto"/>
              <w:right w:val="single" w:sz="4" w:space="0" w:color="auto"/>
            </w:tcBorders>
            <w:shd w:val="clear" w:color="auto" w:fill="auto"/>
            <w:noWrap/>
            <w:hideMark/>
          </w:tcPr>
          <w:p w:rsidR="00FF0E14" w:rsidRPr="00BD4B64" w:rsidRDefault="00FF0E14" w:rsidP="00FF0E14">
            <w:pPr>
              <w:bidi/>
              <w:spacing w:line="240" w:lineRule="auto"/>
              <w:jc w:val="center"/>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Pr>
              <w:t>Ensemble</w:t>
            </w:r>
          </w:p>
        </w:tc>
      </w:tr>
      <w:tr w:rsidR="00FF0E14" w:rsidRPr="00BD4B64" w:rsidTr="00CA5CF1">
        <w:trPr>
          <w:trHeight w:val="284"/>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F0E14" w:rsidRPr="00BD4B64" w:rsidRDefault="00FF0E14" w:rsidP="00CA5CF1">
            <w:pPr>
              <w:spacing w:line="240" w:lineRule="auto"/>
              <w:rPr>
                <w:rFonts w:ascii="Garamond" w:eastAsia="Times New Roman" w:hAnsi="Garamond" w:cs="Calibri"/>
                <w:b/>
                <w:bCs/>
                <w:color w:val="1F497D"/>
                <w:sz w:val="18"/>
                <w:szCs w:val="18"/>
              </w:rPr>
            </w:pPr>
            <w:r w:rsidRPr="00BD4B64">
              <w:rPr>
                <w:rFonts w:ascii="Garamond" w:eastAsia="Times New Roman" w:hAnsi="Garamond" w:cs="Calibri"/>
                <w:b/>
                <w:bCs/>
                <w:color w:val="1F497D"/>
                <w:sz w:val="18"/>
                <w:szCs w:val="18"/>
              </w:rPr>
              <w:t>Chômage</w:t>
            </w:r>
          </w:p>
        </w:tc>
      </w:tr>
      <w:tr w:rsidR="00FF0E14" w:rsidRPr="00BD4B64" w:rsidTr="00CA5CF1">
        <w:trPr>
          <w:trHeight w:val="284"/>
        </w:trPr>
        <w:tc>
          <w:tcPr>
            <w:tcW w:w="2231" w:type="pct"/>
            <w:tcBorders>
              <w:top w:val="nil"/>
              <w:left w:val="single" w:sz="4" w:space="0" w:color="auto"/>
              <w:bottom w:val="single" w:sz="4" w:space="0" w:color="auto"/>
              <w:right w:val="single" w:sz="4" w:space="0" w:color="auto"/>
            </w:tcBorders>
            <w:shd w:val="clear" w:color="auto" w:fill="auto"/>
            <w:noWrap/>
            <w:vAlign w:val="center"/>
            <w:hideMark/>
          </w:tcPr>
          <w:p w:rsidR="00FF0E14" w:rsidRPr="00BD4B64" w:rsidRDefault="00FF0E14" w:rsidP="00CA5CF1">
            <w:pPr>
              <w:spacing w:line="240" w:lineRule="auto"/>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Pr>
              <w:t>Population active en chômage</w:t>
            </w:r>
          </w:p>
        </w:tc>
        <w:tc>
          <w:tcPr>
            <w:tcW w:w="421"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1"/>
              <w:jc w:val="center"/>
              <w:rPr>
                <w:rFonts w:ascii="Garamond" w:eastAsia="Times New Roman" w:hAnsi="Garamond" w:cs="Calibri"/>
                <w:b/>
                <w:bCs/>
                <w:color w:val="010205"/>
                <w:sz w:val="18"/>
                <w:szCs w:val="18"/>
              </w:rPr>
            </w:pPr>
            <w:r w:rsidRPr="00BD4B64">
              <w:rPr>
                <w:rFonts w:ascii="Garamond" w:eastAsia="Times New Roman" w:hAnsi="Garamond" w:cs="Calibri"/>
                <w:b/>
                <w:bCs/>
                <w:color w:val="010205"/>
                <w:sz w:val="18"/>
                <w:szCs w:val="18"/>
              </w:rPr>
              <w:t>1 271</w:t>
            </w:r>
          </w:p>
        </w:tc>
        <w:tc>
          <w:tcPr>
            <w:tcW w:w="421"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1"/>
              <w:jc w:val="center"/>
              <w:rPr>
                <w:rFonts w:ascii="Garamond" w:eastAsia="Times New Roman" w:hAnsi="Garamond" w:cs="Calibri"/>
                <w:b/>
                <w:bCs/>
                <w:color w:val="010205"/>
                <w:sz w:val="18"/>
                <w:szCs w:val="18"/>
              </w:rPr>
            </w:pPr>
            <w:r w:rsidRPr="00BD4B64">
              <w:rPr>
                <w:rFonts w:ascii="Garamond" w:eastAsia="Times New Roman" w:hAnsi="Garamond" w:cs="Calibri"/>
                <w:b/>
                <w:bCs/>
                <w:color w:val="010205"/>
                <w:sz w:val="18"/>
                <w:szCs w:val="18"/>
              </w:rPr>
              <w:t>237</w:t>
            </w:r>
          </w:p>
        </w:tc>
        <w:tc>
          <w:tcPr>
            <w:tcW w:w="548"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1"/>
              <w:jc w:val="center"/>
              <w:rPr>
                <w:rFonts w:ascii="Garamond" w:eastAsia="Times New Roman" w:hAnsi="Garamond" w:cs="Calibri"/>
                <w:b/>
                <w:bCs/>
                <w:color w:val="010205"/>
                <w:sz w:val="18"/>
                <w:szCs w:val="18"/>
              </w:rPr>
            </w:pPr>
            <w:r w:rsidRPr="00BD4B64">
              <w:rPr>
                <w:rFonts w:ascii="Garamond" w:eastAsia="Times New Roman" w:hAnsi="Garamond" w:cs="Calibri"/>
                <w:b/>
                <w:bCs/>
                <w:color w:val="010205"/>
                <w:sz w:val="18"/>
                <w:szCs w:val="18"/>
              </w:rPr>
              <w:t>1 508</w:t>
            </w:r>
          </w:p>
        </w:tc>
        <w:tc>
          <w:tcPr>
            <w:tcW w:w="415"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50796F">
            <w:pPr>
              <w:spacing w:line="240" w:lineRule="auto"/>
              <w:rPr>
                <w:rFonts w:ascii="Garamond" w:eastAsia="Times New Roman" w:hAnsi="Garamond" w:cs="Calibri"/>
                <w:b/>
                <w:bCs/>
                <w:color w:val="010205"/>
                <w:sz w:val="18"/>
                <w:szCs w:val="18"/>
              </w:rPr>
            </w:pPr>
            <w:r w:rsidRPr="00BD4B64">
              <w:rPr>
                <w:rFonts w:ascii="Garamond" w:eastAsia="Times New Roman" w:hAnsi="Garamond" w:cs="Calibri"/>
                <w:b/>
                <w:bCs/>
                <w:color w:val="010205"/>
                <w:sz w:val="18"/>
                <w:szCs w:val="18"/>
              </w:rPr>
              <w:t>1 201</w:t>
            </w:r>
          </w:p>
        </w:tc>
        <w:tc>
          <w:tcPr>
            <w:tcW w:w="413"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1"/>
              <w:jc w:val="center"/>
              <w:rPr>
                <w:rFonts w:ascii="Garamond" w:eastAsia="Times New Roman" w:hAnsi="Garamond" w:cs="Calibri"/>
                <w:b/>
                <w:bCs/>
                <w:color w:val="010205"/>
                <w:sz w:val="18"/>
                <w:szCs w:val="18"/>
              </w:rPr>
            </w:pPr>
            <w:r w:rsidRPr="00BD4B64">
              <w:rPr>
                <w:rFonts w:ascii="Garamond" w:eastAsia="Times New Roman" w:hAnsi="Garamond" w:cs="Calibri"/>
                <w:b/>
                <w:bCs/>
                <w:color w:val="010205"/>
                <w:sz w:val="18"/>
                <w:szCs w:val="18"/>
              </w:rPr>
              <w:t>241</w:t>
            </w:r>
          </w:p>
        </w:tc>
        <w:tc>
          <w:tcPr>
            <w:tcW w:w="551"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1"/>
              <w:jc w:val="center"/>
              <w:rPr>
                <w:rFonts w:ascii="Garamond" w:eastAsia="Times New Roman" w:hAnsi="Garamond" w:cs="Calibri"/>
                <w:b/>
                <w:bCs/>
                <w:color w:val="010205"/>
                <w:sz w:val="18"/>
                <w:szCs w:val="18"/>
              </w:rPr>
            </w:pPr>
            <w:r w:rsidRPr="00BD4B64">
              <w:rPr>
                <w:rFonts w:ascii="Garamond" w:eastAsia="Times New Roman" w:hAnsi="Garamond" w:cs="Calibri"/>
                <w:b/>
                <w:bCs/>
                <w:color w:val="010205"/>
                <w:sz w:val="18"/>
                <w:szCs w:val="18"/>
              </w:rPr>
              <w:t>1 442</w:t>
            </w:r>
          </w:p>
        </w:tc>
      </w:tr>
      <w:tr w:rsidR="00FF0E14" w:rsidRPr="00BD4B64" w:rsidTr="00CA5CF1">
        <w:trPr>
          <w:trHeight w:val="284"/>
        </w:trPr>
        <w:tc>
          <w:tcPr>
            <w:tcW w:w="2231" w:type="pct"/>
            <w:tcBorders>
              <w:top w:val="nil"/>
              <w:left w:val="single" w:sz="4" w:space="0" w:color="auto"/>
              <w:bottom w:val="single" w:sz="4" w:space="0" w:color="auto"/>
              <w:right w:val="single" w:sz="4" w:space="0" w:color="auto"/>
            </w:tcBorders>
            <w:shd w:val="clear" w:color="auto" w:fill="auto"/>
            <w:noWrap/>
            <w:vAlign w:val="center"/>
            <w:hideMark/>
          </w:tcPr>
          <w:p w:rsidR="00FF0E14" w:rsidRPr="00BD4B64" w:rsidRDefault="00FF0E14" w:rsidP="00CA5CF1">
            <w:pPr>
              <w:spacing w:line="240" w:lineRule="auto"/>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Taux de féminisation de la population active en chômage</w:t>
            </w:r>
          </w:p>
        </w:tc>
        <w:tc>
          <w:tcPr>
            <w:tcW w:w="421"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34,6</w:t>
            </w:r>
          </w:p>
        </w:tc>
        <w:tc>
          <w:tcPr>
            <w:tcW w:w="421"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18,7</w:t>
            </w:r>
          </w:p>
        </w:tc>
        <w:tc>
          <w:tcPr>
            <w:tcW w:w="548"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32,1</w:t>
            </w:r>
          </w:p>
        </w:tc>
        <w:tc>
          <w:tcPr>
            <w:tcW w:w="415"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35,9</w:t>
            </w:r>
          </w:p>
        </w:tc>
        <w:tc>
          <w:tcPr>
            <w:tcW w:w="413"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17,9</w:t>
            </w:r>
          </w:p>
        </w:tc>
        <w:tc>
          <w:tcPr>
            <w:tcW w:w="551"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32,9</w:t>
            </w:r>
          </w:p>
        </w:tc>
      </w:tr>
      <w:tr w:rsidR="00FF0E14" w:rsidRPr="00BD4B64" w:rsidTr="00CA5CF1">
        <w:trPr>
          <w:trHeight w:val="284"/>
        </w:trPr>
        <w:tc>
          <w:tcPr>
            <w:tcW w:w="2231" w:type="pct"/>
            <w:tcBorders>
              <w:top w:val="nil"/>
              <w:left w:val="single" w:sz="4" w:space="0" w:color="auto"/>
              <w:bottom w:val="single" w:sz="4" w:space="0" w:color="auto"/>
              <w:right w:val="single" w:sz="4" w:space="0" w:color="auto"/>
            </w:tcBorders>
            <w:shd w:val="clear" w:color="auto" w:fill="auto"/>
            <w:noWrap/>
            <w:vAlign w:val="center"/>
            <w:hideMark/>
          </w:tcPr>
          <w:p w:rsidR="00FF0E14" w:rsidRPr="00BD4B64" w:rsidRDefault="00FF0E14" w:rsidP="00CA5CF1">
            <w:pPr>
              <w:spacing w:line="240" w:lineRule="auto"/>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Pr>
              <w:t>Taux de chômage</w:t>
            </w:r>
          </w:p>
        </w:tc>
        <w:tc>
          <w:tcPr>
            <w:tcW w:w="421"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1"/>
              <w:jc w:val="center"/>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Pr>
              <w:t>16,9</w:t>
            </w:r>
          </w:p>
        </w:tc>
        <w:tc>
          <w:tcPr>
            <w:tcW w:w="421"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1"/>
              <w:jc w:val="center"/>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Pr>
              <w:t>5,0</w:t>
            </w:r>
          </w:p>
        </w:tc>
        <w:tc>
          <w:tcPr>
            <w:tcW w:w="548"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1"/>
              <w:jc w:val="center"/>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Pr>
              <w:t>12,3</w:t>
            </w:r>
          </w:p>
        </w:tc>
        <w:tc>
          <w:tcPr>
            <w:tcW w:w="415"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1"/>
              <w:jc w:val="center"/>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Pr>
              <w:t>15,8</w:t>
            </w:r>
          </w:p>
        </w:tc>
        <w:tc>
          <w:tcPr>
            <w:tcW w:w="413"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1"/>
              <w:jc w:val="center"/>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Pr>
              <w:t>5,2</w:t>
            </w:r>
          </w:p>
        </w:tc>
        <w:tc>
          <w:tcPr>
            <w:tcW w:w="551"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1"/>
              <w:jc w:val="center"/>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Pr>
              <w:t>11,8</w:t>
            </w:r>
          </w:p>
        </w:tc>
      </w:tr>
      <w:tr w:rsidR="00FF0E14" w:rsidRPr="00BD4B64" w:rsidTr="00CA5CF1">
        <w:trPr>
          <w:trHeight w:val="284"/>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F0E14" w:rsidRPr="00BD4B64" w:rsidRDefault="00FF0E14" w:rsidP="00CA5CF1">
            <w:pPr>
              <w:spacing w:line="240" w:lineRule="auto"/>
              <w:ind w:firstLineChars="200" w:firstLine="360"/>
              <w:rPr>
                <w:rFonts w:ascii="Garamond" w:eastAsia="Times New Roman" w:hAnsi="Garamond" w:cs="Calibri"/>
                <w:i/>
                <w:iCs/>
                <w:color w:val="000000"/>
                <w:sz w:val="18"/>
                <w:szCs w:val="18"/>
              </w:rPr>
            </w:pPr>
            <w:r w:rsidRPr="00BD4B64">
              <w:rPr>
                <w:rFonts w:ascii="Garamond" w:eastAsia="Times New Roman" w:hAnsi="Garamond" w:cs="Calibri"/>
                <w:i/>
                <w:iCs/>
                <w:color w:val="000000"/>
                <w:sz w:val="18"/>
                <w:szCs w:val="18"/>
              </w:rPr>
              <w:t>• Selon le sexe</w:t>
            </w:r>
          </w:p>
        </w:tc>
      </w:tr>
      <w:tr w:rsidR="00FF0E14" w:rsidRPr="00BD4B64" w:rsidTr="00CA5CF1">
        <w:trPr>
          <w:trHeight w:val="284"/>
        </w:trPr>
        <w:tc>
          <w:tcPr>
            <w:tcW w:w="2231" w:type="pct"/>
            <w:tcBorders>
              <w:top w:val="nil"/>
              <w:left w:val="single" w:sz="4" w:space="0" w:color="auto"/>
              <w:bottom w:val="single" w:sz="4" w:space="0" w:color="auto"/>
              <w:right w:val="single" w:sz="4" w:space="0" w:color="auto"/>
            </w:tcBorders>
            <w:shd w:val="clear" w:color="auto" w:fill="auto"/>
            <w:noWrap/>
            <w:vAlign w:val="center"/>
            <w:hideMark/>
          </w:tcPr>
          <w:p w:rsidR="00FF0E14" w:rsidRPr="00BD4B64" w:rsidRDefault="00FF0E14" w:rsidP="00CA5CF1">
            <w:pPr>
              <w:spacing w:line="240" w:lineRule="auto"/>
              <w:ind w:firstLineChars="400" w:firstLine="720"/>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Hommes</w:t>
            </w:r>
          </w:p>
        </w:tc>
        <w:tc>
          <w:tcPr>
            <w:tcW w:w="421"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14,4</w:t>
            </w:r>
          </w:p>
        </w:tc>
        <w:tc>
          <w:tcPr>
            <w:tcW w:w="421"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5,3</w:t>
            </w:r>
          </w:p>
        </w:tc>
        <w:tc>
          <w:tcPr>
            <w:tcW w:w="548"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10,9</w:t>
            </w:r>
          </w:p>
        </w:tc>
        <w:tc>
          <w:tcPr>
            <w:tcW w:w="415"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13,1</w:t>
            </w:r>
          </w:p>
        </w:tc>
        <w:tc>
          <w:tcPr>
            <w:tcW w:w="413"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5,6</w:t>
            </w:r>
          </w:p>
        </w:tc>
        <w:tc>
          <w:tcPr>
            <w:tcW w:w="551"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10,3</w:t>
            </w:r>
          </w:p>
        </w:tc>
      </w:tr>
      <w:tr w:rsidR="00FF0E14" w:rsidRPr="00BD4B64" w:rsidTr="00CA5CF1">
        <w:trPr>
          <w:trHeight w:val="284"/>
        </w:trPr>
        <w:tc>
          <w:tcPr>
            <w:tcW w:w="2231" w:type="pct"/>
            <w:tcBorders>
              <w:top w:val="nil"/>
              <w:left w:val="single" w:sz="4" w:space="0" w:color="auto"/>
              <w:bottom w:val="single" w:sz="4" w:space="0" w:color="auto"/>
              <w:right w:val="single" w:sz="4" w:space="0" w:color="auto"/>
            </w:tcBorders>
            <w:shd w:val="clear" w:color="auto" w:fill="auto"/>
            <w:noWrap/>
            <w:vAlign w:val="center"/>
            <w:hideMark/>
          </w:tcPr>
          <w:p w:rsidR="00FF0E14" w:rsidRPr="00BD4B64" w:rsidRDefault="00FF0E14" w:rsidP="00CA5CF1">
            <w:pPr>
              <w:spacing w:line="240" w:lineRule="auto"/>
              <w:ind w:firstLineChars="400" w:firstLine="720"/>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Femmes</w:t>
            </w:r>
          </w:p>
        </w:tc>
        <w:tc>
          <w:tcPr>
            <w:tcW w:w="421"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25,6</w:t>
            </w:r>
          </w:p>
        </w:tc>
        <w:tc>
          <w:tcPr>
            <w:tcW w:w="421"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3,8</w:t>
            </w:r>
          </w:p>
        </w:tc>
        <w:tc>
          <w:tcPr>
            <w:tcW w:w="548"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16,8</w:t>
            </w:r>
          </w:p>
        </w:tc>
        <w:tc>
          <w:tcPr>
            <w:tcW w:w="415"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25,2</w:t>
            </w:r>
          </w:p>
        </w:tc>
        <w:tc>
          <w:tcPr>
            <w:tcW w:w="413"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4,1</w:t>
            </w:r>
          </w:p>
        </w:tc>
        <w:tc>
          <w:tcPr>
            <w:tcW w:w="551"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17,2</w:t>
            </w:r>
          </w:p>
        </w:tc>
      </w:tr>
      <w:tr w:rsidR="00FF0E14" w:rsidRPr="00BD4B64" w:rsidTr="00CA5CF1">
        <w:trPr>
          <w:trHeight w:val="284"/>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F0E14" w:rsidRPr="00BD4B64" w:rsidRDefault="00FF0E14" w:rsidP="00CA5CF1">
            <w:pPr>
              <w:spacing w:line="240" w:lineRule="auto"/>
              <w:ind w:firstLineChars="200" w:firstLine="360"/>
              <w:rPr>
                <w:rFonts w:ascii="Garamond" w:eastAsia="Times New Roman" w:hAnsi="Garamond" w:cs="Calibri"/>
                <w:i/>
                <w:iCs/>
                <w:color w:val="000000"/>
                <w:sz w:val="18"/>
                <w:szCs w:val="18"/>
              </w:rPr>
            </w:pPr>
            <w:r w:rsidRPr="00BD4B64">
              <w:rPr>
                <w:rFonts w:ascii="Garamond" w:eastAsia="Times New Roman" w:hAnsi="Garamond" w:cs="Calibri"/>
                <w:i/>
                <w:iCs/>
                <w:color w:val="000000"/>
                <w:sz w:val="18"/>
                <w:szCs w:val="18"/>
              </w:rPr>
              <w:t>• Selon l'âge</w:t>
            </w:r>
          </w:p>
        </w:tc>
      </w:tr>
      <w:tr w:rsidR="00FF0E14" w:rsidRPr="00BD4B64" w:rsidTr="00CA5CF1">
        <w:trPr>
          <w:trHeight w:val="284"/>
        </w:trPr>
        <w:tc>
          <w:tcPr>
            <w:tcW w:w="2231" w:type="pct"/>
            <w:tcBorders>
              <w:top w:val="nil"/>
              <w:left w:val="single" w:sz="4" w:space="0" w:color="auto"/>
              <w:bottom w:val="single" w:sz="4" w:space="0" w:color="auto"/>
              <w:right w:val="single" w:sz="4" w:space="0" w:color="auto"/>
            </w:tcBorders>
            <w:shd w:val="clear" w:color="auto" w:fill="auto"/>
            <w:noWrap/>
            <w:vAlign w:val="center"/>
            <w:hideMark/>
          </w:tcPr>
          <w:p w:rsidR="00FF0E14" w:rsidRPr="00BD4B64" w:rsidRDefault="00FF0E14" w:rsidP="00CA5CF1">
            <w:pPr>
              <w:spacing w:line="240" w:lineRule="auto"/>
              <w:ind w:firstLineChars="400" w:firstLine="720"/>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15-24 ans</w:t>
            </w:r>
          </w:p>
        </w:tc>
        <w:tc>
          <w:tcPr>
            <w:tcW w:w="421"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46,7</w:t>
            </w:r>
          </w:p>
        </w:tc>
        <w:tc>
          <w:tcPr>
            <w:tcW w:w="421"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15,9</w:t>
            </w:r>
          </w:p>
        </w:tc>
        <w:tc>
          <w:tcPr>
            <w:tcW w:w="548"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31,8</w:t>
            </w:r>
          </w:p>
        </w:tc>
        <w:tc>
          <w:tcPr>
            <w:tcW w:w="415"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46,7</w:t>
            </w:r>
          </w:p>
        </w:tc>
        <w:tc>
          <w:tcPr>
            <w:tcW w:w="413"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16,5</w:t>
            </w:r>
          </w:p>
        </w:tc>
        <w:tc>
          <w:tcPr>
            <w:tcW w:w="551"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32,7</w:t>
            </w:r>
          </w:p>
        </w:tc>
      </w:tr>
      <w:tr w:rsidR="00FF0E14" w:rsidRPr="00BD4B64" w:rsidTr="00CA5CF1">
        <w:trPr>
          <w:trHeight w:val="284"/>
        </w:trPr>
        <w:tc>
          <w:tcPr>
            <w:tcW w:w="2231" w:type="pct"/>
            <w:tcBorders>
              <w:top w:val="nil"/>
              <w:left w:val="single" w:sz="4" w:space="0" w:color="auto"/>
              <w:bottom w:val="single" w:sz="4" w:space="0" w:color="auto"/>
              <w:right w:val="single" w:sz="4" w:space="0" w:color="auto"/>
            </w:tcBorders>
            <w:shd w:val="clear" w:color="auto" w:fill="auto"/>
            <w:noWrap/>
            <w:vAlign w:val="center"/>
            <w:hideMark/>
          </w:tcPr>
          <w:p w:rsidR="00FF0E14" w:rsidRPr="00BD4B64" w:rsidRDefault="00FF0E14" w:rsidP="00CA5CF1">
            <w:pPr>
              <w:spacing w:line="240" w:lineRule="auto"/>
              <w:ind w:firstLineChars="400" w:firstLine="720"/>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25-34 ans</w:t>
            </w:r>
          </w:p>
        </w:tc>
        <w:tc>
          <w:tcPr>
            <w:tcW w:w="421"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25,9</w:t>
            </w:r>
          </w:p>
        </w:tc>
        <w:tc>
          <w:tcPr>
            <w:tcW w:w="421"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6,9</w:t>
            </w:r>
          </w:p>
        </w:tc>
        <w:tc>
          <w:tcPr>
            <w:tcW w:w="548"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19,6</w:t>
            </w:r>
          </w:p>
        </w:tc>
        <w:tc>
          <w:tcPr>
            <w:tcW w:w="415"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24,8</w:t>
            </w:r>
          </w:p>
        </w:tc>
        <w:tc>
          <w:tcPr>
            <w:tcW w:w="413"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7,5</w:t>
            </w:r>
          </w:p>
        </w:tc>
        <w:tc>
          <w:tcPr>
            <w:tcW w:w="551"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19,2</w:t>
            </w:r>
          </w:p>
        </w:tc>
      </w:tr>
      <w:tr w:rsidR="00FF0E14" w:rsidRPr="00BD4B64" w:rsidTr="00CA5CF1">
        <w:trPr>
          <w:trHeight w:val="284"/>
        </w:trPr>
        <w:tc>
          <w:tcPr>
            <w:tcW w:w="2231" w:type="pct"/>
            <w:tcBorders>
              <w:top w:val="nil"/>
              <w:left w:val="single" w:sz="4" w:space="0" w:color="auto"/>
              <w:bottom w:val="single" w:sz="4" w:space="0" w:color="auto"/>
              <w:right w:val="single" w:sz="4" w:space="0" w:color="auto"/>
            </w:tcBorders>
            <w:shd w:val="clear" w:color="auto" w:fill="auto"/>
            <w:noWrap/>
            <w:vAlign w:val="center"/>
            <w:hideMark/>
          </w:tcPr>
          <w:p w:rsidR="00FF0E14" w:rsidRPr="00BD4B64" w:rsidRDefault="00FF0E14" w:rsidP="00CA5CF1">
            <w:pPr>
              <w:spacing w:line="240" w:lineRule="auto"/>
              <w:ind w:firstLineChars="400" w:firstLine="720"/>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35-44 ans</w:t>
            </w:r>
          </w:p>
        </w:tc>
        <w:tc>
          <w:tcPr>
            <w:tcW w:w="421"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9,5</w:t>
            </w:r>
          </w:p>
        </w:tc>
        <w:tc>
          <w:tcPr>
            <w:tcW w:w="421"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2,4</w:t>
            </w:r>
          </w:p>
        </w:tc>
        <w:tc>
          <w:tcPr>
            <w:tcW w:w="548"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7,0</w:t>
            </w:r>
          </w:p>
        </w:tc>
        <w:tc>
          <w:tcPr>
            <w:tcW w:w="415"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8,4</w:t>
            </w:r>
          </w:p>
        </w:tc>
        <w:tc>
          <w:tcPr>
            <w:tcW w:w="413"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2,5</w:t>
            </w:r>
          </w:p>
        </w:tc>
        <w:tc>
          <w:tcPr>
            <w:tcW w:w="551"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6,4</w:t>
            </w:r>
          </w:p>
        </w:tc>
      </w:tr>
      <w:tr w:rsidR="00FF0E14" w:rsidRPr="00BD4B64" w:rsidTr="00CA5CF1">
        <w:trPr>
          <w:trHeight w:val="284"/>
        </w:trPr>
        <w:tc>
          <w:tcPr>
            <w:tcW w:w="2231" w:type="pct"/>
            <w:tcBorders>
              <w:top w:val="nil"/>
              <w:left w:val="single" w:sz="4" w:space="0" w:color="auto"/>
              <w:bottom w:val="single" w:sz="4" w:space="0" w:color="auto"/>
              <w:right w:val="single" w:sz="4" w:space="0" w:color="auto"/>
            </w:tcBorders>
            <w:shd w:val="clear" w:color="auto" w:fill="auto"/>
            <w:noWrap/>
            <w:vAlign w:val="center"/>
            <w:hideMark/>
          </w:tcPr>
          <w:p w:rsidR="00FF0E14" w:rsidRPr="00BD4B64" w:rsidRDefault="00FF0E14" w:rsidP="00CA5CF1">
            <w:pPr>
              <w:spacing w:line="240" w:lineRule="auto"/>
              <w:ind w:firstLineChars="400" w:firstLine="720"/>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45 ans et plus</w:t>
            </w:r>
          </w:p>
        </w:tc>
        <w:tc>
          <w:tcPr>
            <w:tcW w:w="421"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5,7</w:t>
            </w:r>
          </w:p>
        </w:tc>
        <w:tc>
          <w:tcPr>
            <w:tcW w:w="421"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1,3</w:t>
            </w:r>
          </w:p>
        </w:tc>
        <w:tc>
          <w:tcPr>
            <w:tcW w:w="548"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3,8</w:t>
            </w:r>
          </w:p>
        </w:tc>
        <w:tc>
          <w:tcPr>
            <w:tcW w:w="415"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4,6</w:t>
            </w:r>
          </w:p>
        </w:tc>
        <w:tc>
          <w:tcPr>
            <w:tcW w:w="413"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1,5</w:t>
            </w:r>
          </w:p>
        </w:tc>
        <w:tc>
          <w:tcPr>
            <w:tcW w:w="551"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3,3</w:t>
            </w:r>
          </w:p>
        </w:tc>
      </w:tr>
      <w:tr w:rsidR="00FF0E14" w:rsidRPr="00BD4B64" w:rsidTr="00CA5CF1">
        <w:trPr>
          <w:trHeight w:val="284"/>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F0E14" w:rsidRPr="00BD4B64" w:rsidRDefault="00FF0E14" w:rsidP="00CA5CF1">
            <w:pPr>
              <w:spacing w:line="240" w:lineRule="auto"/>
              <w:ind w:firstLineChars="200" w:firstLine="360"/>
              <w:rPr>
                <w:rFonts w:ascii="Garamond" w:eastAsia="Times New Roman" w:hAnsi="Garamond" w:cs="Calibri"/>
                <w:i/>
                <w:iCs/>
                <w:color w:val="000000"/>
                <w:sz w:val="18"/>
                <w:szCs w:val="18"/>
              </w:rPr>
            </w:pPr>
            <w:r w:rsidRPr="00BD4B64">
              <w:rPr>
                <w:rFonts w:ascii="Garamond" w:eastAsia="Times New Roman" w:hAnsi="Garamond" w:cs="Calibri"/>
                <w:i/>
                <w:iCs/>
                <w:color w:val="000000"/>
                <w:sz w:val="18"/>
                <w:szCs w:val="18"/>
              </w:rPr>
              <w:t>• Selon le diplôme</w:t>
            </w:r>
          </w:p>
        </w:tc>
      </w:tr>
      <w:tr w:rsidR="00FF0E14" w:rsidRPr="00BD4B64" w:rsidTr="00CA5CF1">
        <w:trPr>
          <w:trHeight w:val="284"/>
        </w:trPr>
        <w:tc>
          <w:tcPr>
            <w:tcW w:w="2231" w:type="pct"/>
            <w:tcBorders>
              <w:top w:val="nil"/>
              <w:left w:val="single" w:sz="4" w:space="0" w:color="auto"/>
              <w:bottom w:val="single" w:sz="4" w:space="0" w:color="auto"/>
              <w:right w:val="single" w:sz="4" w:space="0" w:color="auto"/>
            </w:tcBorders>
            <w:shd w:val="clear" w:color="auto" w:fill="auto"/>
            <w:noWrap/>
            <w:vAlign w:val="center"/>
            <w:hideMark/>
          </w:tcPr>
          <w:p w:rsidR="00FF0E14" w:rsidRPr="00BD4B64" w:rsidRDefault="00FF0E14" w:rsidP="00CA5CF1">
            <w:pPr>
              <w:spacing w:line="240" w:lineRule="auto"/>
              <w:ind w:firstLineChars="400" w:firstLine="720"/>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Non diplômés</w:t>
            </w:r>
          </w:p>
        </w:tc>
        <w:tc>
          <w:tcPr>
            <w:tcW w:w="421"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7,8</w:t>
            </w:r>
          </w:p>
        </w:tc>
        <w:tc>
          <w:tcPr>
            <w:tcW w:w="421"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2,1</w:t>
            </w:r>
          </w:p>
        </w:tc>
        <w:tc>
          <w:tcPr>
            <w:tcW w:w="548"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4,6</w:t>
            </w:r>
          </w:p>
        </w:tc>
        <w:tc>
          <w:tcPr>
            <w:tcW w:w="415"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6,8</w:t>
            </w:r>
          </w:p>
        </w:tc>
        <w:tc>
          <w:tcPr>
            <w:tcW w:w="413"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2,2</w:t>
            </w:r>
          </w:p>
        </w:tc>
        <w:tc>
          <w:tcPr>
            <w:tcW w:w="551"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4,2</w:t>
            </w:r>
          </w:p>
        </w:tc>
      </w:tr>
      <w:tr w:rsidR="00FF0E14" w:rsidRPr="00BD4B64" w:rsidTr="00CA5CF1">
        <w:trPr>
          <w:trHeight w:val="284"/>
        </w:trPr>
        <w:tc>
          <w:tcPr>
            <w:tcW w:w="2231" w:type="pct"/>
            <w:tcBorders>
              <w:top w:val="nil"/>
              <w:left w:val="single" w:sz="4" w:space="0" w:color="auto"/>
              <w:bottom w:val="single" w:sz="4" w:space="0" w:color="auto"/>
              <w:right w:val="single" w:sz="4" w:space="0" w:color="auto"/>
            </w:tcBorders>
            <w:shd w:val="clear" w:color="auto" w:fill="auto"/>
            <w:noWrap/>
            <w:vAlign w:val="center"/>
            <w:hideMark/>
          </w:tcPr>
          <w:p w:rsidR="00FF0E14" w:rsidRPr="00BD4B64" w:rsidRDefault="00FF0E14" w:rsidP="00CA5CF1">
            <w:pPr>
              <w:spacing w:line="240" w:lineRule="auto"/>
              <w:ind w:firstLineChars="400" w:firstLine="720"/>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Diplômés</w:t>
            </w:r>
          </w:p>
        </w:tc>
        <w:tc>
          <w:tcPr>
            <w:tcW w:w="421"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21,7</w:t>
            </w:r>
          </w:p>
        </w:tc>
        <w:tc>
          <w:tcPr>
            <w:tcW w:w="421"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12,0</w:t>
            </w:r>
          </w:p>
        </w:tc>
        <w:tc>
          <w:tcPr>
            <w:tcW w:w="548"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19,6</w:t>
            </w:r>
          </w:p>
        </w:tc>
        <w:tc>
          <w:tcPr>
            <w:tcW w:w="415"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20,4</w:t>
            </w:r>
          </w:p>
        </w:tc>
        <w:tc>
          <w:tcPr>
            <w:tcW w:w="413"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12,2</w:t>
            </w:r>
          </w:p>
        </w:tc>
        <w:tc>
          <w:tcPr>
            <w:tcW w:w="551" w:type="pct"/>
            <w:tcBorders>
              <w:top w:val="nil"/>
              <w:left w:val="nil"/>
              <w:bottom w:val="single" w:sz="4" w:space="0" w:color="auto"/>
              <w:right w:val="single" w:sz="4" w:space="0" w:color="auto"/>
            </w:tcBorders>
            <w:shd w:val="clear" w:color="auto" w:fill="auto"/>
            <w:noWrap/>
            <w:vAlign w:val="center"/>
            <w:hideMark/>
          </w:tcPr>
          <w:p w:rsidR="00FF0E14" w:rsidRPr="00BD4B64" w:rsidRDefault="00FF0E14" w:rsidP="00FF0E14">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18,6</w:t>
            </w:r>
          </w:p>
        </w:tc>
      </w:tr>
    </w:tbl>
    <w:p w:rsidR="004E2812" w:rsidRPr="00BD4B64" w:rsidRDefault="004E2812" w:rsidP="004E2812">
      <w:pPr>
        <w:numPr>
          <w:ilvl w:val="0"/>
          <w:numId w:val="4"/>
        </w:numPr>
        <w:tabs>
          <w:tab w:val="left" w:pos="-720"/>
        </w:tabs>
        <w:suppressAutoHyphens/>
        <w:spacing w:line="256" w:lineRule="auto"/>
        <w:contextualSpacing/>
        <w:jc w:val="both"/>
        <w:rPr>
          <w:rFonts w:ascii="Times New Roman" w:eastAsia="Calibri" w:hAnsi="Times New Roman" w:cs="Times New Roman"/>
          <w:color w:val="222222"/>
          <w:sz w:val="20"/>
          <w:szCs w:val="20"/>
          <w:shd w:val="clear" w:color="auto" w:fill="FFFFFF"/>
          <w:lang w:eastAsia="en-US"/>
        </w:rPr>
      </w:pPr>
      <w:r w:rsidRPr="00BD4B64">
        <w:rPr>
          <w:rFonts w:ascii="Times New Roman" w:eastAsia="Calibri" w:hAnsi="Times New Roman" w:cs="Times New Roman"/>
          <w:color w:val="222222"/>
          <w:sz w:val="20"/>
          <w:szCs w:val="20"/>
          <w:shd w:val="clear" w:color="auto" w:fill="FFFFFF"/>
          <w:lang w:eastAsia="en-US"/>
        </w:rPr>
        <w:t xml:space="preserve">Source : Enquête nationale sur l'emploi, Haut-Commissariat au Plan </w:t>
      </w:r>
    </w:p>
    <w:p w:rsidR="004E2812" w:rsidRPr="00BD4B64" w:rsidRDefault="004E2812" w:rsidP="004E2812">
      <w:pPr>
        <w:numPr>
          <w:ilvl w:val="0"/>
          <w:numId w:val="4"/>
        </w:numPr>
        <w:tabs>
          <w:tab w:val="left" w:pos="-720"/>
        </w:tabs>
        <w:suppressAutoHyphens/>
        <w:spacing w:line="256" w:lineRule="auto"/>
        <w:contextualSpacing/>
        <w:jc w:val="both"/>
        <w:rPr>
          <w:rFonts w:ascii="Times New Roman" w:eastAsia="Calibri" w:hAnsi="Times New Roman" w:cs="Times New Roman"/>
          <w:color w:val="222222"/>
          <w:sz w:val="20"/>
          <w:szCs w:val="20"/>
          <w:shd w:val="clear" w:color="auto" w:fill="FFFFFF"/>
          <w:lang w:eastAsia="en-US"/>
        </w:rPr>
      </w:pPr>
      <w:r w:rsidRPr="00BD4B64">
        <w:rPr>
          <w:rFonts w:ascii="Times New Roman" w:eastAsia="Calibri" w:hAnsi="Times New Roman" w:cs="Times New Roman"/>
          <w:color w:val="222222"/>
          <w:sz w:val="20"/>
          <w:szCs w:val="20"/>
          <w:shd w:val="clear" w:color="auto" w:fill="FFFFFF"/>
          <w:lang w:eastAsia="en-US"/>
        </w:rPr>
        <w:t>Pour les définitions des concepts et indicateurs utilisés, se référer au glossaire disponible sur le site web du HCP </w:t>
      </w:r>
      <w:r w:rsidRPr="00BD4B64">
        <w:rPr>
          <w:rFonts w:ascii="Times New Roman" w:eastAsia="Calibri" w:hAnsi="Times New Roman" w:cs="Times New Roman"/>
          <w:b/>
          <w:bCs/>
          <w:color w:val="222222"/>
          <w:sz w:val="20"/>
          <w:szCs w:val="20"/>
          <w:shd w:val="clear" w:color="auto" w:fill="FFFFFF"/>
          <w:lang w:eastAsia="en-US"/>
        </w:rPr>
        <w:t xml:space="preserve">: </w:t>
      </w:r>
      <w:hyperlink r:id="rId17" w:history="1">
        <w:r w:rsidRPr="00BD4B64">
          <w:rPr>
            <w:rStyle w:val="Lienhypertexte"/>
            <w:rFonts w:ascii="Times New Roman" w:eastAsia="Calibri" w:hAnsi="Times New Roman" w:cs="Times New Roman"/>
            <w:b/>
            <w:bCs/>
            <w:color w:val="222222"/>
            <w:sz w:val="20"/>
            <w:szCs w:val="20"/>
            <w:shd w:val="clear" w:color="auto" w:fill="FFFFFF"/>
            <w:lang w:eastAsia="en-US"/>
          </w:rPr>
          <w:t>http://www.hcp.ma</w:t>
        </w:r>
      </w:hyperlink>
      <w:r w:rsidRPr="00BD4B64">
        <w:rPr>
          <w:rFonts w:ascii="Times New Roman" w:eastAsia="Calibri" w:hAnsi="Times New Roman" w:cs="Times New Roman"/>
          <w:color w:val="222222"/>
          <w:sz w:val="20"/>
          <w:szCs w:val="20"/>
          <w:shd w:val="clear" w:color="auto" w:fill="FFFFFF"/>
          <w:lang w:eastAsia="en-US"/>
        </w:rPr>
        <w:t>.</w:t>
      </w:r>
    </w:p>
    <w:p w:rsidR="004E2812" w:rsidRPr="00BD4B64" w:rsidRDefault="004E2812" w:rsidP="004E2812">
      <w:pPr>
        <w:numPr>
          <w:ilvl w:val="0"/>
          <w:numId w:val="4"/>
        </w:numPr>
        <w:tabs>
          <w:tab w:val="left" w:pos="-720"/>
        </w:tabs>
        <w:suppressAutoHyphens/>
        <w:spacing w:line="256" w:lineRule="auto"/>
        <w:contextualSpacing/>
        <w:jc w:val="both"/>
        <w:rPr>
          <w:rFonts w:ascii="Book Antiqua" w:hAnsi="Book Antiqua" w:cs="Times New Roman"/>
        </w:rPr>
      </w:pPr>
      <w:r w:rsidRPr="00BD4B64">
        <w:rPr>
          <w:rFonts w:ascii="Times New Roman" w:eastAsia="Calibri" w:hAnsi="Times New Roman" w:cs="Times New Roman"/>
          <w:color w:val="222222"/>
          <w:sz w:val="20"/>
          <w:szCs w:val="20"/>
          <w:shd w:val="clear" w:color="auto" w:fill="FFFFFF"/>
          <w:lang w:eastAsia="en-US"/>
        </w:rPr>
        <w:t>Les données chiffrées sont arrondies. Le résultat arrondi d’une combinaison de données chiffrées (qui fait intervenir leurs valeurs réelles) peut se trouver légèrement différent de celui que donnerait la combinaison de leurs valeurs arrondies.</w:t>
      </w:r>
    </w:p>
    <w:p w:rsidR="004E2812" w:rsidRPr="00BD4B64" w:rsidRDefault="004E2812" w:rsidP="004E2812">
      <w:pPr>
        <w:pStyle w:val="Titre1"/>
        <w:keepLines w:val="0"/>
        <w:spacing w:before="240" w:after="0" w:line="240" w:lineRule="auto"/>
        <w:jc w:val="center"/>
        <w:rPr>
          <w:rFonts w:ascii="Book Antiqua" w:eastAsia="Times New Roman" w:hAnsi="Book Antiqua" w:cs="Browallia New"/>
          <w:b/>
          <w:bCs/>
          <w:sz w:val="22"/>
          <w:szCs w:val="22"/>
        </w:rPr>
      </w:pPr>
      <w:r w:rsidRPr="00BD4B64">
        <w:rPr>
          <w:rFonts w:ascii="Book Antiqua" w:hAnsi="Book Antiqua" w:cs="Times New Roman"/>
        </w:rPr>
        <w:br w:type="page"/>
      </w:r>
      <w:r w:rsidRPr="00BD4B64">
        <w:rPr>
          <w:rFonts w:ascii="Book Antiqua" w:eastAsia="Times New Roman" w:hAnsi="Book Antiqua" w:cs="Browallia New"/>
          <w:b/>
          <w:bCs/>
          <w:sz w:val="22"/>
          <w:szCs w:val="22"/>
        </w:rPr>
        <w:lastRenderedPageBreak/>
        <w:t>Tableau 2: Taux d'activité, d’emploi et de chômage par région et milieu de résidence (en%)</w:t>
      </w:r>
    </w:p>
    <w:p w:rsidR="00CA5CF1" w:rsidRPr="00BD4B64" w:rsidRDefault="00CA5CF1" w:rsidP="00CA5CF1">
      <w:pPr>
        <w:rPr>
          <w:sz w:val="8"/>
          <w:szCs w:val="8"/>
        </w:rPr>
      </w:pPr>
    </w:p>
    <w:tbl>
      <w:tblPr>
        <w:tblW w:w="5000" w:type="pct"/>
        <w:tblCellMar>
          <w:left w:w="70" w:type="dxa"/>
          <w:right w:w="70" w:type="dxa"/>
        </w:tblCellMar>
        <w:tblLook w:val="04A0"/>
      </w:tblPr>
      <w:tblGrid>
        <w:gridCol w:w="2593"/>
        <w:gridCol w:w="1103"/>
        <w:gridCol w:w="1104"/>
        <w:gridCol w:w="1104"/>
        <w:gridCol w:w="1104"/>
        <w:gridCol w:w="1104"/>
        <w:gridCol w:w="1100"/>
      </w:tblGrid>
      <w:tr w:rsidR="00CA5CF1" w:rsidRPr="00BD4B64" w:rsidTr="00477D56">
        <w:trPr>
          <w:trHeight w:val="284"/>
        </w:trPr>
        <w:tc>
          <w:tcPr>
            <w:tcW w:w="140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 </w:t>
            </w:r>
          </w:p>
        </w:tc>
        <w:tc>
          <w:tcPr>
            <w:tcW w:w="1796" w:type="pct"/>
            <w:gridSpan w:val="3"/>
            <w:tcBorders>
              <w:top w:val="single" w:sz="4" w:space="0" w:color="auto"/>
              <w:left w:val="nil"/>
              <w:bottom w:val="single" w:sz="4" w:space="0" w:color="auto"/>
              <w:right w:val="single" w:sz="4" w:space="0" w:color="auto"/>
            </w:tcBorders>
            <w:shd w:val="clear" w:color="auto" w:fill="auto"/>
            <w:noWrap/>
            <w:hideMark/>
          </w:tcPr>
          <w:p w:rsidR="00CA5CF1" w:rsidRPr="00BD4B64" w:rsidRDefault="00CA5CF1" w:rsidP="00477D56">
            <w:pPr>
              <w:spacing w:line="240" w:lineRule="auto"/>
              <w:jc w:val="center"/>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Pr>
              <w:t>2021</w:t>
            </w:r>
          </w:p>
        </w:tc>
        <w:tc>
          <w:tcPr>
            <w:tcW w:w="1796" w:type="pct"/>
            <w:gridSpan w:val="3"/>
            <w:tcBorders>
              <w:top w:val="single" w:sz="4" w:space="0" w:color="auto"/>
              <w:left w:val="nil"/>
              <w:bottom w:val="single" w:sz="4" w:space="0" w:color="auto"/>
              <w:right w:val="single" w:sz="4" w:space="0" w:color="auto"/>
            </w:tcBorders>
            <w:shd w:val="clear" w:color="auto" w:fill="auto"/>
            <w:noWrap/>
            <w:hideMark/>
          </w:tcPr>
          <w:p w:rsidR="00CA5CF1" w:rsidRPr="00BD4B64" w:rsidRDefault="00CA5CF1" w:rsidP="00477D56">
            <w:pPr>
              <w:spacing w:line="240" w:lineRule="auto"/>
              <w:jc w:val="center"/>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Pr>
              <w:t>2022</w:t>
            </w:r>
          </w:p>
        </w:tc>
      </w:tr>
      <w:tr w:rsidR="00CA5CF1" w:rsidRPr="00BD4B64" w:rsidTr="00477D56">
        <w:trPr>
          <w:trHeight w:val="284"/>
        </w:trPr>
        <w:tc>
          <w:tcPr>
            <w:tcW w:w="1408" w:type="pct"/>
            <w:vMerge/>
            <w:tcBorders>
              <w:top w:val="single" w:sz="4" w:space="0" w:color="auto"/>
              <w:left w:val="single" w:sz="4" w:space="0" w:color="auto"/>
              <w:bottom w:val="single" w:sz="4" w:space="0" w:color="auto"/>
              <w:right w:val="single" w:sz="4" w:space="0" w:color="auto"/>
            </w:tcBorders>
            <w:vAlign w:val="center"/>
            <w:hideMark/>
          </w:tcPr>
          <w:p w:rsidR="00CA5CF1" w:rsidRPr="00BD4B64" w:rsidRDefault="00CA5CF1" w:rsidP="00477D56">
            <w:pPr>
              <w:spacing w:line="240" w:lineRule="auto"/>
              <w:rPr>
                <w:rFonts w:ascii="Garamond" w:eastAsia="Times New Roman" w:hAnsi="Garamond" w:cs="Calibri"/>
                <w:color w:val="000000"/>
                <w:sz w:val="18"/>
                <w:szCs w:val="18"/>
              </w:rPr>
            </w:pPr>
          </w:p>
        </w:tc>
        <w:tc>
          <w:tcPr>
            <w:tcW w:w="599" w:type="pct"/>
            <w:tcBorders>
              <w:top w:val="single" w:sz="4" w:space="0" w:color="auto"/>
              <w:left w:val="nil"/>
              <w:bottom w:val="single" w:sz="4" w:space="0" w:color="auto"/>
              <w:right w:val="single" w:sz="4" w:space="0" w:color="auto"/>
            </w:tcBorders>
            <w:shd w:val="clear" w:color="auto" w:fill="auto"/>
            <w:hideMark/>
          </w:tcPr>
          <w:p w:rsidR="00CA5CF1" w:rsidRPr="00BD4B64" w:rsidRDefault="00CA5CF1" w:rsidP="00477D56">
            <w:pPr>
              <w:bidi/>
              <w:spacing w:line="240" w:lineRule="auto"/>
              <w:jc w:val="center"/>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Pr>
              <w:t>Urbain</w:t>
            </w:r>
          </w:p>
        </w:tc>
        <w:tc>
          <w:tcPr>
            <w:tcW w:w="599" w:type="pct"/>
            <w:tcBorders>
              <w:top w:val="single" w:sz="4" w:space="0" w:color="auto"/>
              <w:left w:val="nil"/>
              <w:bottom w:val="single" w:sz="4" w:space="0" w:color="auto"/>
              <w:right w:val="single" w:sz="4" w:space="0" w:color="auto"/>
            </w:tcBorders>
            <w:shd w:val="clear" w:color="auto" w:fill="auto"/>
            <w:hideMark/>
          </w:tcPr>
          <w:p w:rsidR="00CA5CF1" w:rsidRPr="00BD4B64" w:rsidRDefault="00CA5CF1" w:rsidP="00477D56">
            <w:pPr>
              <w:bidi/>
              <w:spacing w:line="240" w:lineRule="auto"/>
              <w:jc w:val="center"/>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Pr>
              <w:t>Rural</w:t>
            </w:r>
          </w:p>
        </w:tc>
        <w:tc>
          <w:tcPr>
            <w:tcW w:w="599" w:type="pct"/>
            <w:tcBorders>
              <w:top w:val="single" w:sz="4" w:space="0" w:color="auto"/>
              <w:left w:val="nil"/>
              <w:bottom w:val="single" w:sz="4" w:space="0" w:color="auto"/>
              <w:right w:val="single" w:sz="4" w:space="0" w:color="auto"/>
            </w:tcBorders>
            <w:shd w:val="clear" w:color="auto" w:fill="auto"/>
            <w:hideMark/>
          </w:tcPr>
          <w:p w:rsidR="00CA5CF1" w:rsidRPr="00BD4B64" w:rsidRDefault="00CA5CF1" w:rsidP="00477D56">
            <w:pPr>
              <w:bidi/>
              <w:spacing w:line="240" w:lineRule="auto"/>
              <w:jc w:val="center"/>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Pr>
              <w:t>Ensemble</w:t>
            </w:r>
          </w:p>
        </w:tc>
        <w:tc>
          <w:tcPr>
            <w:tcW w:w="599" w:type="pct"/>
            <w:tcBorders>
              <w:top w:val="single" w:sz="4" w:space="0" w:color="auto"/>
              <w:left w:val="nil"/>
              <w:bottom w:val="single" w:sz="4" w:space="0" w:color="auto"/>
              <w:right w:val="single" w:sz="4" w:space="0" w:color="auto"/>
            </w:tcBorders>
            <w:shd w:val="clear" w:color="auto" w:fill="auto"/>
            <w:hideMark/>
          </w:tcPr>
          <w:p w:rsidR="00CA5CF1" w:rsidRPr="00BD4B64" w:rsidRDefault="00CA5CF1" w:rsidP="00477D56">
            <w:pPr>
              <w:bidi/>
              <w:spacing w:line="240" w:lineRule="auto"/>
              <w:jc w:val="center"/>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Pr>
              <w:t>Urbain</w:t>
            </w:r>
          </w:p>
        </w:tc>
        <w:tc>
          <w:tcPr>
            <w:tcW w:w="599" w:type="pct"/>
            <w:tcBorders>
              <w:top w:val="single" w:sz="4" w:space="0" w:color="auto"/>
              <w:left w:val="nil"/>
              <w:bottom w:val="single" w:sz="4" w:space="0" w:color="auto"/>
              <w:right w:val="single" w:sz="4" w:space="0" w:color="auto"/>
            </w:tcBorders>
            <w:shd w:val="clear" w:color="auto" w:fill="auto"/>
            <w:hideMark/>
          </w:tcPr>
          <w:p w:rsidR="00CA5CF1" w:rsidRPr="00BD4B64" w:rsidRDefault="00CA5CF1" w:rsidP="00477D56">
            <w:pPr>
              <w:bidi/>
              <w:spacing w:line="240" w:lineRule="auto"/>
              <w:jc w:val="center"/>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Pr>
              <w:t>Rural</w:t>
            </w:r>
          </w:p>
        </w:tc>
        <w:tc>
          <w:tcPr>
            <w:tcW w:w="599" w:type="pct"/>
            <w:tcBorders>
              <w:top w:val="single" w:sz="4" w:space="0" w:color="auto"/>
              <w:left w:val="nil"/>
              <w:bottom w:val="single" w:sz="4" w:space="0" w:color="auto"/>
              <w:right w:val="single" w:sz="4" w:space="0" w:color="auto"/>
            </w:tcBorders>
            <w:shd w:val="clear" w:color="auto" w:fill="auto"/>
            <w:hideMark/>
          </w:tcPr>
          <w:p w:rsidR="00CA5CF1" w:rsidRPr="00BD4B64" w:rsidRDefault="00CA5CF1" w:rsidP="00477D56">
            <w:pPr>
              <w:bidi/>
              <w:spacing w:line="240" w:lineRule="auto"/>
              <w:jc w:val="center"/>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Pr>
              <w:t>Ensemble</w:t>
            </w:r>
          </w:p>
        </w:tc>
      </w:tr>
      <w:tr w:rsidR="00CA5CF1" w:rsidRPr="00BD4B64" w:rsidTr="00477D56">
        <w:trPr>
          <w:trHeight w:val="284"/>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rPr>
                <w:rFonts w:ascii="Garamond" w:eastAsia="Times New Roman" w:hAnsi="Garamond" w:cs="Calibri"/>
                <w:b/>
                <w:bCs/>
                <w:color w:val="1F497D"/>
                <w:sz w:val="18"/>
                <w:szCs w:val="18"/>
              </w:rPr>
            </w:pPr>
            <w:r w:rsidRPr="00BD4B64">
              <w:rPr>
                <w:rFonts w:ascii="Garamond" w:eastAsia="Times New Roman" w:hAnsi="Garamond" w:cs="Calibri"/>
                <w:b/>
                <w:bCs/>
                <w:color w:val="1F497D"/>
                <w:sz w:val="18"/>
                <w:szCs w:val="18"/>
              </w:rPr>
              <w:t>Taux d'activité (des 15 ans et plus)</w:t>
            </w:r>
          </w:p>
        </w:tc>
      </w:tr>
      <w:tr w:rsidR="00CA5CF1" w:rsidRPr="00BD4B64" w:rsidTr="00477D56">
        <w:trPr>
          <w:trHeight w:val="284"/>
        </w:trPr>
        <w:tc>
          <w:tcPr>
            <w:tcW w:w="1408" w:type="pct"/>
            <w:tcBorders>
              <w:top w:val="nil"/>
              <w:left w:val="single" w:sz="4" w:space="0" w:color="auto"/>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Tanger-Tétouan-Al Hoceïma</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45,4</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57,6</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49,8</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45,6</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58,2</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50,1</w:t>
            </w:r>
          </w:p>
        </w:tc>
      </w:tr>
      <w:tr w:rsidR="00CA5CF1" w:rsidRPr="00BD4B64" w:rsidTr="00477D56">
        <w:trPr>
          <w:trHeight w:val="284"/>
        </w:trPr>
        <w:tc>
          <w:tcPr>
            <w:tcW w:w="1408" w:type="pct"/>
            <w:tcBorders>
              <w:top w:val="nil"/>
              <w:left w:val="single" w:sz="4" w:space="0" w:color="auto"/>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Oriental</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40,7</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47,4</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42,5</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40,8</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45,4</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42,0</w:t>
            </w:r>
          </w:p>
        </w:tc>
      </w:tr>
      <w:tr w:rsidR="00CA5CF1" w:rsidRPr="00BD4B64" w:rsidTr="00477D56">
        <w:trPr>
          <w:trHeight w:val="284"/>
        </w:trPr>
        <w:tc>
          <w:tcPr>
            <w:tcW w:w="1408" w:type="pct"/>
            <w:tcBorders>
              <w:top w:val="nil"/>
              <w:left w:val="single" w:sz="4" w:space="0" w:color="auto"/>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Fès-Meknès</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39,2</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48,1</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42,3</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39,1</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48,3</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42,2</w:t>
            </w:r>
          </w:p>
        </w:tc>
      </w:tr>
      <w:tr w:rsidR="00CA5CF1" w:rsidRPr="00BD4B64" w:rsidTr="00477D56">
        <w:trPr>
          <w:trHeight w:val="284"/>
        </w:trPr>
        <w:tc>
          <w:tcPr>
            <w:tcW w:w="1408" w:type="pct"/>
            <w:tcBorders>
              <w:top w:val="nil"/>
              <w:left w:val="single" w:sz="4" w:space="0" w:color="auto"/>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Rabat-Salé-Kénitra</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42,2</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50,2</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44,2</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42,2</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50,6</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44,3</w:t>
            </w:r>
          </w:p>
        </w:tc>
      </w:tr>
      <w:tr w:rsidR="00CA5CF1" w:rsidRPr="00BD4B64" w:rsidTr="00477D56">
        <w:trPr>
          <w:trHeight w:val="284"/>
        </w:trPr>
        <w:tc>
          <w:tcPr>
            <w:tcW w:w="1408" w:type="pct"/>
            <w:tcBorders>
              <w:top w:val="nil"/>
              <w:left w:val="single" w:sz="4" w:space="0" w:color="auto"/>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Béni Mellal-Khénifra</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37,7</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52,2</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44,4</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36,8</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48,6</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42,2</w:t>
            </w:r>
          </w:p>
        </w:tc>
      </w:tr>
      <w:tr w:rsidR="00CA5CF1" w:rsidRPr="00BD4B64" w:rsidTr="00477D56">
        <w:trPr>
          <w:trHeight w:val="284"/>
        </w:trPr>
        <w:tc>
          <w:tcPr>
            <w:tcW w:w="1408" w:type="pct"/>
            <w:tcBorders>
              <w:top w:val="nil"/>
              <w:left w:val="single" w:sz="4" w:space="0" w:color="auto"/>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Casablanca-Settat</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44,8</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58,3</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47,7</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44,2</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56,2</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46,7</w:t>
            </w:r>
          </w:p>
        </w:tc>
      </w:tr>
      <w:tr w:rsidR="00CA5CF1" w:rsidRPr="00BD4B64" w:rsidTr="00477D56">
        <w:trPr>
          <w:trHeight w:val="284"/>
        </w:trPr>
        <w:tc>
          <w:tcPr>
            <w:tcW w:w="1408" w:type="pct"/>
            <w:tcBorders>
              <w:top w:val="nil"/>
              <w:left w:val="single" w:sz="4" w:space="0" w:color="auto"/>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Marrakech-Safi</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41,9</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51,0</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46,8</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41,4</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48,2</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45,0</w:t>
            </w:r>
          </w:p>
        </w:tc>
      </w:tr>
      <w:tr w:rsidR="00CA5CF1" w:rsidRPr="00BD4B64" w:rsidTr="00477D56">
        <w:trPr>
          <w:trHeight w:val="284"/>
        </w:trPr>
        <w:tc>
          <w:tcPr>
            <w:tcW w:w="1408" w:type="pct"/>
            <w:tcBorders>
              <w:top w:val="nil"/>
              <w:left w:val="single" w:sz="4" w:space="0" w:color="auto"/>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Drâa-Tafilalet</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38,5</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46,6</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43,6</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37,6</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43,1</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41,0</w:t>
            </w:r>
          </w:p>
        </w:tc>
      </w:tr>
      <w:tr w:rsidR="00CA5CF1" w:rsidRPr="00BD4B64" w:rsidTr="00477D56">
        <w:trPr>
          <w:trHeight w:val="284"/>
        </w:trPr>
        <w:tc>
          <w:tcPr>
            <w:tcW w:w="1408" w:type="pct"/>
            <w:tcBorders>
              <w:top w:val="nil"/>
              <w:left w:val="single" w:sz="4" w:space="0" w:color="auto"/>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Souss-Massa</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41,6</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40,8</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41,3</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39,7</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35,9</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38,3</w:t>
            </w:r>
          </w:p>
        </w:tc>
      </w:tr>
      <w:tr w:rsidR="00CA5CF1" w:rsidRPr="00BD4B64" w:rsidTr="00477D56">
        <w:trPr>
          <w:trHeight w:val="284"/>
        </w:trPr>
        <w:tc>
          <w:tcPr>
            <w:tcW w:w="1408" w:type="pct"/>
            <w:tcBorders>
              <w:top w:val="nil"/>
              <w:left w:val="single" w:sz="4" w:space="0" w:color="auto"/>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Régions du Sud</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42,8</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51,5</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44,5</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42,8</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51,6</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44,5</w:t>
            </w:r>
          </w:p>
        </w:tc>
      </w:tr>
      <w:tr w:rsidR="00CA5CF1" w:rsidRPr="00BD4B64" w:rsidTr="00477D56">
        <w:trPr>
          <w:trHeight w:val="284"/>
        </w:trPr>
        <w:tc>
          <w:tcPr>
            <w:tcW w:w="1408" w:type="pct"/>
            <w:tcBorders>
              <w:top w:val="nil"/>
              <w:left w:val="single" w:sz="4" w:space="0" w:color="auto"/>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1"/>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Pr>
              <w:t>Ensemble</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1"/>
              <w:jc w:val="center"/>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Pr>
              <w:t>42,3</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1"/>
              <w:jc w:val="center"/>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Pr>
              <w:t>50,9</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1"/>
              <w:jc w:val="center"/>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Pr>
              <w:t>45,3</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1"/>
              <w:jc w:val="center"/>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Pr>
              <w:t>41,9</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1"/>
              <w:jc w:val="center"/>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Pr>
              <w:t>49,1</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1"/>
              <w:jc w:val="center"/>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Pr>
              <w:t>44,3</w:t>
            </w:r>
          </w:p>
        </w:tc>
      </w:tr>
      <w:tr w:rsidR="00CA5CF1" w:rsidRPr="00BD4B64" w:rsidTr="00477D56">
        <w:trPr>
          <w:trHeight w:val="284"/>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rPr>
                <w:rFonts w:ascii="Garamond" w:eastAsia="Times New Roman" w:hAnsi="Garamond" w:cs="Calibri"/>
                <w:b/>
                <w:bCs/>
                <w:color w:val="1F497D"/>
                <w:sz w:val="18"/>
                <w:szCs w:val="18"/>
              </w:rPr>
            </w:pPr>
            <w:r w:rsidRPr="00BD4B64">
              <w:rPr>
                <w:rFonts w:ascii="Garamond" w:eastAsia="Times New Roman" w:hAnsi="Garamond" w:cs="Calibri"/>
                <w:b/>
                <w:bCs/>
                <w:color w:val="1F497D"/>
                <w:sz w:val="18"/>
                <w:szCs w:val="18"/>
              </w:rPr>
              <w:t>Taux d'emploi (des 15 ans et plus)</w:t>
            </w:r>
          </w:p>
        </w:tc>
      </w:tr>
      <w:tr w:rsidR="00CA5CF1" w:rsidRPr="00BD4B64" w:rsidTr="00477D56">
        <w:trPr>
          <w:trHeight w:val="284"/>
        </w:trPr>
        <w:tc>
          <w:tcPr>
            <w:tcW w:w="1408" w:type="pct"/>
            <w:tcBorders>
              <w:top w:val="nil"/>
              <w:left w:val="single" w:sz="4" w:space="0" w:color="auto"/>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Tanger-Tétouan-Al Hoceïma</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38,4</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55,7</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44,6</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39,1</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56,2</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45,2</w:t>
            </w:r>
          </w:p>
        </w:tc>
      </w:tr>
      <w:tr w:rsidR="00CA5CF1" w:rsidRPr="00BD4B64" w:rsidTr="00477D56">
        <w:trPr>
          <w:trHeight w:val="284"/>
        </w:trPr>
        <w:tc>
          <w:tcPr>
            <w:tcW w:w="1408" w:type="pct"/>
            <w:tcBorders>
              <w:top w:val="nil"/>
              <w:left w:val="single" w:sz="4" w:space="0" w:color="auto"/>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Oriental</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32,2</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41,7</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34,8</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32,9</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39,8</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34,7</w:t>
            </w:r>
          </w:p>
        </w:tc>
      </w:tr>
      <w:tr w:rsidR="00CA5CF1" w:rsidRPr="00BD4B64" w:rsidTr="00477D56">
        <w:trPr>
          <w:trHeight w:val="284"/>
        </w:trPr>
        <w:tc>
          <w:tcPr>
            <w:tcW w:w="1408" w:type="pct"/>
            <w:tcBorders>
              <w:top w:val="nil"/>
              <w:left w:val="single" w:sz="4" w:space="0" w:color="auto"/>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Fès-Meknès</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31,8</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45,9</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36,6</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31,8</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45,7</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36,5</w:t>
            </w:r>
          </w:p>
        </w:tc>
      </w:tr>
      <w:tr w:rsidR="00CA5CF1" w:rsidRPr="00BD4B64" w:rsidTr="00477D56">
        <w:trPr>
          <w:trHeight w:val="284"/>
        </w:trPr>
        <w:tc>
          <w:tcPr>
            <w:tcW w:w="1408" w:type="pct"/>
            <w:tcBorders>
              <w:top w:val="nil"/>
              <w:left w:val="single" w:sz="4" w:space="0" w:color="auto"/>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Rabat-Salé-Kénitra</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35,8</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47,5</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38,8</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36,4</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48,5</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39,5</w:t>
            </w:r>
          </w:p>
        </w:tc>
      </w:tr>
      <w:tr w:rsidR="00CA5CF1" w:rsidRPr="00BD4B64" w:rsidTr="00477D56">
        <w:trPr>
          <w:trHeight w:val="284"/>
        </w:trPr>
        <w:tc>
          <w:tcPr>
            <w:tcW w:w="1408" w:type="pct"/>
            <w:tcBorders>
              <w:top w:val="nil"/>
              <w:left w:val="single" w:sz="4" w:space="0" w:color="auto"/>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Béni Mellal-Khénifra</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32,3</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49,3</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40,2</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31,2</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45,5</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37,8</w:t>
            </w:r>
          </w:p>
        </w:tc>
      </w:tr>
      <w:tr w:rsidR="00CA5CF1" w:rsidRPr="00BD4B64" w:rsidTr="00477D56">
        <w:trPr>
          <w:trHeight w:val="284"/>
        </w:trPr>
        <w:tc>
          <w:tcPr>
            <w:tcW w:w="1408" w:type="pct"/>
            <w:tcBorders>
              <w:top w:val="nil"/>
              <w:left w:val="single" w:sz="4" w:space="0" w:color="auto"/>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Casablanca-Settat</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36,7</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55,7</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40,8</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36,8</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53,4</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40,3</w:t>
            </w:r>
          </w:p>
        </w:tc>
      </w:tr>
      <w:tr w:rsidR="00CA5CF1" w:rsidRPr="00BD4B64" w:rsidTr="00477D56">
        <w:trPr>
          <w:trHeight w:val="284"/>
        </w:trPr>
        <w:tc>
          <w:tcPr>
            <w:tcW w:w="1408" w:type="pct"/>
            <w:tcBorders>
              <w:top w:val="nil"/>
              <w:left w:val="single" w:sz="4" w:space="0" w:color="auto"/>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Marrakech-Safi</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36,1</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49,4</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43,2</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36,5</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46,7</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41,9</w:t>
            </w:r>
          </w:p>
        </w:tc>
      </w:tr>
      <w:tr w:rsidR="00CA5CF1" w:rsidRPr="00BD4B64" w:rsidTr="00477D56">
        <w:trPr>
          <w:trHeight w:val="284"/>
        </w:trPr>
        <w:tc>
          <w:tcPr>
            <w:tcW w:w="1408" w:type="pct"/>
            <w:tcBorders>
              <w:top w:val="nil"/>
              <w:left w:val="single" w:sz="4" w:space="0" w:color="auto"/>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Drâa-Tafilalet</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32,3</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43,6</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39,4</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32,4</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39,8</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37,0</w:t>
            </w:r>
          </w:p>
        </w:tc>
      </w:tr>
      <w:tr w:rsidR="00CA5CF1" w:rsidRPr="00BD4B64" w:rsidTr="00477D56">
        <w:trPr>
          <w:trHeight w:val="284"/>
        </w:trPr>
        <w:tc>
          <w:tcPr>
            <w:tcW w:w="1408" w:type="pct"/>
            <w:tcBorders>
              <w:top w:val="nil"/>
              <w:left w:val="single" w:sz="4" w:space="0" w:color="auto"/>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Souss-Massa</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35,6</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38,4</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36,6</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34,2</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33,5</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34,0</w:t>
            </w:r>
          </w:p>
        </w:tc>
      </w:tr>
      <w:tr w:rsidR="00CA5CF1" w:rsidRPr="00BD4B64" w:rsidTr="00477D56">
        <w:trPr>
          <w:trHeight w:val="284"/>
        </w:trPr>
        <w:tc>
          <w:tcPr>
            <w:tcW w:w="1408" w:type="pct"/>
            <w:tcBorders>
              <w:top w:val="nil"/>
              <w:left w:val="single" w:sz="4" w:space="0" w:color="auto"/>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Régions du Sud</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33,0</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46,1</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35,5</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33,0</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46,3</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35,5</w:t>
            </w:r>
          </w:p>
        </w:tc>
      </w:tr>
      <w:tr w:rsidR="00CA5CF1" w:rsidRPr="00BD4B64" w:rsidTr="00477D56">
        <w:trPr>
          <w:trHeight w:val="284"/>
        </w:trPr>
        <w:tc>
          <w:tcPr>
            <w:tcW w:w="1408" w:type="pct"/>
            <w:tcBorders>
              <w:top w:val="nil"/>
              <w:left w:val="single" w:sz="4" w:space="0" w:color="auto"/>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1"/>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Pr>
              <w:t>Ensemble</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1"/>
              <w:jc w:val="center"/>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Pr>
              <w:t>35,1</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1"/>
              <w:jc w:val="center"/>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Pr>
              <w:t>48,4</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1"/>
              <w:jc w:val="center"/>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Pr>
              <w:t>39,7</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1"/>
              <w:jc w:val="center"/>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Pr>
              <w:t>35,3</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1"/>
              <w:jc w:val="center"/>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Pr>
              <w:t>46,5</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1"/>
              <w:jc w:val="center"/>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Pr>
              <w:t>39,1</w:t>
            </w:r>
          </w:p>
        </w:tc>
      </w:tr>
      <w:tr w:rsidR="00CA5CF1" w:rsidRPr="00BD4B64" w:rsidTr="00477D56">
        <w:trPr>
          <w:trHeight w:val="284"/>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rPr>
                <w:rFonts w:ascii="Garamond" w:eastAsia="Times New Roman" w:hAnsi="Garamond" w:cs="Calibri"/>
                <w:b/>
                <w:bCs/>
                <w:color w:val="1F497D"/>
                <w:sz w:val="18"/>
                <w:szCs w:val="18"/>
              </w:rPr>
            </w:pPr>
            <w:r w:rsidRPr="00BD4B64">
              <w:rPr>
                <w:rFonts w:ascii="Garamond" w:eastAsia="Times New Roman" w:hAnsi="Garamond" w:cs="Calibri"/>
                <w:b/>
                <w:bCs/>
                <w:color w:val="1F497D"/>
                <w:sz w:val="18"/>
                <w:szCs w:val="18"/>
              </w:rPr>
              <w:t>Taux de chômage</w:t>
            </w:r>
          </w:p>
        </w:tc>
      </w:tr>
      <w:tr w:rsidR="00CA5CF1" w:rsidRPr="00BD4B64" w:rsidTr="00477D56">
        <w:trPr>
          <w:trHeight w:val="284"/>
        </w:trPr>
        <w:tc>
          <w:tcPr>
            <w:tcW w:w="1408" w:type="pct"/>
            <w:tcBorders>
              <w:top w:val="nil"/>
              <w:left w:val="single" w:sz="4" w:space="0" w:color="auto"/>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Tanger-Tétouan-Al Hoceïma</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15,5</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3,2</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10,4</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14,1</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3,4</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9,7</w:t>
            </w:r>
          </w:p>
        </w:tc>
      </w:tr>
      <w:tr w:rsidR="00CA5CF1" w:rsidRPr="00BD4B64" w:rsidTr="00477D56">
        <w:trPr>
          <w:trHeight w:val="284"/>
        </w:trPr>
        <w:tc>
          <w:tcPr>
            <w:tcW w:w="1408" w:type="pct"/>
            <w:tcBorders>
              <w:top w:val="nil"/>
              <w:left w:val="single" w:sz="4" w:space="0" w:color="auto"/>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Oriental</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20,8</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11,9</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18,1</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19,4</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12,4</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17,4</w:t>
            </w:r>
          </w:p>
        </w:tc>
      </w:tr>
      <w:tr w:rsidR="00CA5CF1" w:rsidRPr="00BD4B64" w:rsidTr="00477D56">
        <w:trPr>
          <w:trHeight w:val="284"/>
        </w:trPr>
        <w:tc>
          <w:tcPr>
            <w:tcW w:w="1408" w:type="pct"/>
            <w:tcBorders>
              <w:top w:val="nil"/>
              <w:left w:val="single" w:sz="4" w:space="0" w:color="auto"/>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Fès-Meknès</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18,9</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4,7</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13,4</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18,7</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5,3</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13,5</w:t>
            </w:r>
          </w:p>
        </w:tc>
      </w:tr>
      <w:tr w:rsidR="00CA5CF1" w:rsidRPr="00BD4B64" w:rsidTr="00477D56">
        <w:trPr>
          <w:trHeight w:val="284"/>
        </w:trPr>
        <w:tc>
          <w:tcPr>
            <w:tcW w:w="1408" w:type="pct"/>
            <w:tcBorders>
              <w:top w:val="nil"/>
              <w:left w:val="single" w:sz="4" w:space="0" w:color="auto"/>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Rabat-Salé-Kénitra</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15,1</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5,3</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12,2</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13,8</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4,2</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11,0</w:t>
            </w:r>
          </w:p>
        </w:tc>
      </w:tr>
      <w:tr w:rsidR="00CA5CF1" w:rsidRPr="00BD4B64" w:rsidTr="00477D56">
        <w:trPr>
          <w:trHeight w:val="284"/>
        </w:trPr>
        <w:tc>
          <w:tcPr>
            <w:tcW w:w="1408" w:type="pct"/>
            <w:tcBorders>
              <w:top w:val="nil"/>
              <w:left w:val="single" w:sz="4" w:space="0" w:color="auto"/>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Béni Mellal-Khénifra</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14,4</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5,5</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9,6</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15,3</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6,3</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10,5</w:t>
            </w:r>
          </w:p>
        </w:tc>
      </w:tr>
      <w:tr w:rsidR="00CA5CF1" w:rsidRPr="00BD4B64" w:rsidTr="00477D56">
        <w:trPr>
          <w:trHeight w:val="284"/>
        </w:trPr>
        <w:tc>
          <w:tcPr>
            <w:tcW w:w="1408" w:type="pct"/>
            <w:tcBorders>
              <w:top w:val="nil"/>
              <w:left w:val="single" w:sz="4" w:space="0" w:color="auto"/>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Casablanca-Settat</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18,2</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4,3</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14,6</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16,7</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5,0</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13,8</w:t>
            </w:r>
          </w:p>
        </w:tc>
      </w:tr>
      <w:tr w:rsidR="00CA5CF1" w:rsidRPr="00BD4B64" w:rsidTr="00477D56">
        <w:trPr>
          <w:trHeight w:val="284"/>
        </w:trPr>
        <w:tc>
          <w:tcPr>
            <w:tcW w:w="1408" w:type="pct"/>
            <w:tcBorders>
              <w:top w:val="nil"/>
              <w:left w:val="single" w:sz="4" w:space="0" w:color="auto"/>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Marrakech-Safi</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13,9</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3,2</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7,6</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11,8</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3,2</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6,9</w:t>
            </w:r>
          </w:p>
        </w:tc>
      </w:tr>
      <w:tr w:rsidR="00CA5CF1" w:rsidRPr="00BD4B64" w:rsidTr="00477D56">
        <w:trPr>
          <w:trHeight w:val="284"/>
        </w:trPr>
        <w:tc>
          <w:tcPr>
            <w:tcW w:w="1408" w:type="pct"/>
            <w:tcBorders>
              <w:top w:val="nil"/>
              <w:left w:val="single" w:sz="4" w:space="0" w:color="auto"/>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Drâa-Tafilalet</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16,0</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6,4</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9,6</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13,8</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7,6</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9,7</w:t>
            </w:r>
          </w:p>
        </w:tc>
      </w:tr>
      <w:tr w:rsidR="00CA5CF1" w:rsidRPr="00BD4B64" w:rsidTr="00477D56">
        <w:trPr>
          <w:trHeight w:val="284"/>
        </w:trPr>
        <w:tc>
          <w:tcPr>
            <w:tcW w:w="1408" w:type="pct"/>
            <w:tcBorders>
              <w:top w:val="nil"/>
              <w:left w:val="single" w:sz="4" w:space="0" w:color="auto"/>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Souss-Massa</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14,4</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5,9</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11,3</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13,9</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6,6</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11,4</w:t>
            </w:r>
          </w:p>
        </w:tc>
      </w:tr>
      <w:tr w:rsidR="00CA5CF1" w:rsidRPr="00BD4B64" w:rsidTr="00477D56">
        <w:trPr>
          <w:trHeight w:val="284"/>
        </w:trPr>
        <w:tc>
          <w:tcPr>
            <w:tcW w:w="1408" w:type="pct"/>
            <w:tcBorders>
              <w:top w:val="nil"/>
              <w:left w:val="single" w:sz="4" w:space="0" w:color="auto"/>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Régions du Sud</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22,9</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10,5</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20,1</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22,9</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10,3</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0"/>
              <w:jc w:val="center"/>
              <w:rPr>
                <w:rFonts w:ascii="Garamond" w:eastAsia="Times New Roman" w:hAnsi="Garamond" w:cs="Calibri"/>
                <w:color w:val="000000"/>
                <w:sz w:val="18"/>
                <w:szCs w:val="18"/>
              </w:rPr>
            </w:pPr>
            <w:r w:rsidRPr="00BD4B64">
              <w:rPr>
                <w:rFonts w:ascii="Garamond" w:eastAsia="Times New Roman" w:hAnsi="Garamond" w:cs="Calibri"/>
                <w:color w:val="000000"/>
                <w:sz w:val="18"/>
                <w:szCs w:val="18"/>
              </w:rPr>
              <w:t>20,1</w:t>
            </w:r>
          </w:p>
        </w:tc>
      </w:tr>
      <w:tr w:rsidR="00CA5CF1" w:rsidRPr="00BD4B64" w:rsidTr="00477D56">
        <w:trPr>
          <w:trHeight w:val="284"/>
        </w:trPr>
        <w:tc>
          <w:tcPr>
            <w:tcW w:w="1408" w:type="pct"/>
            <w:tcBorders>
              <w:top w:val="nil"/>
              <w:left w:val="single" w:sz="4" w:space="0" w:color="auto"/>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1"/>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Pr>
              <w:t>Ensemble</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1"/>
              <w:jc w:val="center"/>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Pr>
              <w:t>16,9</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1"/>
              <w:jc w:val="center"/>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Pr>
              <w:t>5,0</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1"/>
              <w:jc w:val="center"/>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Pr>
              <w:t>12,3</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1"/>
              <w:jc w:val="center"/>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Pr>
              <w:t>15,8</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1"/>
              <w:jc w:val="center"/>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Pr>
              <w:t>5,2</w:t>
            </w:r>
          </w:p>
        </w:tc>
        <w:tc>
          <w:tcPr>
            <w:tcW w:w="599" w:type="pct"/>
            <w:tcBorders>
              <w:top w:val="nil"/>
              <w:left w:val="nil"/>
              <w:bottom w:val="single" w:sz="4" w:space="0" w:color="auto"/>
              <w:right w:val="single" w:sz="4" w:space="0" w:color="auto"/>
            </w:tcBorders>
            <w:shd w:val="clear" w:color="auto" w:fill="auto"/>
            <w:noWrap/>
            <w:vAlign w:val="center"/>
            <w:hideMark/>
          </w:tcPr>
          <w:p w:rsidR="00CA5CF1" w:rsidRPr="00BD4B64" w:rsidRDefault="00CA5CF1" w:rsidP="00477D56">
            <w:pPr>
              <w:spacing w:line="240" w:lineRule="auto"/>
              <w:ind w:firstLineChars="100" w:firstLine="181"/>
              <w:jc w:val="center"/>
              <w:rPr>
                <w:rFonts w:ascii="Garamond" w:eastAsia="Times New Roman" w:hAnsi="Garamond" w:cs="Calibri"/>
                <w:b/>
                <w:bCs/>
                <w:color w:val="000000"/>
                <w:sz w:val="18"/>
                <w:szCs w:val="18"/>
              </w:rPr>
            </w:pPr>
            <w:r w:rsidRPr="00BD4B64">
              <w:rPr>
                <w:rFonts w:ascii="Garamond" w:eastAsia="Times New Roman" w:hAnsi="Garamond" w:cs="Calibri"/>
                <w:b/>
                <w:bCs/>
                <w:color w:val="000000"/>
                <w:sz w:val="18"/>
                <w:szCs w:val="18"/>
              </w:rPr>
              <w:t>11,8</w:t>
            </w:r>
          </w:p>
        </w:tc>
      </w:tr>
    </w:tbl>
    <w:p w:rsidR="004E2812" w:rsidRDefault="004E2812" w:rsidP="004E2812">
      <w:pPr>
        <w:rPr>
          <w:rFonts w:ascii="Book Antiqua" w:eastAsia="Book Antiqua" w:hAnsi="Book Antiqua" w:cs="Book Antiqua"/>
          <w:b/>
          <w:bCs/>
          <w:i/>
          <w:iCs/>
          <w:color w:val="0070C0"/>
          <w:sz w:val="26"/>
          <w:szCs w:val="26"/>
        </w:rPr>
      </w:pPr>
      <w:r w:rsidRPr="00BD4B64">
        <w:rPr>
          <w:rFonts w:ascii="Times New Roman" w:eastAsia="Calibri" w:hAnsi="Times New Roman" w:cs="Times New Roman"/>
          <w:color w:val="222222"/>
          <w:sz w:val="20"/>
          <w:szCs w:val="20"/>
          <w:shd w:val="clear" w:color="auto" w:fill="FFFFFF"/>
          <w:lang w:eastAsia="en-US"/>
        </w:rPr>
        <w:t>Source : Enquête nationale sur l'emploi, Haut-Commissariat au Plan</w:t>
      </w:r>
    </w:p>
    <w:p w:rsidR="004E2812" w:rsidRDefault="004E2812" w:rsidP="004E2812">
      <w:pPr>
        <w:rPr>
          <w:rFonts w:asciiTheme="minorHAnsi" w:eastAsiaTheme="minorEastAsia" w:hAnsiTheme="minorHAnsi" w:cstheme="minorBidi"/>
        </w:rPr>
      </w:pPr>
    </w:p>
    <w:p w:rsidR="00134746" w:rsidRPr="00CE7366" w:rsidRDefault="00134746" w:rsidP="004E2812">
      <w:pPr>
        <w:spacing w:before="240" w:after="240" w:line="312" w:lineRule="auto"/>
        <w:jc w:val="both"/>
        <w:rPr>
          <w:rFonts w:ascii="Book Antiqua" w:eastAsia="Book Antiqua" w:hAnsi="Book Antiqua" w:cs="Book Antiqua"/>
          <w:b/>
          <w:bCs/>
          <w:color w:val="2E74B5" w:themeColor="accent5" w:themeShade="BF"/>
          <w:sz w:val="26"/>
          <w:szCs w:val="26"/>
        </w:rPr>
      </w:pPr>
    </w:p>
    <w:sectPr w:rsidR="00134746" w:rsidRPr="00CE7366" w:rsidSect="00F11B57">
      <w:headerReference w:type="default" r:id="rId18"/>
      <w:footerReference w:type="default" r:id="rId19"/>
      <w:headerReference w:type="first" r:id="rId20"/>
      <w:pgSz w:w="11906" w:h="16838"/>
      <w:pgMar w:top="993" w:right="1417" w:bottom="1417" w:left="1417" w:header="708" w:footer="708" w:gutter="0"/>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3102" w:rsidRDefault="00143102" w:rsidP="000D15FF">
      <w:pPr>
        <w:spacing w:line="240" w:lineRule="auto"/>
      </w:pPr>
      <w:r>
        <w:separator/>
      </w:r>
    </w:p>
  </w:endnote>
  <w:endnote w:type="continuationSeparator" w:id="1">
    <w:p w:rsidR="00143102" w:rsidRDefault="00143102" w:rsidP="000D15F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rowallia New">
    <w:altName w:val="Arial Unicode MS"/>
    <w:panose1 w:val="020B0604020202020204"/>
    <w:charset w:val="00"/>
    <w:family w:val="swiss"/>
    <w:pitch w:val="variable"/>
    <w:sig w:usb0="81000003"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8721692"/>
      <w:docPartObj>
        <w:docPartGallery w:val="Page Numbers (Bottom of Page)"/>
        <w:docPartUnique/>
      </w:docPartObj>
    </w:sdtPr>
    <w:sdtContent>
      <w:p w:rsidR="00057912" w:rsidRDefault="00F873FC">
        <w:pPr>
          <w:pStyle w:val="Pieddepage"/>
          <w:jc w:val="center"/>
        </w:pPr>
        <w:fldSimple w:instr="PAGE   \* MERGEFORMAT">
          <w:r w:rsidR="00E42E1C">
            <w:rPr>
              <w:noProof/>
            </w:rPr>
            <w:t>2</w:t>
          </w:r>
        </w:fldSimple>
      </w:p>
    </w:sdtContent>
  </w:sdt>
  <w:p w:rsidR="00057912" w:rsidRDefault="0005791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3102" w:rsidRDefault="00143102" w:rsidP="000D15FF">
      <w:pPr>
        <w:spacing w:line="240" w:lineRule="auto"/>
      </w:pPr>
      <w:r>
        <w:separator/>
      </w:r>
    </w:p>
  </w:footnote>
  <w:footnote w:type="continuationSeparator" w:id="1">
    <w:p w:rsidR="00143102" w:rsidRDefault="00143102" w:rsidP="000D15FF">
      <w:pPr>
        <w:spacing w:line="240" w:lineRule="auto"/>
      </w:pPr>
      <w:r>
        <w:continuationSeparator/>
      </w:r>
    </w:p>
  </w:footnote>
  <w:footnote w:id="2">
    <w:p w:rsidR="00057912" w:rsidRPr="006F619D" w:rsidRDefault="00057912" w:rsidP="008865DA">
      <w:pPr>
        <w:pStyle w:val="Notedebasdepage"/>
        <w:rPr>
          <w:rFonts w:ascii="Book Antiqua" w:eastAsia="Book Antiqua" w:hAnsi="Book Antiqua" w:cs="Book Antiqua"/>
          <w:sz w:val="16"/>
          <w:szCs w:val="16"/>
        </w:rPr>
      </w:pPr>
      <w:r w:rsidRPr="00F955FD">
        <w:rPr>
          <w:rFonts w:ascii="Book Antiqua" w:eastAsia="Book Antiqua" w:hAnsi="Book Antiqua" w:cs="Book Antiqua"/>
          <w:sz w:val="18"/>
          <w:szCs w:val="18"/>
          <w:vertAlign w:val="superscript"/>
        </w:rPr>
        <w:footnoteRef/>
      </w:r>
      <w:r w:rsidRPr="00456121">
        <w:rPr>
          <w:rFonts w:ascii="Book Antiqua" w:eastAsia="Book Antiqua" w:hAnsi="Book Antiqua" w:cs="Book Antiqua"/>
          <w:sz w:val="16"/>
          <w:szCs w:val="16"/>
        </w:rPr>
        <w:t>Selon l’auto-détermination des répondants</w:t>
      </w:r>
      <w:r w:rsidRPr="006F619D">
        <w:rPr>
          <w:rFonts w:ascii="Book Antiqua" w:eastAsia="Book Antiqua" w:hAnsi="Book Antiqua" w:cs="Book Antiqua"/>
          <w:sz w:val="16"/>
          <w:szCs w:val="16"/>
        </w:rPr>
        <w:t>.</w:t>
      </w:r>
    </w:p>
  </w:footnote>
  <w:footnote w:id="3">
    <w:p w:rsidR="00057912" w:rsidRPr="00C343C6" w:rsidRDefault="00057912" w:rsidP="008865DA">
      <w:pPr>
        <w:pStyle w:val="Notedebasdepage"/>
        <w:rPr>
          <w:rFonts w:ascii="Book Antiqua" w:eastAsia="Book Antiqua" w:hAnsi="Book Antiqua" w:cs="Book Antiqua"/>
          <w:sz w:val="14"/>
          <w:szCs w:val="14"/>
        </w:rPr>
      </w:pPr>
      <w:r w:rsidRPr="00C343C6">
        <w:rPr>
          <w:rFonts w:ascii="Book Antiqua" w:eastAsia="Book Antiqua" w:hAnsi="Book Antiqua" w:cs="Book Antiqua"/>
          <w:sz w:val="16"/>
          <w:szCs w:val="16"/>
          <w:vertAlign w:val="superscript"/>
        </w:rPr>
        <w:footnoteRef/>
      </w:r>
      <w:r w:rsidRPr="00C343C6">
        <w:rPr>
          <w:rFonts w:ascii="Book Antiqua" w:eastAsia="Book Antiqua" w:hAnsi="Book Antiqua" w:cs="Book Antiqua"/>
          <w:sz w:val="14"/>
          <w:szCs w:val="14"/>
        </w:rPr>
        <w:t>L’écart entre la variation de l’emploi au niveau global et par secteurs concerne les activités mal ou non désignées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912" w:rsidRDefault="00057912" w:rsidP="00F11B57">
    <w:pPr>
      <w:pStyle w:val="En-tte"/>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912" w:rsidRDefault="00057912" w:rsidP="00F11B57">
    <w:pPr>
      <w:pStyle w:val="En-tte"/>
      <w:jc w:val="center"/>
    </w:pPr>
    <w:r w:rsidRPr="00F11B57">
      <w:rPr>
        <w:noProof/>
      </w:rPr>
      <w:drawing>
        <wp:inline distT="0" distB="0" distL="0" distR="0">
          <wp:extent cx="1358900" cy="1053546"/>
          <wp:effectExtent l="19050" t="0" r="0" b="0"/>
          <wp:docPr id="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59753" cy="1054207"/>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67B4F"/>
    <w:multiLevelType w:val="hybridMultilevel"/>
    <w:tmpl w:val="0B02A664"/>
    <w:lvl w:ilvl="0" w:tplc="1A1C14B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nsid w:val="31C642A6"/>
    <w:multiLevelType w:val="multilevel"/>
    <w:tmpl w:val="CDAE4488"/>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decimal"/>
      <w:pStyle w:val="MMTopic5"/>
      <w:suff w:val="space"/>
      <w:lvlText w:val="%1.%2.%3.%4.%5"/>
      <w:lvlJc w:val="left"/>
      <w:pPr>
        <w:ind w:left="0"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35F8383A"/>
    <w:multiLevelType w:val="hybridMultilevel"/>
    <w:tmpl w:val="CE065B3C"/>
    <w:lvl w:ilvl="0" w:tplc="5B52F470">
      <w:start w:val="1"/>
      <w:numFmt w:val="upperRoman"/>
      <w:lvlText w:val="%1."/>
      <w:lvlJc w:val="right"/>
      <w:pPr>
        <w:ind w:left="644" w:hanging="360"/>
      </w:pPr>
      <w:rPr>
        <w:color w:val="4472C4" w:themeColor="accent1"/>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nsid w:val="425C17CE"/>
    <w:multiLevelType w:val="hybridMultilevel"/>
    <w:tmpl w:val="E9E23E7C"/>
    <w:lvl w:ilvl="0" w:tplc="5B52F470">
      <w:start w:val="1"/>
      <w:numFmt w:val="upperRoman"/>
      <w:lvlText w:val="%1."/>
      <w:lvlJc w:val="right"/>
      <w:pPr>
        <w:ind w:left="720" w:hanging="360"/>
      </w:pPr>
      <w:rPr>
        <w:color w:val="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C71883"/>
    <w:multiLevelType w:val="hybridMultilevel"/>
    <w:tmpl w:val="3AF2B0D4"/>
    <w:lvl w:ilvl="0" w:tplc="FFFFFFFF">
      <w:start w:val="1"/>
      <w:numFmt w:val="upperRoman"/>
      <w:lvlText w:val="%1."/>
      <w:lvlJc w:val="right"/>
      <w:pPr>
        <w:ind w:left="720" w:hanging="360"/>
      </w:pPr>
      <w:rPr>
        <w:color w:val="4472C4" w:themeColor="accen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nsid w:val="77DD2408"/>
    <w:multiLevelType w:val="hybridMultilevel"/>
    <w:tmpl w:val="3AF2B0D4"/>
    <w:lvl w:ilvl="0" w:tplc="FFFFFFFF">
      <w:start w:val="1"/>
      <w:numFmt w:val="upperRoman"/>
      <w:lvlText w:val="%1."/>
      <w:lvlJc w:val="right"/>
      <w:pPr>
        <w:ind w:left="720" w:hanging="360"/>
      </w:pPr>
      <w:rPr>
        <w:color w:val="4472C4" w:themeColor="accen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2"/>
  </w:num>
  <w:num w:numId="2">
    <w:abstractNumId w:val="2"/>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hyphenationZone w:val="425"/>
  <w:drawingGridHorizontalSpacing w:val="110"/>
  <w:displayHorizontalDrawingGridEvery w:val="2"/>
  <w:characterSpacingControl w:val="doNotCompress"/>
  <w:hdrShapeDefaults>
    <o:shapedefaults v:ext="edit" spidmax="24578"/>
  </w:hdrShapeDefaults>
  <w:footnotePr>
    <w:footnote w:id="0"/>
    <w:footnote w:id="1"/>
  </w:footnotePr>
  <w:endnotePr>
    <w:endnote w:id="0"/>
    <w:endnote w:id="1"/>
  </w:endnotePr>
  <w:compat/>
  <w:rsids>
    <w:rsidRoot w:val="00F51F24"/>
    <w:rsid w:val="00003E0E"/>
    <w:rsid w:val="00005241"/>
    <w:rsid w:val="00014435"/>
    <w:rsid w:val="00014F00"/>
    <w:rsid w:val="0003112E"/>
    <w:rsid w:val="00035D37"/>
    <w:rsid w:val="000445F0"/>
    <w:rsid w:val="00044754"/>
    <w:rsid w:val="00057912"/>
    <w:rsid w:val="00060A8D"/>
    <w:rsid w:val="00061543"/>
    <w:rsid w:val="00066D50"/>
    <w:rsid w:val="0007187A"/>
    <w:rsid w:val="000806D6"/>
    <w:rsid w:val="00082582"/>
    <w:rsid w:val="000828B8"/>
    <w:rsid w:val="0008730C"/>
    <w:rsid w:val="000A0E50"/>
    <w:rsid w:val="000B0D5C"/>
    <w:rsid w:val="000B2262"/>
    <w:rsid w:val="000C22AC"/>
    <w:rsid w:val="000C5453"/>
    <w:rsid w:val="000D15FF"/>
    <w:rsid w:val="000D4577"/>
    <w:rsid w:val="000E1598"/>
    <w:rsid w:val="000E2CF0"/>
    <w:rsid w:val="000E2E0C"/>
    <w:rsid w:val="000F4999"/>
    <w:rsid w:val="00100D48"/>
    <w:rsid w:val="001119A1"/>
    <w:rsid w:val="00112C9D"/>
    <w:rsid w:val="00114EB1"/>
    <w:rsid w:val="00116999"/>
    <w:rsid w:val="00134746"/>
    <w:rsid w:val="00142207"/>
    <w:rsid w:val="00143102"/>
    <w:rsid w:val="00155A28"/>
    <w:rsid w:val="00157DEC"/>
    <w:rsid w:val="001722C9"/>
    <w:rsid w:val="0017244B"/>
    <w:rsid w:val="00182BF6"/>
    <w:rsid w:val="00193F45"/>
    <w:rsid w:val="001A3DDE"/>
    <w:rsid w:val="001A5A8D"/>
    <w:rsid w:val="001B348C"/>
    <w:rsid w:val="001B5767"/>
    <w:rsid w:val="001C0FAE"/>
    <w:rsid w:val="001D0613"/>
    <w:rsid w:val="001D5F3B"/>
    <w:rsid w:val="001F5B45"/>
    <w:rsid w:val="002011F7"/>
    <w:rsid w:val="002049EA"/>
    <w:rsid w:val="002176E3"/>
    <w:rsid w:val="00217908"/>
    <w:rsid w:val="00225147"/>
    <w:rsid w:val="00225F76"/>
    <w:rsid w:val="0023300C"/>
    <w:rsid w:val="00261D65"/>
    <w:rsid w:val="00273E3A"/>
    <w:rsid w:val="00283D70"/>
    <w:rsid w:val="00287D21"/>
    <w:rsid w:val="002A7001"/>
    <w:rsid w:val="002B0766"/>
    <w:rsid w:val="002B5B52"/>
    <w:rsid w:val="002C30C0"/>
    <w:rsid w:val="002C3822"/>
    <w:rsid w:val="002C4484"/>
    <w:rsid w:val="002E0932"/>
    <w:rsid w:val="002F4D68"/>
    <w:rsid w:val="003003EE"/>
    <w:rsid w:val="003049D0"/>
    <w:rsid w:val="00312B1C"/>
    <w:rsid w:val="00320DA2"/>
    <w:rsid w:val="0033732A"/>
    <w:rsid w:val="00354DEB"/>
    <w:rsid w:val="00354FC7"/>
    <w:rsid w:val="003566AF"/>
    <w:rsid w:val="0036600E"/>
    <w:rsid w:val="0037777D"/>
    <w:rsid w:val="00384ADB"/>
    <w:rsid w:val="00397253"/>
    <w:rsid w:val="003A173D"/>
    <w:rsid w:val="003A75D9"/>
    <w:rsid w:val="003B674A"/>
    <w:rsid w:val="003C7266"/>
    <w:rsid w:val="003D16EA"/>
    <w:rsid w:val="003D57ED"/>
    <w:rsid w:val="003E2305"/>
    <w:rsid w:val="003E2B34"/>
    <w:rsid w:val="003F51AA"/>
    <w:rsid w:val="003F5612"/>
    <w:rsid w:val="004176A1"/>
    <w:rsid w:val="004370EE"/>
    <w:rsid w:val="00440315"/>
    <w:rsid w:val="00442023"/>
    <w:rsid w:val="00446633"/>
    <w:rsid w:val="004474D2"/>
    <w:rsid w:val="00456121"/>
    <w:rsid w:val="00456738"/>
    <w:rsid w:val="00460C47"/>
    <w:rsid w:val="00465CCE"/>
    <w:rsid w:val="004742CE"/>
    <w:rsid w:val="00477D56"/>
    <w:rsid w:val="004827D6"/>
    <w:rsid w:val="004C0C16"/>
    <w:rsid w:val="004C6552"/>
    <w:rsid w:val="004E2812"/>
    <w:rsid w:val="00500151"/>
    <w:rsid w:val="0050796F"/>
    <w:rsid w:val="005154A3"/>
    <w:rsid w:val="00532AEB"/>
    <w:rsid w:val="00537A06"/>
    <w:rsid w:val="005600F5"/>
    <w:rsid w:val="005840E3"/>
    <w:rsid w:val="00591080"/>
    <w:rsid w:val="00591954"/>
    <w:rsid w:val="00594F9D"/>
    <w:rsid w:val="005A5B53"/>
    <w:rsid w:val="005A73B4"/>
    <w:rsid w:val="005B2A65"/>
    <w:rsid w:val="005B4AC8"/>
    <w:rsid w:val="005D7D58"/>
    <w:rsid w:val="005F4E2E"/>
    <w:rsid w:val="005F50A5"/>
    <w:rsid w:val="005F50C4"/>
    <w:rsid w:val="005F59B5"/>
    <w:rsid w:val="00603F2D"/>
    <w:rsid w:val="00616F78"/>
    <w:rsid w:val="006452ED"/>
    <w:rsid w:val="006503DF"/>
    <w:rsid w:val="00651D1E"/>
    <w:rsid w:val="00667263"/>
    <w:rsid w:val="00675F61"/>
    <w:rsid w:val="00690BF0"/>
    <w:rsid w:val="006A1AEF"/>
    <w:rsid w:val="006B43CB"/>
    <w:rsid w:val="006C6704"/>
    <w:rsid w:val="006D22D2"/>
    <w:rsid w:val="006E542F"/>
    <w:rsid w:val="006F1426"/>
    <w:rsid w:val="006F444D"/>
    <w:rsid w:val="006F619D"/>
    <w:rsid w:val="00701DCF"/>
    <w:rsid w:val="00710E69"/>
    <w:rsid w:val="007147C6"/>
    <w:rsid w:val="00721C8A"/>
    <w:rsid w:val="007241D8"/>
    <w:rsid w:val="0073362B"/>
    <w:rsid w:val="007379F9"/>
    <w:rsid w:val="00741D8D"/>
    <w:rsid w:val="00744261"/>
    <w:rsid w:val="007543DE"/>
    <w:rsid w:val="00756185"/>
    <w:rsid w:val="00757469"/>
    <w:rsid w:val="007577BE"/>
    <w:rsid w:val="007719CB"/>
    <w:rsid w:val="00772FE9"/>
    <w:rsid w:val="007745DE"/>
    <w:rsid w:val="00781313"/>
    <w:rsid w:val="007979A7"/>
    <w:rsid w:val="007A3580"/>
    <w:rsid w:val="007D2FFA"/>
    <w:rsid w:val="007D7E59"/>
    <w:rsid w:val="007F0FCC"/>
    <w:rsid w:val="007F23F4"/>
    <w:rsid w:val="008026AA"/>
    <w:rsid w:val="00812370"/>
    <w:rsid w:val="008203BF"/>
    <w:rsid w:val="00821DB4"/>
    <w:rsid w:val="00824A64"/>
    <w:rsid w:val="00825B8A"/>
    <w:rsid w:val="00830E76"/>
    <w:rsid w:val="00833D9B"/>
    <w:rsid w:val="008349FD"/>
    <w:rsid w:val="00835A1D"/>
    <w:rsid w:val="00840838"/>
    <w:rsid w:val="00840D94"/>
    <w:rsid w:val="00842E5A"/>
    <w:rsid w:val="008503D4"/>
    <w:rsid w:val="008518BA"/>
    <w:rsid w:val="00866791"/>
    <w:rsid w:val="00875BCC"/>
    <w:rsid w:val="008766F3"/>
    <w:rsid w:val="00876E36"/>
    <w:rsid w:val="00877C55"/>
    <w:rsid w:val="008865DA"/>
    <w:rsid w:val="0089499C"/>
    <w:rsid w:val="008970A7"/>
    <w:rsid w:val="008A7F45"/>
    <w:rsid w:val="0090310B"/>
    <w:rsid w:val="0090530A"/>
    <w:rsid w:val="0090682D"/>
    <w:rsid w:val="009107AD"/>
    <w:rsid w:val="00912B9D"/>
    <w:rsid w:val="00916062"/>
    <w:rsid w:val="00916E18"/>
    <w:rsid w:val="009208B9"/>
    <w:rsid w:val="009232A8"/>
    <w:rsid w:val="00947423"/>
    <w:rsid w:val="00954AB3"/>
    <w:rsid w:val="00960906"/>
    <w:rsid w:val="00967D39"/>
    <w:rsid w:val="0098143C"/>
    <w:rsid w:val="009911C5"/>
    <w:rsid w:val="00992729"/>
    <w:rsid w:val="009927D2"/>
    <w:rsid w:val="00994B05"/>
    <w:rsid w:val="009A681D"/>
    <w:rsid w:val="009C1F60"/>
    <w:rsid w:val="009C5858"/>
    <w:rsid w:val="009D1DC1"/>
    <w:rsid w:val="009D4D4F"/>
    <w:rsid w:val="009D6CEE"/>
    <w:rsid w:val="009F6A19"/>
    <w:rsid w:val="00A15D58"/>
    <w:rsid w:val="00A41CDD"/>
    <w:rsid w:val="00A45AB0"/>
    <w:rsid w:val="00A5341D"/>
    <w:rsid w:val="00A90492"/>
    <w:rsid w:val="00AC140C"/>
    <w:rsid w:val="00AC2D21"/>
    <w:rsid w:val="00AD1865"/>
    <w:rsid w:val="00AD4631"/>
    <w:rsid w:val="00AD7C2F"/>
    <w:rsid w:val="00AF0662"/>
    <w:rsid w:val="00AF24B1"/>
    <w:rsid w:val="00AF28E5"/>
    <w:rsid w:val="00B065B9"/>
    <w:rsid w:val="00B2007E"/>
    <w:rsid w:val="00B2239E"/>
    <w:rsid w:val="00B26D0E"/>
    <w:rsid w:val="00B33F18"/>
    <w:rsid w:val="00B432F9"/>
    <w:rsid w:val="00B46FC5"/>
    <w:rsid w:val="00B547AE"/>
    <w:rsid w:val="00B57677"/>
    <w:rsid w:val="00B73E57"/>
    <w:rsid w:val="00B777D0"/>
    <w:rsid w:val="00B8236C"/>
    <w:rsid w:val="00B82867"/>
    <w:rsid w:val="00B95F61"/>
    <w:rsid w:val="00BA2C39"/>
    <w:rsid w:val="00BB1A38"/>
    <w:rsid w:val="00BB745B"/>
    <w:rsid w:val="00BD4B64"/>
    <w:rsid w:val="00BD509F"/>
    <w:rsid w:val="00BD71D9"/>
    <w:rsid w:val="00BD746B"/>
    <w:rsid w:val="00BF1812"/>
    <w:rsid w:val="00BF456F"/>
    <w:rsid w:val="00BF58E1"/>
    <w:rsid w:val="00C11080"/>
    <w:rsid w:val="00C13AC5"/>
    <w:rsid w:val="00C156AE"/>
    <w:rsid w:val="00C16D6A"/>
    <w:rsid w:val="00C24A63"/>
    <w:rsid w:val="00C264DA"/>
    <w:rsid w:val="00C26F61"/>
    <w:rsid w:val="00C31BDC"/>
    <w:rsid w:val="00C343C6"/>
    <w:rsid w:val="00C411B2"/>
    <w:rsid w:val="00C420E3"/>
    <w:rsid w:val="00C434B7"/>
    <w:rsid w:val="00C52B00"/>
    <w:rsid w:val="00C53762"/>
    <w:rsid w:val="00C54174"/>
    <w:rsid w:val="00C610FD"/>
    <w:rsid w:val="00C70C52"/>
    <w:rsid w:val="00C95867"/>
    <w:rsid w:val="00CA2838"/>
    <w:rsid w:val="00CA5CF1"/>
    <w:rsid w:val="00CE37DF"/>
    <w:rsid w:val="00CE7366"/>
    <w:rsid w:val="00CF2475"/>
    <w:rsid w:val="00CF7E2A"/>
    <w:rsid w:val="00D075E4"/>
    <w:rsid w:val="00D149CE"/>
    <w:rsid w:val="00D2434F"/>
    <w:rsid w:val="00D3722B"/>
    <w:rsid w:val="00D44735"/>
    <w:rsid w:val="00D52033"/>
    <w:rsid w:val="00D52906"/>
    <w:rsid w:val="00D71BCF"/>
    <w:rsid w:val="00D73191"/>
    <w:rsid w:val="00D7746A"/>
    <w:rsid w:val="00D810C7"/>
    <w:rsid w:val="00D81B51"/>
    <w:rsid w:val="00DA1513"/>
    <w:rsid w:val="00DB1A94"/>
    <w:rsid w:val="00DC3F51"/>
    <w:rsid w:val="00DC6FDB"/>
    <w:rsid w:val="00DD4B13"/>
    <w:rsid w:val="00DD5608"/>
    <w:rsid w:val="00DE167A"/>
    <w:rsid w:val="00DF6E6B"/>
    <w:rsid w:val="00E06FE5"/>
    <w:rsid w:val="00E307AA"/>
    <w:rsid w:val="00E42E1C"/>
    <w:rsid w:val="00E45A13"/>
    <w:rsid w:val="00E7159C"/>
    <w:rsid w:val="00E73063"/>
    <w:rsid w:val="00E83464"/>
    <w:rsid w:val="00E92724"/>
    <w:rsid w:val="00E945AB"/>
    <w:rsid w:val="00E977BD"/>
    <w:rsid w:val="00EB0B34"/>
    <w:rsid w:val="00EC2952"/>
    <w:rsid w:val="00ED42FD"/>
    <w:rsid w:val="00EE17CE"/>
    <w:rsid w:val="00EE5284"/>
    <w:rsid w:val="00EF51DD"/>
    <w:rsid w:val="00F00485"/>
    <w:rsid w:val="00F11B57"/>
    <w:rsid w:val="00F1215D"/>
    <w:rsid w:val="00F15342"/>
    <w:rsid w:val="00F26F34"/>
    <w:rsid w:val="00F30A7E"/>
    <w:rsid w:val="00F40FAF"/>
    <w:rsid w:val="00F47144"/>
    <w:rsid w:val="00F51F24"/>
    <w:rsid w:val="00F65F53"/>
    <w:rsid w:val="00F873FC"/>
    <w:rsid w:val="00F904B8"/>
    <w:rsid w:val="00F955FD"/>
    <w:rsid w:val="00FD61C1"/>
    <w:rsid w:val="00FF0E14"/>
    <w:rsid w:val="00FF3ED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F24"/>
    <w:pPr>
      <w:spacing w:after="0" w:line="276" w:lineRule="auto"/>
    </w:pPr>
    <w:rPr>
      <w:rFonts w:ascii="Arial" w:eastAsia="Arial" w:hAnsi="Arial" w:cs="Arial"/>
      <w:lang w:val="fr-FR" w:eastAsia="fr-FR"/>
    </w:rPr>
  </w:style>
  <w:style w:type="paragraph" w:styleId="Titre1">
    <w:name w:val="heading 1"/>
    <w:basedOn w:val="Normal"/>
    <w:next w:val="Normal"/>
    <w:link w:val="Titre1Car"/>
    <w:uiPriority w:val="99"/>
    <w:qFormat/>
    <w:rsid w:val="004E2812"/>
    <w:pPr>
      <w:keepNext/>
      <w:keepLines/>
      <w:spacing w:before="400" w:after="120"/>
      <w:outlineLvl w:val="0"/>
    </w:pPr>
    <w:rPr>
      <w:sz w:val="40"/>
      <w:szCs w:val="40"/>
    </w:rPr>
  </w:style>
  <w:style w:type="paragraph" w:styleId="Titre2">
    <w:name w:val="heading 2"/>
    <w:basedOn w:val="Normal"/>
    <w:next w:val="Normal"/>
    <w:link w:val="Titre2Car"/>
    <w:uiPriority w:val="9"/>
    <w:semiHidden/>
    <w:unhideWhenUsed/>
    <w:qFormat/>
    <w:rsid w:val="009053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CF7E2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90530A"/>
    <w:pPr>
      <w:keepNext/>
      <w:keepLines/>
      <w:spacing w:before="4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90530A"/>
    <w:pPr>
      <w:keepNext/>
      <w:keepLines/>
      <w:spacing w:before="4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D15FF"/>
    <w:pPr>
      <w:spacing w:line="240" w:lineRule="auto"/>
    </w:pPr>
    <w:rPr>
      <w:sz w:val="20"/>
      <w:szCs w:val="20"/>
    </w:rPr>
  </w:style>
  <w:style w:type="character" w:customStyle="1" w:styleId="NotedebasdepageCar">
    <w:name w:val="Note de bas de page Car"/>
    <w:basedOn w:val="Policepardfaut"/>
    <w:link w:val="Notedebasdepage"/>
    <w:uiPriority w:val="99"/>
    <w:semiHidden/>
    <w:rsid w:val="000D15FF"/>
    <w:rPr>
      <w:rFonts w:ascii="Arial" w:eastAsia="Arial" w:hAnsi="Arial" w:cs="Arial"/>
      <w:sz w:val="20"/>
      <w:szCs w:val="20"/>
      <w:lang w:val="fr-FR" w:eastAsia="fr-FR"/>
    </w:rPr>
  </w:style>
  <w:style w:type="character" w:styleId="Appelnotedebasdep">
    <w:name w:val="footnote reference"/>
    <w:basedOn w:val="Policepardfaut"/>
    <w:uiPriority w:val="99"/>
    <w:semiHidden/>
    <w:unhideWhenUsed/>
    <w:rsid w:val="000D15FF"/>
    <w:rPr>
      <w:vertAlign w:val="superscript"/>
    </w:rPr>
  </w:style>
  <w:style w:type="paragraph" w:styleId="Paragraphedeliste">
    <w:name w:val="List Paragraph"/>
    <w:basedOn w:val="Normal"/>
    <w:uiPriority w:val="34"/>
    <w:qFormat/>
    <w:rsid w:val="004E2812"/>
    <w:pPr>
      <w:ind w:left="720"/>
      <w:contextualSpacing/>
    </w:pPr>
  </w:style>
  <w:style w:type="paragraph" w:styleId="En-tte">
    <w:name w:val="header"/>
    <w:basedOn w:val="Normal"/>
    <w:link w:val="En-tteCar"/>
    <w:uiPriority w:val="99"/>
    <w:unhideWhenUsed/>
    <w:rsid w:val="004E2812"/>
    <w:pPr>
      <w:tabs>
        <w:tab w:val="center" w:pos="4536"/>
        <w:tab w:val="right" w:pos="9072"/>
      </w:tabs>
      <w:spacing w:line="240" w:lineRule="auto"/>
    </w:pPr>
  </w:style>
  <w:style w:type="character" w:customStyle="1" w:styleId="En-tteCar">
    <w:name w:val="En-tête Car"/>
    <w:basedOn w:val="Policepardfaut"/>
    <w:link w:val="En-tte"/>
    <w:uiPriority w:val="99"/>
    <w:rsid w:val="004E2812"/>
    <w:rPr>
      <w:rFonts w:ascii="Arial" w:eastAsia="Arial" w:hAnsi="Arial" w:cs="Arial"/>
      <w:lang w:val="fr-FR" w:eastAsia="fr-FR"/>
    </w:rPr>
  </w:style>
  <w:style w:type="paragraph" w:styleId="Pieddepage">
    <w:name w:val="footer"/>
    <w:basedOn w:val="Normal"/>
    <w:link w:val="PieddepageCar"/>
    <w:uiPriority w:val="99"/>
    <w:unhideWhenUsed/>
    <w:rsid w:val="004E2812"/>
    <w:pPr>
      <w:tabs>
        <w:tab w:val="center" w:pos="4536"/>
        <w:tab w:val="right" w:pos="9072"/>
      </w:tabs>
      <w:spacing w:line="240" w:lineRule="auto"/>
    </w:pPr>
  </w:style>
  <w:style w:type="character" w:customStyle="1" w:styleId="PieddepageCar">
    <w:name w:val="Pied de page Car"/>
    <w:basedOn w:val="Policepardfaut"/>
    <w:link w:val="Pieddepage"/>
    <w:uiPriority w:val="99"/>
    <w:rsid w:val="004E2812"/>
    <w:rPr>
      <w:rFonts w:ascii="Arial" w:eastAsia="Arial" w:hAnsi="Arial" w:cs="Arial"/>
      <w:lang w:val="fr-FR" w:eastAsia="fr-FR"/>
    </w:rPr>
  </w:style>
  <w:style w:type="character" w:customStyle="1" w:styleId="Titre1Car">
    <w:name w:val="Titre 1 Car"/>
    <w:basedOn w:val="Policepardfaut"/>
    <w:link w:val="Titre1"/>
    <w:uiPriority w:val="99"/>
    <w:rsid w:val="004E2812"/>
    <w:rPr>
      <w:rFonts w:ascii="Arial" w:eastAsia="Arial" w:hAnsi="Arial" w:cs="Arial"/>
      <w:sz w:val="40"/>
      <w:szCs w:val="40"/>
      <w:lang w:val="fr-FR" w:eastAsia="fr-FR"/>
    </w:rPr>
  </w:style>
  <w:style w:type="table" w:styleId="Grilledutableau">
    <w:name w:val="Table Grid"/>
    <w:basedOn w:val="TableauNormal"/>
    <w:uiPriority w:val="59"/>
    <w:rsid w:val="004E2812"/>
    <w:pPr>
      <w:spacing w:after="0" w:line="240" w:lineRule="auto"/>
    </w:pPr>
    <w:rPr>
      <w:rFonts w:eastAsiaTheme="minorEastAsia"/>
      <w:lang w:val="fr-FR" w:eastAsia="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basedOn w:val="Policepardfaut"/>
    <w:uiPriority w:val="99"/>
    <w:semiHidden/>
    <w:unhideWhenUsed/>
    <w:rsid w:val="004E2812"/>
    <w:rPr>
      <w:color w:val="0000FF"/>
      <w:u w:val="single"/>
    </w:rPr>
  </w:style>
  <w:style w:type="character" w:customStyle="1" w:styleId="Titre3Car">
    <w:name w:val="Titre 3 Car"/>
    <w:basedOn w:val="Policepardfaut"/>
    <w:link w:val="Titre3"/>
    <w:uiPriority w:val="9"/>
    <w:rsid w:val="00CF7E2A"/>
    <w:rPr>
      <w:rFonts w:asciiTheme="majorHAnsi" w:eastAsiaTheme="majorEastAsia" w:hAnsiTheme="majorHAnsi" w:cstheme="majorBidi"/>
      <w:color w:val="1F3763" w:themeColor="accent1" w:themeShade="7F"/>
      <w:sz w:val="24"/>
      <w:szCs w:val="24"/>
      <w:lang w:val="fr-FR" w:eastAsia="fr-FR"/>
    </w:rPr>
  </w:style>
  <w:style w:type="paragraph" w:customStyle="1" w:styleId="MMTopic1">
    <w:name w:val="MM Topic 1"/>
    <w:basedOn w:val="Titre1"/>
    <w:rsid w:val="0090530A"/>
    <w:pPr>
      <w:numPr>
        <w:numId w:val="6"/>
      </w:numPr>
      <w:tabs>
        <w:tab w:val="num" w:pos="360"/>
      </w:tabs>
      <w:spacing w:before="240" w:after="0" w:line="254" w:lineRule="auto"/>
    </w:pPr>
    <w:rPr>
      <w:rFonts w:asciiTheme="majorHAnsi" w:eastAsiaTheme="majorEastAsia" w:hAnsiTheme="majorHAnsi" w:cstheme="majorBidi"/>
      <w:color w:val="2F5496" w:themeColor="accent1" w:themeShade="BF"/>
      <w:sz w:val="32"/>
      <w:szCs w:val="32"/>
      <w:lang w:eastAsia="en-US"/>
    </w:rPr>
  </w:style>
  <w:style w:type="character" w:customStyle="1" w:styleId="MMTopic2Car">
    <w:name w:val="MM Topic 2 Car"/>
    <w:basedOn w:val="Policepardfaut"/>
    <w:link w:val="MMTopic2"/>
    <w:locked/>
    <w:rsid w:val="0090530A"/>
    <w:rPr>
      <w:rFonts w:asciiTheme="majorHAnsi" w:eastAsiaTheme="majorEastAsia" w:hAnsiTheme="majorHAnsi" w:cs="Calibri Light"/>
      <w:color w:val="2F5496" w:themeColor="accent1" w:themeShade="BF"/>
      <w:sz w:val="26"/>
      <w:szCs w:val="26"/>
    </w:rPr>
  </w:style>
  <w:style w:type="paragraph" w:customStyle="1" w:styleId="MMTopic2">
    <w:name w:val="MM Topic 2"/>
    <w:basedOn w:val="Titre2"/>
    <w:link w:val="MMTopic2Car"/>
    <w:rsid w:val="0090530A"/>
    <w:pPr>
      <w:numPr>
        <w:ilvl w:val="1"/>
        <w:numId w:val="6"/>
      </w:numPr>
      <w:spacing w:line="254" w:lineRule="auto"/>
    </w:pPr>
    <w:rPr>
      <w:rFonts w:cs="Calibri Light"/>
      <w:lang w:val="en-US" w:eastAsia="en-US"/>
    </w:rPr>
  </w:style>
  <w:style w:type="paragraph" w:customStyle="1" w:styleId="MMTopic3">
    <w:name w:val="MM Topic 3"/>
    <w:basedOn w:val="Titre3"/>
    <w:rsid w:val="0090530A"/>
    <w:pPr>
      <w:numPr>
        <w:ilvl w:val="2"/>
        <w:numId w:val="6"/>
      </w:numPr>
      <w:tabs>
        <w:tab w:val="num" w:pos="360"/>
      </w:tabs>
      <w:spacing w:line="254" w:lineRule="auto"/>
      <w:ind w:left="360"/>
    </w:pPr>
    <w:rPr>
      <w:lang w:eastAsia="en-US"/>
    </w:rPr>
  </w:style>
  <w:style w:type="paragraph" w:customStyle="1" w:styleId="MMTopic4">
    <w:name w:val="MM Topic 4"/>
    <w:basedOn w:val="Titre4"/>
    <w:rsid w:val="0090530A"/>
    <w:pPr>
      <w:numPr>
        <w:ilvl w:val="3"/>
        <w:numId w:val="6"/>
      </w:numPr>
      <w:tabs>
        <w:tab w:val="num" w:pos="360"/>
      </w:tabs>
      <w:spacing w:line="254" w:lineRule="auto"/>
      <w:ind w:left="540" w:hanging="360"/>
    </w:pPr>
    <w:rPr>
      <w:sz w:val="28"/>
      <w:szCs w:val="28"/>
      <w:lang w:eastAsia="en-US"/>
    </w:rPr>
  </w:style>
  <w:style w:type="paragraph" w:customStyle="1" w:styleId="MMTopic5">
    <w:name w:val="MM Topic 5"/>
    <w:basedOn w:val="Titre5"/>
    <w:rsid w:val="0090530A"/>
    <w:pPr>
      <w:numPr>
        <w:ilvl w:val="4"/>
        <w:numId w:val="6"/>
      </w:numPr>
      <w:tabs>
        <w:tab w:val="num" w:pos="360"/>
      </w:tabs>
      <w:spacing w:line="254" w:lineRule="auto"/>
      <w:ind w:left="720" w:hanging="360"/>
    </w:pPr>
    <w:rPr>
      <w:sz w:val="28"/>
      <w:szCs w:val="28"/>
      <w:lang w:eastAsia="en-US"/>
    </w:rPr>
  </w:style>
  <w:style w:type="character" w:customStyle="1" w:styleId="Titre2Car">
    <w:name w:val="Titre 2 Car"/>
    <w:basedOn w:val="Policepardfaut"/>
    <w:link w:val="Titre2"/>
    <w:uiPriority w:val="9"/>
    <w:semiHidden/>
    <w:rsid w:val="0090530A"/>
    <w:rPr>
      <w:rFonts w:asciiTheme="majorHAnsi" w:eastAsiaTheme="majorEastAsia" w:hAnsiTheme="majorHAnsi" w:cstheme="majorBidi"/>
      <w:color w:val="2F5496" w:themeColor="accent1" w:themeShade="BF"/>
      <w:sz w:val="26"/>
      <w:szCs w:val="26"/>
      <w:lang w:val="fr-FR" w:eastAsia="fr-FR"/>
    </w:rPr>
  </w:style>
  <w:style w:type="character" w:customStyle="1" w:styleId="Titre4Car">
    <w:name w:val="Titre 4 Car"/>
    <w:basedOn w:val="Policepardfaut"/>
    <w:link w:val="Titre4"/>
    <w:uiPriority w:val="9"/>
    <w:semiHidden/>
    <w:rsid w:val="0090530A"/>
    <w:rPr>
      <w:rFonts w:asciiTheme="majorHAnsi" w:eastAsiaTheme="majorEastAsia" w:hAnsiTheme="majorHAnsi" w:cstheme="majorBidi"/>
      <w:i/>
      <w:iCs/>
      <w:color w:val="2F5496" w:themeColor="accent1" w:themeShade="BF"/>
      <w:lang w:val="fr-FR" w:eastAsia="fr-FR"/>
    </w:rPr>
  </w:style>
  <w:style w:type="character" w:customStyle="1" w:styleId="Titre5Car">
    <w:name w:val="Titre 5 Car"/>
    <w:basedOn w:val="Policepardfaut"/>
    <w:link w:val="Titre5"/>
    <w:uiPriority w:val="9"/>
    <w:semiHidden/>
    <w:rsid w:val="0090530A"/>
    <w:rPr>
      <w:rFonts w:asciiTheme="majorHAnsi" w:eastAsiaTheme="majorEastAsia" w:hAnsiTheme="majorHAnsi" w:cstheme="majorBidi"/>
      <w:color w:val="2F5496" w:themeColor="accent1" w:themeShade="BF"/>
      <w:lang w:val="fr-FR" w:eastAsia="fr-FR"/>
    </w:rPr>
  </w:style>
  <w:style w:type="paragraph" w:styleId="Textedebulles">
    <w:name w:val="Balloon Text"/>
    <w:basedOn w:val="Normal"/>
    <w:link w:val="TextedebullesCar"/>
    <w:uiPriority w:val="99"/>
    <w:semiHidden/>
    <w:unhideWhenUsed/>
    <w:rsid w:val="00F11B57"/>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1B57"/>
    <w:rPr>
      <w:rFonts w:ascii="Tahoma" w:eastAsia="Arial" w:hAnsi="Tahoma" w:cs="Tahoma"/>
      <w:sz w:val="16"/>
      <w:szCs w:val="16"/>
      <w:lang w:val="fr-FR" w:eastAsia="fr-FR"/>
    </w:rPr>
  </w:style>
  <w:style w:type="character" w:styleId="Marquedecommentaire">
    <w:name w:val="annotation reference"/>
    <w:basedOn w:val="Policepardfaut"/>
    <w:uiPriority w:val="99"/>
    <w:semiHidden/>
    <w:unhideWhenUsed/>
    <w:rsid w:val="008865DA"/>
    <w:rPr>
      <w:sz w:val="16"/>
      <w:szCs w:val="16"/>
    </w:rPr>
  </w:style>
  <w:style w:type="paragraph" w:styleId="Commentaire">
    <w:name w:val="annotation text"/>
    <w:basedOn w:val="Normal"/>
    <w:link w:val="CommentaireCar"/>
    <w:uiPriority w:val="99"/>
    <w:semiHidden/>
    <w:unhideWhenUsed/>
    <w:rsid w:val="008865DA"/>
    <w:pPr>
      <w:spacing w:line="240" w:lineRule="auto"/>
    </w:pPr>
    <w:rPr>
      <w:sz w:val="20"/>
      <w:szCs w:val="20"/>
    </w:rPr>
  </w:style>
  <w:style w:type="character" w:customStyle="1" w:styleId="CommentaireCar">
    <w:name w:val="Commentaire Car"/>
    <w:basedOn w:val="Policepardfaut"/>
    <w:link w:val="Commentaire"/>
    <w:uiPriority w:val="99"/>
    <w:semiHidden/>
    <w:rsid w:val="008865DA"/>
    <w:rPr>
      <w:rFonts w:ascii="Arial" w:eastAsia="Arial" w:hAnsi="Arial" w:cs="Arial"/>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C70C52"/>
    <w:rPr>
      <w:b/>
      <w:bCs/>
    </w:rPr>
  </w:style>
  <w:style w:type="character" w:customStyle="1" w:styleId="ObjetducommentaireCar">
    <w:name w:val="Objet du commentaire Car"/>
    <w:basedOn w:val="CommentaireCar"/>
    <w:link w:val="Objetducommentaire"/>
    <w:uiPriority w:val="99"/>
    <w:semiHidden/>
    <w:rsid w:val="00C70C52"/>
    <w:rPr>
      <w:rFonts w:ascii="Arial" w:eastAsia="Arial" w:hAnsi="Arial" w:cs="Arial"/>
      <w:b/>
      <w:bCs/>
      <w:sz w:val="20"/>
      <w:szCs w:val="20"/>
      <w:lang w:val="fr-FR" w:eastAsia="fr-FR"/>
    </w:rPr>
  </w:style>
</w:styles>
</file>

<file path=word/webSettings.xml><?xml version="1.0" encoding="utf-8"?>
<w:webSettings xmlns:r="http://schemas.openxmlformats.org/officeDocument/2006/relationships" xmlns:w="http://schemas.openxmlformats.org/wordprocessingml/2006/main">
  <w:divs>
    <w:div w:id="175655880">
      <w:bodyDiv w:val="1"/>
      <w:marLeft w:val="0"/>
      <w:marRight w:val="0"/>
      <w:marTop w:val="0"/>
      <w:marBottom w:val="0"/>
      <w:divBdr>
        <w:top w:val="none" w:sz="0" w:space="0" w:color="auto"/>
        <w:left w:val="none" w:sz="0" w:space="0" w:color="auto"/>
        <w:bottom w:val="none" w:sz="0" w:space="0" w:color="auto"/>
        <w:right w:val="none" w:sz="0" w:space="0" w:color="auto"/>
      </w:divBdr>
    </w:div>
    <w:div w:id="419178185">
      <w:bodyDiv w:val="1"/>
      <w:marLeft w:val="0"/>
      <w:marRight w:val="0"/>
      <w:marTop w:val="0"/>
      <w:marBottom w:val="0"/>
      <w:divBdr>
        <w:top w:val="none" w:sz="0" w:space="0" w:color="auto"/>
        <w:left w:val="none" w:sz="0" w:space="0" w:color="auto"/>
        <w:bottom w:val="none" w:sz="0" w:space="0" w:color="auto"/>
        <w:right w:val="none" w:sz="0" w:space="0" w:color="auto"/>
      </w:divBdr>
    </w:div>
    <w:div w:id="426734901">
      <w:bodyDiv w:val="1"/>
      <w:marLeft w:val="0"/>
      <w:marRight w:val="0"/>
      <w:marTop w:val="0"/>
      <w:marBottom w:val="0"/>
      <w:divBdr>
        <w:top w:val="none" w:sz="0" w:space="0" w:color="auto"/>
        <w:left w:val="none" w:sz="0" w:space="0" w:color="auto"/>
        <w:bottom w:val="none" w:sz="0" w:space="0" w:color="auto"/>
        <w:right w:val="none" w:sz="0" w:space="0" w:color="auto"/>
      </w:divBdr>
    </w:div>
    <w:div w:id="445737129">
      <w:bodyDiv w:val="1"/>
      <w:marLeft w:val="0"/>
      <w:marRight w:val="0"/>
      <w:marTop w:val="0"/>
      <w:marBottom w:val="0"/>
      <w:divBdr>
        <w:top w:val="none" w:sz="0" w:space="0" w:color="auto"/>
        <w:left w:val="none" w:sz="0" w:space="0" w:color="auto"/>
        <w:bottom w:val="none" w:sz="0" w:space="0" w:color="auto"/>
        <w:right w:val="none" w:sz="0" w:space="0" w:color="auto"/>
      </w:divBdr>
    </w:div>
    <w:div w:id="452749831">
      <w:bodyDiv w:val="1"/>
      <w:marLeft w:val="0"/>
      <w:marRight w:val="0"/>
      <w:marTop w:val="0"/>
      <w:marBottom w:val="0"/>
      <w:divBdr>
        <w:top w:val="none" w:sz="0" w:space="0" w:color="auto"/>
        <w:left w:val="none" w:sz="0" w:space="0" w:color="auto"/>
        <w:bottom w:val="none" w:sz="0" w:space="0" w:color="auto"/>
        <w:right w:val="none" w:sz="0" w:space="0" w:color="auto"/>
      </w:divBdr>
    </w:div>
    <w:div w:id="496729548">
      <w:bodyDiv w:val="1"/>
      <w:marLeft w:val="0"/>
      <w:marRight w:val="0"/>
      <w:marTop w:val="0"/>
      <w:marBottom w:val="0"/>
      <w:divBdr>
        <w:top w:val="none" w:sz="0" w:space="0" w:color="auto"/>
        <w:left w:val="none" w:sz="0" w:space="0" w:color="auto"/>
        <w:bottom w:val="none" w:sz="0" w:space="0" w:color="auto"/>
        <w:right w:val="none" w:sz="0" w:space="0" w:color="auto"/>
      </w:divBdr>
    </w:div>
    <w:div w:id="600844955">
      <w:bodyDiv w:val="1"/>
      <w:marLeft w:val="0"/>
      <w:marRight w:val="0"/>
      <w:marTop w:val="0"/>
      <w:marBottom w:val="0"/>
      <w:divBdr>
        <w:top w:val="none" w:sz="0" w:space="0" w:color="auto"/>
        <w:left w:val="none" w:sz="0" w:space="0" w:color="auto"/>
        <w:bottom w:val="none" w:sz="0" w:space="0" w:color="auto"/>
        <w:right w:val="none" w:sz="0" w:space="0" w:color="auto"/>
      </w:divBdr>
    </w:div>
    <w:div w:id="1022979259">
      <w:bodyDiv w:val="1"/>
      <w:marLeft w:val="0"/>
      <w:marRight w:val="0"/>
      <w:marTop w:val="0"/>
      <w:marBottom w:val="0"/>
      <w:divBdr>
        <w:top w:val="none" w:sz="0" w:space="0" w:color="auto"/>
        <w:left w:val="none" w:sz="0" w:space="0" w:color="auto"/>
        <w:bottom w:val="none" w:sz="0" w:space="0" w:color="auto"/>
        <w:right w:val="none" w:sz="0" w:space="0" w:color="auto"/>
      </w:divBdr>
    </w:div>
    <w:div w:id="1057434266">
      <w:bodyDiv w:val="1"/>
      <w:marLeft w:val="0"/>
      <w:marRight w:val="0"/>
      <w:marTop w:val="0"/>
      <w:marBottom w:val="0"/>
      <w:divBdr>
        <w:top w:val="none" w:sz="0" w:space="0" w:color="auto"/>
        <w:left w:val="none" w:sz="0" w:space="0" w:color="auto"/>
        <w:bottom w:val="none" w:sz="0" w:space="0" w:color="auto"/>
        <w:right w:val="none" w:sz="0" w:space="0" w:color="auto"/>
      </w:divBdr>
    </w:div>
    <w:div w:id="1089472897">
      <w:bodyDiv w:val="1"/>
      <w:marLeft w:val="0"/>
      <w:marRight w:val="0"/>
      <w:marTop w:val="0"/>
      <w:marBottom w:val="0"/>
      <w:divBdr>
        <w:top w:val="none" w:sz="0" w:space="0" w:color="auto"/>
        <w:left w:val="none" w:sz="0" w:space="0" w:color="auto"/>
        <w:bottom w:val="none" w:sz="0" w:space="0" w:color="auto"/>
        <w:right w:val="none" w:sz="0" w:space="0" w:color="auto"/>
      </w:divBdr>
    </w:div>
    <w:div w:id="1127894692">
      <w:bodyDiv w:val="1"/>
      <w:marLeft w:val="0"/>
      <w:marRight w:val="0"/>
      <w:marTop w:val="0"/>
      <w:marBottom w:val="0"/>
      <w:divBdr>
        <w:top w:val="none" w:sz="0" w:space="0" w:color="auto"/>
        <w:left w:val="none" w:sz="0" w:space="0" w:color="auto"/>
        <w:bottom w:val="none" w:sz="0" w:space="0" w:color="auto"/>
        <w:right w:val="none" w:sz="0" w:space="0" w:color="auto"/>
      </w:divBdr>
    </w:div>
    <w:div w:id="1129588669">
      <w:bodyDiv w:val="1"/>
      <w:marLeft w:val="0"/>
      <w:marRight w:val="0"/>
      <w:marTop w:val="0"/>
      <w:marBottom w:val="0"/>
      <w:divBdr>
        <w:top w:val="none" w:sz="0" w:space="0" w:color="auto"/>
        <w:left w:val="none" w:sz="0" w:space="0" w:color="auto"/>
        <w:bottom w:val="none" w:sz="0" w:space="0" w:color="auto"/>
        <w:right w:val="none" w:sz="0" w:space="0" w:color="auto"/>
      </w:divBdr>
    </w:div>
    <w:div w:id="1145273748">
      <w:bodyDiv w:val="1"/>
      <w:marLeft w:val="0"/>
      <w:marRight w:val="0"/>
      <w:marTop w:val="0"/>
      <w:marBottom w:val="0"/>
      <w:divBdr>
        <w:top w:val="none" w:sz="0" w:space="0" w:color="auto"/>
        <w:left w:val="none" w:sz="0" w:space="0" w:color="auto"/>
        <w:bottom w:val="none" w:sz="0" w:space="0" w:color="auto"/>
        <w:right w:val="none" w:sz="0" w:space="0" w:color="auto"/>
      </w:divBdr>
    </w:div>
    <w:div w:id="1356805870">
      <w:bodyDiv w:val="1"/>
      <w:marLeft w:val="0"/>
      <w:marRight w:val="0"/>
      <w:marTop w:val="0"/>
      <w:marBottom w:val="0"/>
      <w:divBdr>
        <w:top w:val="none" w:sz="0" w:space="0" w:color="auto"/>
        <w:left w:val="none" w:sz="0" w:space="0" w:color="auto"/>
        <w:bottom w:val="none" w:sz="0" w:space="0" w:color="auto"/>
        <w:right w:val="none" w:sz="0" w:space="0" w:color="auto"/>
      </w:divBdr>
    </w:div>
    <w:div w:id="1767460827">
      <w:bodyDiv w:val="1"/>
      <w:marLeft w:val="0"/>
      <w:marRight w:val="0"/>
      <w:marTop w:val="0"/>
      <w:marBottom w:val="0"/>
      <w:divBdr>
        <w:top w:val="none" w:sz="0" w:space="0" w:color="auto"/>
        <w:left w:val="none" w:sz="0" w:space="0" w:color="auto"/>
        <w:bottom w:val="none" w:sz="0" w:space="0" w:color="auto"/>
        <w:right w:val="none" w:sz="0" w:space="0" w:color="auto"/>
      </w:divBdr>
    </w:div>
    <w:div w:id="1935433043">
      <w:bodyDiv w:val="1"/>
      <w:marLeft w:val="0"/>
      <w:marRight w:val="0"/>
      <w:marTop w:val="0"/>
      <w:marBottom w:val="0"/>
      <w:divBdr>
        <w:top w:val="none" w:sz="0" w:space="0" w:color="auto"/>
        <w:left w:val="none" w:sz="0" w:space="0" w:color="auto"/>
        <w:bottom w:val="none" w:sz="0" w:space="0" w:color="auto"/>
        <w:right w:val="none" w:sz="0" w:space="0" w:color="auto"/>
      </w:divBdr>
    </w:div>
    <w:div w:id="214711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www.hcp.ma" TargetMode="Externa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nlabroude\Desktop\note%202022\Graphique%20excel%20202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nlabroude\Desktop\note%202022\Graphique%20excel%20202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Taches%20DEE\Publications%20DEE\Publications%20Annuelles\Notes%20Annuelles\Notes%202022\Note%20sur%20la%20situation%20MT%20en%202022\Graphiques\Graphic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nlabroude\Downloads\Graphic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nlabroude\Desktop\note%202022\Graphique%20excel%20202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Kamel\ENE\NoteMarcheTravail\2022\Annuelle\2022%20-%20Note%20sur%20les%20chiffres%20cl&#233;s%20-%20Annexe%201301202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Kamel\ENE\NoteMarcheTravail\2022\Annuelle\2022%20-%20Note%20sur%20les%20chiffres%20cl&#233;s%20-%20Annexe%2013012023.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nlabroude\Desktop\note%202022\2022%20-%20Note%20sur%20les%20chiffres%20cl&#233;s%20-%20Annexe%2013012023.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nlabroude\Desktop\note%202022\2022%20-%20Note%20sur%20les%20chiffres%20cl&#233;s%20-%20Annexe%201301202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lineChart>
        <c:grouping val="standard"/>
        <c:ser>
          <c:idx val="0"/>
          <c:order val="0"/>
          <c:tx>
            <c:strRef>
              <c:f>Feuil1!$C$5</c:f>
              <c:strCache>
                <c:ptCount val="1"/>
                <c:pt idx="0">
                  <c:v>Urbain</c:v>
                </c:pt>
              </c:strCache>
            </c:strRef>
          </c:tx>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vert="horz"/>
              <a:lstStyle/>
              <a:p>
                <a:pPr>
                  <a:defRPr sz="700"/>
                </a:pPr>
                <a:endParaRPr lang="fr-FR"/>
              </a:p>
            </c:txPr>
            <c:dLblPos val="ctr"/>
            <c:showVal val="1"/>
            <c:extLst xmlns:c16r2="http://schemas.microsoft.com/office/drawing/2015/06/char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Feuil1!$B$6:$B$11</c:f>
              <c:strCache>
                <c:ptCount val="6"/>
                <c:pt idx="0">
                  <c:v>2022</c:v>
                </c:pt>
                <c:pt idx="1">
                  <c:v>2021</c:v>
                </c:pt>
                <c:pt idx="2">
                  <c:v>2020</c:v>
                </c:pt>
                <c:pt idx="3">
                  <c:v>2019</c:v>
                </c:pt>
                <c:pt idx="4">
                  <c:v>2018</c:v>
                </c:pt>
                <c:pt idx="5">
                  <c:v>2017</c:v>
                </c:pt>
              </c:strCache>
            </c:strRef>
          </c:cat>
          <c:val>
            <c:numRef>
              <c:f>Feuil1!$C$6:$C$11</c:f>
              <c:numCache>
                <c:formatCode>0.0</c:formatCode>
                <c:ptCount val="6"/>
                <c:pt idx="0">
                  <c:v>41.880820281092241</c:v>
                </c:pt>
                <c:pt idx="1">
                  <c:v>42.3</c:v>
                </c:pt>
                <c:pt idx="2">
                  <c:v>41.9</c:v>
                </c:pt>
                <c:pt idx="3">
                  <c:v>42.3</c:v>
                </c:pt>
                <c:pt idx="4">
                  <c:v>42</c:v>
                </c:pt>
                <c:pt idx="5">
                  <c:v>42.4</c:v>
                </c:pt>
              </c:numCache>
            </c:numRef>
          </c:val>
          <c:extLst xmlns:c16r2="http://schemas.microsoft.com/office/drawing/2015/06/chart">
            <c:ext xmlns:c16="http://schemas.microsoft.com/office/drawing/2014/chart" uri="{C3380CC4-5D6E-409C-BE32-E72D297353CC}">
              <c16:uniqueId val="{00000000-AD35-4158-A186-A158DFE497E0}"/>
            </c:ext>
          </c:extLst>
        </c:ser>
        <c:ser>
          <c:idx val="1"/>
          <c:order val="1"/>
          <c:tx>
            <c:strRef>
              <c:f>Feuil1!$D$5</c:f>
              <c:strCache>
                <c:ptCount val="1"/>
                <c:pt idx="0">
                  <c:v>Rural</c:v>
                </c:pt>
              </c:strCache>
            </c:strRef>
          </c:tx>
          <c:spPr>
            <a:ln w="19050" cap="rnd" cmpd="sng" algn="ctr">
              <a:solidFill>
                <a:schemeClr val="accent2">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vert="horz"/>
              <a:lstStyle/>
              <a:p>
                <a:pPr>
                  <a:defRPr sz="700"/>
                </a:pPr>
                <a:endParaRPr lang="fr-FR"/>
              </a:p>
            </c:txPr>
            <c:dLblPos val="ctr"/>
            <c:showVal val="1"/>
            <c:extLst xmlns:c16r2="http://schemas.microsoft.com/office/drawing/2015/06/char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Feuil1!$B$6:$B$11</c:f>
              <c:strCache>
                <c:ptCount val="6"/>
                <c:pt idx="0">
                  <c:v>2022</c:v>
                </c:pt>
                <c:pt idx="1">
                  <c:v>2021</c:v>
                </c:pt>
                <c:pt idx="2">
                  <c:v>2020</c:v>
                </c:pt>
                <c:pt idx="3">
                  <c:v>2019</c:v>
                </c:pt>
                <c:pt idx="4">
                  <c:v>2018</c:v>
                </c:pt>
                <c:pt idx="5">
                  <c:v>2017</c:v>
                </c:pt>
              </c:strCache>
            </c:strRef>
          </c:cat>
          <c:val>
            <c:numRef>
              <c:f>Feuil1!$D$6:$D$11</c:f>
              <c:numCache>
                <c:formatCode>0.0</c:formatCode>
                <c:ptCount val="6"/>
                <c:pt idx="0">
                  <c:v>49.052945843820019</c:v>
                </c:pt>
                <c:pt idx="1">
                  <c:v>50.9</c:v>
                </c:pt>
                <c:pt idx="2">
                  <c:v>50</c:v>
                </c:pt>
                <c:pt idx="3">
                  <c:v>52.2</c:v>
                </c:pt>
                <c:pt idx="4">
                  <c:v>53.2</c:v>
                </c:pt>
                <c:pt idx="5">
                  <c:v>54.1</c:v>
                </c:pt>
              </c:numCache>
            </c:numRef>
          </c:val>
          <c:extLst xmlns:c16r2="http://schemas.microsoft.com/office/drawing/2015/06/chart">
            <c:ext xmlns:c16="http://schemas.microsoft.com/office/drawing/2014/chart" uri="{C3380CC4-5D6E-409C-BE32-E72D297353CC}">
              <c16:uniqueId val="{00000001-AD35-4158-A186-A158DFE497E0}"/>
            </c:ext>
          </c:extLst>
        </c:ser>
        <c:ser>
          <c:idx val="2"/>
          <c:order val="2"/>
          <c:tx>
            <c:strRef>
              <c:f>Feuil1!$E$5</c:f>
              <c:strCache>
                <c:ptCount val="1"/>
                <c:pt idx="0">
                  <c:v>Ensemble</c:v>
                </c:pt>
              </c:strCache>
            </c:strRef>
          </c:tx>
          <c:spPr>
            <a:ln w="19050" cap="rnd" cmpd="sng" algn="ctr">
              <a:solidFill>
                <a:schemeClr val="accent3">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vert="horz"/>
              <a:lstStyle/>
              <a:p>
                <a:pPr>
                  <a:defRPr sz="700"/>
                </a:pPr>
                <a:endParaRPr lang="fr-FR"/>
              </a:p>
            </c:txPr>
            <c:dLblPos val="ctr"/>
            <c:showVal val="1"/>
            <c:extLst xmlns:c16r2="http://schemas.microsoft.com/office/drawing/2015/06/char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Feuil1!$B$6:$B$11</c:f>
              <c:strCache>
                <c:ptCount val="6"/>
                <c:pt idx="0">
                  <c:v>2022</c:v>
                </c:pt>
                <c:pt idx="1">
                  <c:v>2021</c:v>
                </c:pt>
                <c:pt idx="2">
                  <c:v>2020</c:v>
                </c:pt>
                <c:pt idx="3">
                  <c:v>2019</c:v>
                </c:pt>
                <c:pt idx="4">
                  <c:v>2018</c:v>
                </c:pt>
                <c:pt idx="5">
                  <c:v>2017</c:v>
                </c:pt>
              </c:strCache>
            </c:strRef>
          </c:cat>
          <c:val>
            <c:numRef>
              <c:f>Feuil1!$E$6:$E$11</c:f>
              <c:numCache>
                <c:formatCode>0.0</c:formatCode>
                <c:ptCount val="6"/>
                <c:pt idx="0">
                  <c:v>44.326013157026345</c:v>
                </c:pt>
                <c:pt idx="1">
                  <c:v>45.3</c:v>
                </c:pt>
                <c:pt idx="2">
                  <c:v>44.8</c:v>
                </c:pt>
                <c:pt idx="3">
                  <c:v>45.8</c:v>
                </c:pt>
                <c:pt idx="4">
                  <c:v>46</c:v>
                </c:pt>
                <c:pt idx="5">
                  <c:v>46.7</c:v>
                </c:pt>
              </c:numCache>
            </c:numRef>
          </c:val>
          <c:extLst xmlns:c16r2="http://schemas.microsoft.com/office/drawing/2015/06/chart">
            <c:ext xmlns:c16="http://schemas.microsoft.com/office/drawing/2014/chart" uri="{C3380CC4-5D6E-409C-BE32-E72D297353CC}">
              <c16:uniqueId val="{00000002-AD35-4158-A186-A158DFE497E0}"/>
            </c:ext>
          </c:extLst>
        </c:ser>
        <c:dLbls>
          <c:showVal val="1"/>
        </c:dLbls>
        <c:marker val="1"/>
        <c:axId val="142113792"/>
        <c:axId val="142127872"/>
      </c:lineChart>
      <c:catAx>
        <c:axId val="142113792"/>
        <c:scaling>
          <c:orientation val="maxMin"/>
        </c:scaling>
        <c:axPos val="b"/>
        <c:numFmt formatCode="General" sourceLinked="1"/>
        <c:majorTickMark val="none"/>
        <c:tickLblPos val="nextTo"/>
        <c:spPr>
          <a:noFill/>
          <a:ln w="9525" cap="flat" cmpd="sng" algn="ctr">
            <a:solidFill>
              <a:schemeClr val="dk1">
                <a:lumMod val="15000"/>
                <a:lumOff val="85000"/>
              </a:schemeClr>
            </a:solidFill>
            <a:round/>
          </a:ln>
          <a:effectLst/>
        </c:spPr>
        <c:txPr>
          <a:bodyPr rot="-60000000" vert="horz"/>
          <a:lstStyle/>
          <a:p>
            <a:pPr>
              <a:defRPr sz="700"/>
            </a:pPr>
            <a:endParaRPr lang="fr-FR"/>
          </a:p>
        </c:txPr>
        <c:crossAx val="142127872"/>
        <c:crosses val="autoZero"/>
        <c:auto val="1"/>
        <c:lblAlgn val="ctr"/>
        <c:lblOffset val="100"/>
      </c:catAx>
      <c:valAx>
        <c:axId val="142127872"/>
        <c:scaling>
          <c:orientation val="minMax"/>
          <c:min val="30"/>
        </c:scaling>
        <c:delete val="1"/>
        <c:axPos val="r"/>
        <c:numFmt formatCode="0.0" sourceLinked="1"/>
        <c:majorTickMark val="none"/>
        <c:tickLblPos val="nextTo"/>
        <c:crossAx val="142113792"/>
        <c:crosses val="autoZero"/>
        <c:crossBetween val="between"/>
      </c:valAx>
    </c:plotArea>
    <c:legend>
      <c:legendPos val="b"/>
      <c:spPr>
        <a:noFill/>
        <a:ln>
          <a:noFill/>
        </a:ln>
        <a:effectLst/>
      </c:spPr>
      <c:txPr>
        <a:bodyPr rot="0" vert="horz"/>
        <a:lstStyle/>
        <a:p>
          <a:pPr>
            <a:defRPr sz="700">
              <a:latin typeface="Book Antiqua" pitchFamily="18" charset="0"/>
            </a:defRPr>
          </a:pPr>
          <a:endParaRPr lang="fr-FR"/>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noFill/>
      <a:round/>
    </a:ln>
    <a:effectLst/>
  </c:spPr>
  <c:txPr>
    <a:bodyPr/>
    <a:lstStyle/>
    <a:p>
      <a:pPr>
        <a:defRPr sz="800"/>
      </a:pPr>
      <a:endParaRPr lang="fr-F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lineChart>
        <c:grouping val="standard"/>
        <c:ser>
          <c:idx val="0"/>
          <c:order val="0"/>
          <c:tx>
            <c:strRef>
              <c:f>Feuil1!$C$17</c:f>
              <c:strCache>
                <c:ptCount val="1"/>
                <c:pt idx="0">
                  <c:v>Urbain</c:v>
                </c:pt>
              </c:strCache>
            </c:strRef>
          </c:tx>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vert="horz"/>
              <a:lstStyle/>
              <a:p>
                <a:pPr>
                  <a:defRPr sz="700"/>
                </a:pPr>
                <a:endParaRPr lang="fr-FR"/>
              </a:p>
            </c:txPr>
            <c:dLblPos val="ctr"/>
            <c:showVal val="1"/>
            <c:extLst xmlns:c16r2="http://schemas.microsoft.com/office/drawing/2015/06/char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Feuil1!$B$18:$B$23</c:f>
              <c:numCache>
                <c:formatCode>General</c:formatCode>
                <c:ptCount val="6"/>
                <c:pt idx="0">
                  <c:v>2022</c:v>
                </c:pt>
                <c:pt idx="1">
                  <c:v>2021</c:v>
                </c:pt>
                <c:pt idx="2">
                  <c:v>2020</c:v>
                </c:pt>
                <c:pt idx="3">
                  <c:v>2019</c:v>
                </c:pt>
                <c:pt idx="4">
                  <c:v>2018</c:v>
                </c:pt>
                <c:pt idx="5">
                  <c:v>2017</c:v>
                </c:pt>
              </c:numCache>
            </c:numRef>
          </c:cat>
          <c:val>
            <c:numRef>
              <c:f>Feuil1!$C$18:$C$23</c:f>
              <c:numCache>
                <c:formatCode>0.0</c:formatCode>
                <c:ptCount val="6"/>
                <c:pt idx="0">
                  <c:v>35.25302885950817</c:v>
                </c:pt>
                <c:pt idx="1">
                  <c:v>35.132465021734731</c:v>
                </c:pt>
                <c:pt idx="2">
                  <c:v>35.301154430016965</c:v>
                </c:pt>
                <c:pt idx="3">
                  <c:v>36.885786928316925</c:v>
                </c:pt>
                <c:pt idx="4">
                  <c:v>36.200000000000003</c:v>
                </c:pt>
                <c:pt idx="5">
                  <c:v>36.1</c:v>
                </c:pt>
              </c:numCache>
            </c:numRef>
          </c:val>
          <c:extLst xmlns:c16r2="http://schemas.microsoft.com/office/drawing/2015/06/chart">
            <c:ext xmlns:c16="http://schemas.microsoft.com/office/drawing/2014/chart" uri="{C3380CC4-5D6E-409C-BE32-E72D297353CC}">
              <c16:uniqueId val="{00000000-C0BE-4AB1-988B-84181BE49200}"/>
            </c:ext>
          </c:extLst>
        </c:ser>
        <c:ser>
          <c:idx val="1"/>
          <c:order val="1"/>
          <c:tx>
            <c:strRef>
              <c:f>Feuil1!$D$17</c:f>
              <c:strCache>
                <c:ptCount val="1"/>
                <c:pt idx="0">
                  <c:v>Rural</c:v>
                </c:pt>
              </c:strCache>
            </c:strRef>
          </c:tx>
          <c:spPr>
            <a:ln w="19050" cap="rnd" cmpd="sng" algn="ctr">
              <a:solidFill>
                <a:schemeClr val="accent2">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vert="horz"/>
              <a:lstStyle/>
              <a:p>
                <a:pPr>
                  <a:defRPr sz="700"/>
                </a:pPr>
                <a:endParaRPr lang="fr-FR"/>
              </a:p>
            </c:txPr>
            <c:dLblPos val="ctr"/>
            <c:showVal val="1"/>
            <c:extLst xmlns:c16r2="http://schemas.microsoft.com/office/drawing/2015/06/char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Feuil1!$B$18:$B$23</c:f>
              <c:numCache>
                <c:formatCode>General</c:formatCode>
                <c:ptCount val="6"/>
                <c:pt idx="0">
                  <c:v>2022</c:v>
                </c:pt>
                <c:pt idx="1">
                  <c:v>2021</c:v>
                </c:pt>
                <c:pt idx="2">
                  <c:v>2020</c:v>
                </c:pt>
                <c:pt idx="3">
                  <c:v>2019</c:v>
                </c:pt>
                <c:pt idx="4">
                  <c:v>2018</c:v>
                </c:pt>
                <c:pt idx="5">
                  <c:v>2017</c:v>
                </c:pt>
              </c:numCache>
            </c:numRef>
          </c:cat>
          <c:val>
            <c:numRef>
              <c:f>Feuil1!$D$18:$D$23</c:f>
              <c:numCache>
                <c:formatCode>0.0</c:formatCode>
                <c:ptCount val="6"/>
                <c:pt idx="0">
                  <c:v>46.487233718496043</c:v>
                </c:pt>
                <c:pt idx="1">
                  <c:v>48.390948279903242</c:v>
                </c:pt>
                <c:pt idx="2">
                  <c:v>47.048197213350782</c:v>
                </c:pt>
                <c:pt idx="3">
                  <c:v>50.285586379448276</c:v>
                </c:pt>
                <c:pt idx="4">
                  <c:v>51.3</c:v>
                </c:pt>
                <c:pt idx="5">
                  <c:v>52</c:v>
                </c:pt>
              </c:numCache>
            </c:numRef>
          </c:val>
          <c:extLst xmlns:c16r2="http://schemas.microsoft.com/office/drawing/2015/06/chart">
            <c:ext xmlns:c16="http://schemas.microsoft.com/office/drawing/2014/chart" uri="{C3380CC4-5D6E-409C-BE32-E72D297353CC}">
              <c16:uniqueId val="{00000001-C0BE-4AB1-988B-84181BE49200}"/>
            </c:ext>
          </c:extLst>
        </c:ser>
        <c:ser>
          <c:idx val="2"/>
          <c:order val="2"/>
          <c:tx>
            <c:strRef>
              <c:f>Feuil1!$E$17</c:f>
              <c:strCache>
                <c:ptCount val="1"/>
                <c:pt idx="0">
                  <c:v>Ensemble</c:v>
                </c:pt>
              </c:strCache>
            </c:strRef>
          </c:tx>
          <c:spPr>
            <a:ln w="19050" cap="rnd" cmpd="sng" algn="ctr">
              <a:solidFill>
                <a:schemeClr val="accent3">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vert="horz"/>
              <a:lstStyle/>
              <a:p>
                <a:pPr>
                  <a:defRPr sz="700"/>
                </a:pPr>
                <a:endParaRPr lang="fr-FR"/>
              </a:p>
            </c:txPr>
            <c:dLblPos val="ctr"/>
            <c:showVal val="1"/>
            <c:extLst xmlns:c16r2="http://schemas.microsoft.com/office/drawing/2015/06/char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Feuil1!$B$18:$B$23</c:f>
              <c:numCache>
                <c:formatCode>General</c:formatCode>
                <c:ptCount val="6"/>
                <c:pt idx="0">
                  <c:v>2022</c:v>
                </c:pt>
                <c:pt idx="1">
                  <c:v>2021</c:v>
                </c:pt>
                <c:pt idx="2">
                  <c:v>2020</c:v>
                </c:pt>
                <c:pt idx="3">
                  <c:v>2019</c:v>
                </c:pt>
                <c:pt idx="4">
                  <c:v>2018</c:v>
                </c:pt>
                <c:pt idx="5">
                  <c:v>2017</c:v>
                </c:pt>
              </c:numCache>
            </c:numRef>
          </c:cat>
          <c:val>
            <c:numRef>
              <c:f>Feuil1!$E$18:$E$23</c:f>
              <c:numCache>
                <c:formatCode>0.0</c:formatCode>
                <c:ptCount val="6"/>
                <c:pt idx="0">
                  <c:v>39.083106490986822</c:v>
                </c:pt>
                <c:pt idx="1">
                  <c:v>39.710771946195663</c:v>
                </c:pt>
                <c:pt idx="2">
                  <c:v>39.410733869695704</c:v>
                </c:pt>
                <c:pt idx="3">
                  <c:v>41.635337523246115</c:v>
                </c:pt>
                <c:pt idx="4">
                  <c:v>41.7</c:v>
                </c:pt>
                <c:pt idx="5">
                  <c:v>41.9</c:v>
                </c:pt>
              </c:numCache>
            </c:numRef>
          </c:val>
          <c:extLst xmlns:c16r2="http://schemas.microsoft.com/office/drawing/2015/06/chart">
            <c:ext xmlns:c16="http://schemas.microsoft.com/office/drawing/2014/chart" uri="{C3380CC4-5D6E-409C-BE32-E72D297353CC}">
              <c16:uniqueId val="{00000002-C0BE-4AB1-988B-84181BE49200}"/>
            </c:ext>
          </c:extLst>
        </c:ser>
        <c:dLbls>
          <c:showVal val="1"/>
        </c:dLbls>
        <c:marker val="1"/>
        <c:axId val="142162560"/>
        <c:axId val="142176640"/>
      </c:lineChart>
      <c:catAx>
        <c:axId val="142162560"/>
        <c:scaling>
          <c:orientation val="maxMin"/>
        </c:scaling>
        <c:axPos val="b"/>
        <c:numFmt formatCode="General" sourceLinked="1"/>
        <c:majorTickMark val="none"/>
        <c:tickLblPos val="nextTo"/>
        <c:spPr>
          <a:noFill/>
          <a:ln w="9525" cap="flat" cmpd="sng" algn="ctr">
            <a:solidFill>
              <a:schemeClr val="dk1">
                <a:lumMod val="15000"/>
                <a:lumOff val="85000"/>
              </a:schemeClr>
            </a:solidFill>
            <a:round/>
          </a:ln>
          <a:effectLst/>
        </c:spPr>
        <c:txPr>
          <a:bodyPr rot="-60000000" vert="horz"/>
          <a:lstStyle/>
          <a:p>
            <a:pPr>
              <a:defRPr sz="700"/>
            </a:pPr>
            <a:endParaRPr lang="fr-FR"/>
          </a:p>
        </c:txPr>
        <c:crossAx val="142176640"/>
        <c:crosses val="autoZero"/>
        <c:auto val="1"/>
        <c:lblAlgn val="ctr"/>
        <c:lblOffset val="100"/>
      </c:catAx>
      <c:valAx>
        <c:axId val="142176640"/>
        <c:scaling>
          <c:orientation val="minMax"/>
          <c:min val="20"/>
        </c:scaling>
        <c:delete val="1"/>
        <c:axPos val="r"/>
        <c:numFmt formatCode="0.0" sourceLinked="1"/>
        <c:majorTickMark val="none"/>
        <c:tickLblPos val="nextTo"/>
        <c:crossAx val="142162560"/>
        <c:crosses val="autoZero"/>
        <c:crossBetween val="between"/>
      </c:valAx>
      <c:spPr>
        <a:noFill/>
        <a:ln>
          <a:noFill/>
        </a:ln>
        <a:effectLst/>
      </c:spPr>
    </c:plotArea>
    <c:legend>
      <c:legendPos val="b"/>
      <c:spPr>
        <a:noFill/>
        <a:ln>
          <a:noFill/>
        </a:ln>
        <a:effectLst/>
      </c:spPr>
      <c:txPr>
        <a:bodyPr rot="0" vert="horz"/>
        <a:lstStyle/>
        <a:p>
          <a:pPr>
            <a:defRPr sz="700">
              <a:latin typeface="Book Antiqua" pitchFamily="18" charset="0"/>
            </a:defRPr>
          </a:pPr>
          <a:endParaRPr lang="fr-FR"/>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noFill/>
      <a:round/>
    </a:ln>
    <a:effectLst/>
  </c:spPr>
  <c:txPr>
    <a:bodyPr/>
    <a:lstStyle/>
    <a:p>
      <a:pPr>
        <a:defRPr sz="800"/>
      </a:pPr>
      <a:endParaRPr lang="fr-FR"/>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barChart>
        <c:barDir val="col"/>
        <c:grouping val="clustered"/>
        <c:ser>
          <c:idx val="0"/>
          <c:order val="0"/>
          <c:tx>
            <c:strRef>
              <c:f>Feuil1!$A$3</c:f>
              <c:strCache>
                <c:ptCount val="1"/>
                <c:pt idx="0">
                  <c:v>Emploi rémunéré</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fr-FR"/>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Feuil1!$B$2:$D$2</c:f>
              <c:strCache>
                <c:ptCount val="3"/>
                <c:pt idx="0">
                  <c:v>Urbain</c:v>
                </c:pt>
                <c:pt idx="1">
                  <c:v>Rural</c:v>
                </c:pt>
                <c:pt idx="2">
                  <c:v>Ensemble</c:v>
                </c:pt>
              </c:strCache>
            </c:strRef>
          </c:cat>
          <c:val>
            <c:numRef>
              <c:f>Feuil1!$B$3:$D$3</c:f>
              <c:numCache>
                <c:formatCode>0</c:formatCode>
                <c:ptCount val="3"/>
                <c:pt idx="0">
                  <c:v>161000</c:v>
                </c:pt>
                <c:pt idx="1">
                  <c:v>-25000</c:v>
                </c:pt>
                <c:pt idx="2">
                  <c:v>136000</c:v>
                </c:pt>
              </c:numCache>
            </c:numRef>
          </c:val>
          <c:extLst xmlns:c16r2="http://schemas.microsoft.com/office/drawing/2015/06/chart">
            <c:ext xmlns:c16="http://schemas.microsoft.com/office/drawing/2014/chart" uri="{C3380CC4-5D6E-409C-BE32-E72D297353CC}">
              <c16:uniqueId val="{00000000-D2A2-4FA1-BF74-8F926BEA3750}"/>
            </c:ext>
          </c:extLst>
        </c:ser>
        <c:ser>
          <c:idx val="1"/>
          <c:order val="1"/>
          <c:tx>
            <c:strRef>
              <c:f>Feuil1!$A$4</c:f>
              <c:strCache>
                <c:ptCount val="1"/>
                <c:pt idx="0">
                  <c:v>Emploi non rémunéré</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fr-FR"/>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Feuil1!$B$2:$D$2</c:f>
              <c:strCache>
                <c:ptCount val="3"/>
                <c:pt idx="0">
                  <c:v>Urbain</c:v>
                </c:pt>
                <c:pt idx="1">
                  <c:v>Rural</c:v>
                </c:pt>
                <c:pt idx="2">
                  <c:v>Ensemble</c:v>
                </c:pt>
              </c:strCache>
            </c:strRef>
          </c:cat>
          <c:val>
            <c:numRef>
              <c:f>Feuil1!$B$4:$D$4</c:f>
              <c:numCache>
                <c:formatCode>0</c:formatCode>
                <c:ptCount val="3"/>
                <c:pt idx="0">
                  <c:v>-10000</c:v>
                </c:pt>
                <c:pt idx="1">
                  <c:v>-150000</c:v>
                </c:pt>
                <c:pt idx="2">
                  <c:v>-160000</c:v>
                </c:pt>
              </c:numCache>
            </c:numRef>
          </c:val>
          <c:extLst xmlns:c16r2="http://schemas.microsoft.com/office/drawing/2015/06/chart">
            <c:ext xmlns:c16="http://schemas.microsoft.com/office/drawing/2014/chart" uri="{C3380CC4-5D6E-409C-BE32-E72D297353CC}">
              <c16:uniqueId val="{00000001-D2A2-4FA1-BF74-8F926BEA3750}"/>
            </c:ext>
          </c:extLst>
        </c:ser>
        <c:ser>
          <c:idx val="2"/>
          <c:order val="2"/>
          <c:tx>
            <c:strRef>
              <c:f>Feuil1!$A$5</c:f>
              <c:strCache>
                <c:ptCount val="1"/>
                <c:pt idx="0">
                  <c:v>Ensemble</c:v>
                </c:pt>
              </c:strCache>
            </c:strRef>
          </c:tx>
          <c:spPr>
            <a:solidFill>
              <a:schemeClr val="accent3"/>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fr-FR"/>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Feuil1!$B$2:$D$2</c:f>
              <c:strCache>
                <c:ptCount val="3"/>
                <c:pt idx="0">
                  <c:v>Urbain</c:v>
                </c:pt>
                <c:pt idx="1">
                  <c:v>Rural</c:v>
                </c:pt>
                <c:pt idx="2">
                  <c:v>Ensemble</c:v>
                </c:pt>
              </c:strCache>
            </c:strRef>
          </c:cat>
          <c:val>
            <c:numRef>
              <c:f>Feuil1!$B$5:$D$5</c:f>
              <c:numCache>
                <c:formatCode>0</c:formatCode>
                <c:ptCount val="3"/>
                <c:pt idx="0">
                  <c:v>150000</c:v>
                </c:pt>
                <c:pt idx="1">
                  <c:v>-174000</c:v>
                </c:pt>
                <c:pt idx="2">
                  <c:v>-24000</c:v>
                </c:pt>
              </c:numCache>
            </c:numRef>
          </c:val>
          <c:extLst xmlns:c16r2="http://schemas.microsoft.com/office/drawing/2015/06/chart">
            <c:ext xmlns:c16="http://schemas.microsoft.com/office/drawing/2014/chart" uri="{C3380CC4-5D6E-409C-BE32-E72D297353CC}">
              <c16:uniqueId val="{00000002-D2A2-4FA1-BF74-8F926BEA3750}"/>
            </c:ext>
          </c:extLst>
        </c:ser>
        <c:dLbls>
          <c:showVal val="1"/>
        </c:dLbls>
        <c:gapWidth val="219"/>
        <c:overlap val="-27"/>
        <c:axId val="142228480"/>
        <c:axId val="142238464"/>
      </c:barChart>
      <c:catAx>
        <c:axId val="142228480"/>
        <c:scaling>
          <c:orientation val="minMax"/>
        </c:scaling>
        <c:axPos val="b"/>
        <c:numFmt formatCode="General" sourceLinked="1"/>
        <c:maj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Book Antiqua" pitchFamily="18" charset="0"/>
                <a:ea typeface="+mn-ea"/>
                <a:cs typeface="+mn-cs"/>
              </a:defRPr>
            </a:pPr>
            <a:endParaRPr lang="fr-FR"/>
          </a:p>
        </c:txPr>
        <c:crossAx val="142238464"/>
        <c:crosses val="autoZero"/>
        <c:auto val="1"/>
        <c:lblAlgn val="ctr"/>
        <c:lblOffset val="100"/>
      </c:catAx>
      <c:valAx>
        <c:axId val="142238464"/>
        <c:scaling>
          <c:orientation val="minMax"/>
        </c:scaling>
        <c:delete val="1"/>
        <c:axPos val="l"/>
        <c:numFmt formatCode="0" sourceLinked="1"/>
        <c:majorTickMark val="none"/>
        <c:tickLblPos val="nextTo"/>
        <c:crossAx val="142228480"/>
        <c:crosses val="autoZero"/>
        <c:crossBetween val="between"/>
      </c:valAx>
      <c:spPr>
        <a:noFill/>
        <a:ln>
          <a:noFill/>
        </a:ln>
        <a:effectLst/>
      </c:spPr>
    </c:plotArea>
    <c:legend>
      <c:legendPos val="t"/>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Book Antiqua" pitchFamily="18" charset="0"/>
              <a:ea typeface="+mn-ea"/>
              <a:cs typeface="+mn-cs"/>
            </a:defRPr>
          </a:pPr>
          <a:endParaRPr lang="fr-FR"/>
        </a:p>
      </c:txPr>
    </c:legend>
    <c:plotVisOnly val="1"/>
    <c:dispBlanksAs val="gap"/>
  </c:chart>
  <c:spPr>
    <a:noFill/>
    <a:ln w="9525" cap="flat" cmpd="sng" algn="ctr">
      <a:noFill/>
      <a:round/>
    </a:ln>
    <a:effectLst/>
  </c:spPr>
  <c:txPr>
    <a:bodyPr/>
    <a:lstStyle/>
    <a:p>
      <a:pPr>
        <a:defRPr/>
      </a:pPr>
      <a:endParaRPr lang="fr-FR"/>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barChart>
        <c:barDir val="col"/>
        <c:grouping val="clustered"/>
        <c:ser>
          <c:idx val="0"/>
          <c:order val="0"/>
          <c:tx>
            <c:strRef>
              <c:f>Secteur!$B$1</c:f>
              <c:strCache>
                <c:ptCount val="1"/>
                <c:pt idx="0">
                  <c:v>Urbain</c:v>
                </c:pt>
              </c:strCache>
            </c:strRef>
          </c:tx>
          <c:spPr>
            <a:solidFill>
              <a:schemeClr val="accent1"/>
            </a:solidFill>
            <a:ln>
              <a:noFill/>
            </a:ln>
            <a:effectLst/>
          </c:spPr>
          <c:dLbls>
            <c:dLbl>
              <c:idx val="1"/>
              <c:layout>
                <c:manualLayout>
                  <c:x val="-5.0032018522089714E-3"/>
                  <c:y val="5.845490342283397E-3"/>
                </c:manualLayout>
              </c:layout>
              <c:dLblPos val="outEnd"/>
              <c:showVal val="1"/>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fr-FR"/>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Secteur!$A$2:$A$5</c:f>
              <c:strCache>
                <c:ptCount val="4"/>
                <c:pt idx="0">
                  <c:v>Agriculture, forêt et pêche</c:v>
                </c:pt>
                <c:pt idx="1">
                  <c:v>Industrie y compris l’artisanat </c:v>
                </c:pt>
                <c:pt idx="2">
                  <c:v>BTP</c:v>
                </c:pt>
                <c:pt idx="3">
                  <c:v>Services</c:v>
                </c:pt>
              </c:strCache>
            </c:strRef>
          </c:cat>
          <c:val>
            <c:numRef>
              <c:f>Secteur!$B$2:$B$5</c:f>
              <c:numCache>
                <c:formatCode>0</c:formatCode>
                <c:ptCount val="4"/>
                <c:pt idx="0">
                  <c:v>-10000</c:v>
                </c:pt>
                <c:pt idx="1">
                  <c:v>16000</c:v>
                </c:pt>
                <c:pt idx="2">
                  <c:v>8000</c:v>
                </c:pt>
                <c:pt idx="3">
                  <c:v>137000</c:v>
                </c:pt>
              </c:numCache>
            </c:numRef>
          </c:val>
          <c:extLst xmlns:c16r2="http://schemas.microsoft.com/office/drawing/2015/06/chart">
            <c:ext xmlns:c16="http://schemas.microsoft.com/office/drawing/2014/chart" uri="{C3380CC4-5D6E-409C-BE32-E72D297353CC}">
              <c16:uniqueId val="{00000000-61F8-4625-A5EB-0CF21C0ED6A2}"/>
            </c:ext>
          </c:extLst>
        </c:ser>
        <c:ser>
          <c:idx val="1"/>
          <c:order val="1"/>
          <c:tx>
            <c:strRef>
              <c:f>Secteur!$C$1</c:f>
              <c:strCache>
                <c:ptCount val="1"/>
                <c:pt idx="0">
                  <c:v>Rural</c:v>
                </c:pt>
              </c:strCache>
            </c:strRef>
          </c:tx>
          <c:spPr>
            <a:solidFill>
              <a:schemeClr val="accent2"/>
            </a:solidFill>
            <a:ln>
              <a:noFill/>
            </a:ln>
            <a:effectLst/>
          </c:spPr>
          <c:dLbls>
            <c:dLbl>
              <c:idx val="0"/>
              <c:layout>
                <c:manualLayout>
                  <c:x val="-2.2514408334940329E-2"/>
                  <c:y val="5.845490342283397E-3"/>
                </c:manualLayout>
              </c:layout>
              <c:dLblPos val="outEnd"/>
              <c:showVal val="1"/>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mn-lt"/>
                    <a:ea typeface="+mn-ea"/>
                    <a:cs typeface="+mn-cs"/>
                  </a:defRPr>
                </a:pPr>
                <a:endParaRPr lang="fr-FR"/>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Secteur!$A$2:$A$5</c:f>
              <c:strCache>
                <c:ptCount val="4"/>
                <c:pt idx="0">
                  <c:v>Agriculture, forêt et pêche</c:v>
                </c:pt>
                <c:pt idx="1">
                  <c:v>Industrie y compris l’artisanat </c:v>
                </c:pt>
                <c:pt idx="2">
                  <c:v>BTP</c:v>
                </c:pt>
                <c:pt idx="3">
                  <c:v>Services</c:v>
                </c:pt>
              </c:strCache>
            </c:strRef>
          </c:cat>
          <c:val>
            <c:numRef>
              <c:f>Secteur!$C$2:$C$5</c:f>
              <c:numCache>
                <c:formatCode>0</c:formatCode>
                <c:ptCount val="4"/>
                <c:pt idx="0">
                  <c:v>-205000</c:v>
                </c:pt>
                <c:pt idx="1">
                  <c:v>12000</c:v>
                </c:pt>
                <c:pt idx="2">
                  <c:v>-9000</c:v>
                </c:pt>
                <c:pt idx="3">
                  <c:v>28000</c:v>
                </c:pt>
              </c:numCache>
            </c:numRef>
          </c:val>
          <c:extLst xmlns:c16r2="http://schemas.microsoft.com/office/drawing/2015/06/chart">
            <c:ext xmlns:c16="http://schemas.microsoft.com/office/drawing/2014/chart" uri="{C3380CC4-5D6E-409C-BE32-E72D297353CC}">
              <c16:uniqueId val="{00000001-61F8-4625-A5EB-0CF21C0ED6A2}"/>
            </c:ext>
          </c:extLst>
        </c:ser>
        <c:ser>
          <c:idx val="2"/>
          <c:order val="2"/>
          <c:tx>
            <c:strRef>
              <c:f>Secteur!$D$1</c:f>
              <c:strCache>
                <c:ptCount val="1"/>
                <c:pt idx="0">
                  <c:v>National</c:v>
                </c:pt>
              </c:strCache>
            </c:strRef>
          </c:tx>
          <c:spPr>
            <a:solidFill>
              <a:schemeClr val="accent3"/>
            </a:solidFill>
            <a:ln>
              <a:noFill/>
            </a:ln>
            <a:effectLst/>
          </c:spPr>
          <c:dLbls>
            <c:dLbl>
              <c:idx val="1"/>
              <c:layout>
                <c:manualLayout>
                  <c:x val="1.0006403704417971E-2"/>
                  <c:y val="0"/>
                </c:manualLayout>
              </c:layout>
              <c:dLblPos val="outEnd"/>
              <c:showVal val="1"/>
            </c:dLbl>
            <c:dLbl>
              <c:idx val="2"/>
              <c:layout>
                <c:manualLayout>
                  <c:x val="7.50480277831337E-3"/>
                  <c:y val="0"/>
                </c:manualLayout>
              </c:layout>
              <c:dLblPos val="outEnd"/>
              <c:showVal val="1"/>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mn-lt"/>
                    <a:ea typeface="+mn-ea"/>
                    <a:cs typeface="+mn-cs"/>
                  </a:defRPr>
                </a:pPr>
                <a:endParaRPr lang="fr-FR"/>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Secteur!$A$2:$A$5</c:f>
              <c:strCache>
                <c:ptCount val="4"/>
                <c:pt idx="0">
                  <c:v>Agriculture, forêt et pêche</c:v>
                </c:pt>
                <c:pt idx="1">
                  <c:v>Industrie y compris l’artisanat </c:v>
                </c:pt>
                <c:pt idx="2">
                  <c:v>BTP</c:v>
                </c:pt>
                <c:pt idx="3">
                  <c:v>Services</c:v>
                </c:pt>
              </c:strCache>
            </c:strRef>
          </c:cat>
          <c:val>
            <c:numRef>
              <c:f>Secteur!$D$2:$D$5</c:f>
              <c:numCache>
                <c:formatCode>0</c:formatCode>
                <c:ptCount val="4"/>
                <c:pt idx="0">
                  <c:v>-215000</c:v>
                </c:pt>
                <c:pt idx="1">
                  <c:v>28000</c:v>
                </c:pt>
                <c:pt idx="2">
                  <c:v>-1000</c:v>
                </c:pt>
                <c:pt idx="3">
                  <c:v>164000</c:v>
                </c:pt>
              </c:numCache>
            </c:numRef>
          </c:val>
          <c:extLst xmlns:c16r2="http://schemas.microsoft.com/office/drawing/2015/06/chart">
            <c:ext xmlns:c16="http://schemas.microsoft.com/office/drawing/2014/chart" uri="{C3380CC4-5D6E-409C-BE32-E72D297353CC}">
              <c16:uniqueId val="{00000002-61F8-4625-A5EB-0CF21C0ED6A2}"/>
            </c:ext>
          </c:extLst>
        </c:ser>
        <c:dLbls>
          <c:showVal val="1"/>
        </c:dLbls>
        <c:gapWidth val="219"/>
        <c:overlap val="-27"/>
        <c:axId val="142292864"/>
        <c:axId val="142294400"/>
      </c:barChart>
      <c:catAx>
        <c:axId val="142292864"/>
        <c:scaling>
          <c:orientation val="minMax"/>
        </c:scaling>
        <c:axPos val="b"/>
        <c:numFmt formatCode="General" sourceLinked="1"/>
        <c:maj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Book Antiqua" pitchFamily="18" charset="0"/>
                <a:ea typeface="+mn-ea"/>
                <a:cs typeface="+mn-cs"/>
              </a:defRPr>
            </a:pPr>
            <a:endParaRPr lang="fr-FR"/>
          </a:p>
        </c:txPr>
        <c:crossAx val="142294400"/>
        <c:crosses val="autoZero"/>
        <c:auto val="1"/>
        <c:lblAlgn val="ctr"/>
        <c:lblOffset val="100"/>
      </c:catAx>
      <c:valAx>
        <c:axId val="142294400"/>
        <c:scaling>
          <c:orientation val="minMax"/>
        </c:scaling>
        <c:delete val="1"/>
        <c:axPos val="l"/>
        <c:numFmt formatCode="0" sourceLinked="1"/>
        <c:majorTickMark val="none"/>
        <c:tickLblPos val="nextTo"/>
        <c:crossAx val="142292864"/>
        <c:crosses val="autoZero"/>
        <c:crossBetween val="between"/>
      </c:valAx>
      <c:spPr>
        <a:noFill/>
        <a:ln>
          <a:noFill/>
        </a:ln>
        <a:effectLst/>
      </c:spPr>
    </c:plotArea>
    <c:legend>
      <c:legendPos val="t"/>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Book Antiqua" pitchFamily="18" charset="0"/>
              <a:ea typeface="+mn-ea"/>
              <a:cs typeface="+mn-cs"/>
            </a:defRPr>
          </a:pPr>
          <a:endParaRPr lang="fr-FR"/>
        </a:p>
      </c:txPr>
    </c:legend>
    <c:plotVisOnly val="1"/>
    <c:dispBlanksAs val="gap"/>
  </c:chart>
  <c:spPr>
    <a:solidFill>
      <a:schemeClr val="bg1"/>
    </a:solidFill>
    <a:ln w="9525" cap="flat" cmpd="sng" algn="ctr">
      <a:noFill/>
      <a:round/>
    </a:ln>
    <a:effectLst/>
  </c:spPr>
  <c:txPr>
    <a:bodyPr/>
    <a:lstStyle/>
    <a:p>
      <a:pPr>
        <a:defRPr/>
      </a:pPr>
      <a:endParaRPr lang="fr-FR"/>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lineChart>
        <c:grouping val="standard"/>
        <c:ser>
          <c:idx val="0"/>
          <c:order val="0"/>
          <c:tx>
            <c:strRef>
              <c:f>Feuil1!$C$65</c:f>
              <c:strCache>
                <c:ptCount val="1"/>
                <c:pt idx="0">
                  <c:v>Urbain</c:v>
                </c:pt>
              </c:strCache>
            </c:strRef>
          </c:tx>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vert="horz"/>
              <a:lstStyle/>
              <a:p>
                <a:pPr>
                  <a:defRPr/>
                </a:pPr>
                <a:endParaRPr lang="fr-FR"/>
              </a:p>
            </c:txPr>
            <c:dLblPos val="ctr"/>
            <c:showVal val="1"/>
            <c:extLst xmlns:c16r2="http://schemas.microsoft.com/office/drawing/2015/06/char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Feuil1!$B$66:$B$71</c:f>
              <c:numCache>
                <c:formatCode>General</c:formatCode>
                <c:ptCount val="6"/>
                <c:pt idx="0">
                  <c:v>2022</c:v>
                </c:pt>
                <c:pt idx="1">
                  <c:v>2021</c:v>
                </c:pt>
                <c:pt idx="2">
                  <c:v>2020</c:v>
                </c:pt>
                <c:pt idx="3">
                  <c:v>2019</c:v>
                </c:pt>
                <c:pt idx="4">
                  <c:v>2018</c:v>
                </c:pt>
                <c:pt idx="5">
                  <c:v>2017</c:v>
                </c:pt>
              </c:numCache>
            </c:numRef>
          </c:cat>
          <c:val>
            <c:numRef>
              <c:f>Feuil1!$C$66:$C$71</c:f>
              <c:numCache>
                <c:formatCode>#,##0.0</c:formatCode>
                <c:ptCount val="6"/>
                <c:pt idx="0">
                  <c:v>15.8253620084378</c:v>
                </c:pt>
                <c:pt idx="1">
                  <c:v>16.899999999999999</c:v>
                </c:pt>
                <c:pt idx="2">
                  <c:v>15.8</c:v>
                </c:pt>
                <c:pt idx="3">
                  <c:v>12.9</c:v>
                </c:pt>
                <c:pt idx="4">
                  <c:v>13.8</c:v>
                </c:pt>
                <c:pt idx="5">
                  <c:v>14.7</c:v>
                </c:pt>
              </c:numCache>
            </c:numRef>
          </c:val>
          <c:extLst xmlns:c16r2="http://schemas.microsoft.com/office/drawing/2015/06/chart">
            <c:ext xmlns:c16="http://schemas.microsoft.com/office/drawing/2014/chart" uri="{C3380CC4-5D6E-409C-BE32-E72D297353CC}">
              <c16:uniqueId val="{00000000-C0BE-4AB1-988B-84181BE49200}"/>
            </c:ext>
          </c:extLst>
        </c:ser>
        <c:ser>
          <c:idx val="1"/>
          <c:order val="1"/>
          <c:tx>
            <c:strRef>
              <c:f>Feuil1!$D$65</c:f>
              <c:strCache>
                <c:ptCount val="1"/>
                <c:pt idx="0">
                  <c:v>Rural</c:v>
                </c:pt>
              </c:strCache>
            </c:strRef>
          </c:tx>
          <c:spPr>
            <a:ln w="19050" cap="rnd" cmpd="sng" algn="ctr">
              <a:solidFill>
                <a:schemeClr val="accent2">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vert="horz"/>
              <a:lstStyle/>
              <a:p>
                <a:pPr>
                  <a:defRPr/>
                </a:pPr>
                <a:endParaRPr lang="fr-FR"/>
              </a:p>
            </c:txPr>
            <c:dLblPos val="ctr"/>
            <c:showVal val="1"/>
            <c:extLst xmlns:c16r2="http://schemas.microsoft.com/office/drawing/2015/06/char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Feuil1!$B$66:$B$71</c:f>
              <c:numCache>
                <c:formatCode>General</c:formatCode>
                <c:ptCount val="6"/>
                <c:pt idx="0">
                  <c:v>2022</c:v>
                </c:pt>
                <c:pt idx="1">
                  <c:v>2021</c:v>
                </c:pt>
                <c:pt idx="2">
                  <c:v>2020</c:v>
                </c:pt>
                <c:pt idx="3">
                  <c:v>2019</c:v>
                </c:pt>
                <c:pt idx="4">
                  <c:v>2018</c:v>
                </c:pt>
                <c:pt idx="5">
                  <c:v>2017</c:v>
                </c:pt>
              </c:numCache>
            </c:numRef>
          </c:cat>
          <c:val>
            <c:numRef>
              <c:f>Feuil1!$D$66:$D$71</c:f>
              <c:numCache>
                <c:formatCode>#,##0.0</c:formatCode>
                <c:ptCount val="6"/>
                <c:pt idx="0">
                  <c:v>5.2304955007036824</c:v>
                </c:pt>
                <c:pt idx="1">
                  <c:v>5</c:v>
                </c:pt>
                <c:pt idx="2">
                  <c:v>5.9</c:v>
                </c:pt>
                <c:pt idx="3">
                  <c:v>3.7</c:v>
                </c:pt>
                <c:pt idx="4">
                  <c:v>3.6</c:v>
                </c:pt>
                <c:pt idx="5">
                  <c:v>4</c:v>
                </c:pt>
              </c:numCache>
            </c:numRef>
          </c:val>
          <c:extLst xmlns:c16r2="http://schemas.microsoft.com/office/drawing/2015/06/chart">
            <c:ext xmlns:c16="http://schemas.microsoft.com/office/drawing/2014/chart" uri="{C3380CC4-5D6E-409C-BE32-E72D297353CC}">
              <c16:uniqueId val="{00000001-C0BE-4AB1-988B-84181BE49200}"/>
            </c:ext>
          </c:extLst>
        </c:ser>
        <c:ser>
          <c:idx val="2"/>
          <c:order val="2"/>
          <c:tx>
            <c:strRef>
              <c:f>Feuil1!$E$65</c:f>
              <c:strCache>
                <c:ptCount val="1"/>
                <c:pt idx="0">
                  <c:v>Ensemble</c:v>
                </c:pt>
              </c:strCache>
            </c:strRef>
          </c:tx>
          <c:spPr>
            <a:ln w="19050" cap="rnd" cmpd="sng" algn="ctr">
              <a:solidFill>
                <a:schemeClr val="accent3">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vert="horz"/>
              <a:lstStyle/>
              <a:p>
                <a:pPr>
                  <a:defRPr/>
                </a:pPr>
                <a:endParaRPr lang="fr-FR"/>
              </a:p>
            </c:txPr>
            <c:dLblPos val="ctr"/>
            <c:showVal val="1"/>
            <c:extLst xmlns:c16r2="http://schemas.microsoft.com/office/drawing/2015/06/char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Feuil1!$B$66:$B$71</c:f>
              <c:numCache>
                <c:formatCode>General</c:formatCode>
                <c:ptCount val="6"/>
                <c:pt idx="0">
                  <c:v>2022</c:v>
                </c:pt>
                <c:pt idx="1">
                  <c:v>2021</c:v>
                </c:pt>
                <c:pt idx="2">
                  <c:v>2020</c:v>
                </c:pt>
                <c:pt idx="3">
                  <c:v>2019</c:v>
                </c:pt>
                <c:pt idx="4">
                  <c:v>2018</c:v>
                </c:pt>
                <c:pt idx="5">
                  <c:v>2017</c:v>
                </c:pt>
              </c:numCache>
            </c:numRef>
          </c:cat>
          <c:val>
            <c:numRef>
              <c:f>Feuil1!$E$66:$E$71</c:f>
              <c:numCache>
                <c:formatCode>#,##0.0</c:formatCode>
                <c:ptCount val="6"/>
                <c:pt idx="0">
                  <c:v>11.828058272390148</c:v>
                </c:pt>
                <c:pt idx="1">
                  <c:v>12.3</c:v>
                </c:pt>
                <c:pt idx="2">
                  <c:v>11.9</c:v>
                </c:pt>
                <c:pt idx="3">
                  <c:v>9.2000000000000011</c:v>
                </c:pt>
                <c:pt idx="4">
                  <c:v>9.5</c:v>
                </c:pt>
                <c:pt idx="5">
                  <c:v>10.200000000000001</c:v>
                </c:pt>
              </c:numCache>
            </c:numRef>
          </c:val>
          <c:extLst xmlns:c16r2="http://schemas.microsoft.com/office/drawing/2015/06/chart">
            <c:ext xmlns:c16="http://schemas.microsoft.com/office/drawing/2014/chart" uri="{C3380CC4-5D6E-409C-BE32-E72D297353CC}">
              <c16:uniqueId val="{00000002-C0BE-4AB1-988B-84181BE49200}"/>
            </c:ext>
          </c:extLst>
        </c:ser>
        <c:dLbls>
          <c:showVal val="1"/>
        </c:dLbls>
        <c:marker val="1"/>
        <c:axId val="142329344"/>
        <c:axId val="142330880"/>
      </c:lineChart>
      <c:catAx>
        <c:axId val="142329344"/>
        <c:scaling>
          <c:orientation val="maxMin"/>
        </c:scaling>
        <c:axPos val="b"/>
        <c:numFmt formatCode="General" sourceLinked="1"/>
        <c:majorTickMark val="none"/>
        <c:tickLblPos val="nextTo"/>
        <c:spPr>
          <a:noFill/>
          <a:ln w="9525" cap="flat" cmpd="sng" algn="ctr">
            <a:solidFill>
              <a:schemeClr val="dk1">
                <a:lumMod val="15000"/>
                <a:lumOff val="85000"/>
              </a:schemeClr>
            </a:solidFill>
            <a:round/>
          </a:ln>
          <a:effectLst/>
        </c:spPr>
        <c:txPr>
          <a:bodyPr rot="-60000000" vert="horz"/>
          <a:lstStyle/>
          <a:p>
            <a:pPr>
              <a:defRPr/>
            </a:pPr>
            <a:endParaRPr lang="fr-FR"/>
          </a:p>
        </c:txPr>
        <c:crossAx val="142330880"/>
        <c:crosses val="autoZero"/>
        <c:auto val="1"/>
        <c:lblAlgn val="ctr"/>
        <c:lblOffset val="100"/>
      </c:catAx>
      <c:valAx>
        <c:axId val="142330880"/>
        <c:scaling>
          <c:orientation val="minMax"/>
          <c:min val="0"/>
        </c:scaling>
        <c:delete val="1"/>
        <c:axPos val="r"/>
        <c:numFmt formatCode="#,##0.0" sourceLinked="1"/>
        <c:majorTickMark val="none"/>
        <c:tickLblPos val="nextTo"/>
        <c:crossAx val="142329344"/>
        <c:crosses val="autoZero"/>
        <c:crossBetween val="between"/>
      </c:valAx>
      <c:spPr>
        <a:noFill/>
        <a:ln>
          <a:noFill/>
        </a:ln>
        <a:effectLst/>
      </c:spPr>
    </c:plotArea>
    <c:legend>
      <c:legendPos val="b"/>
      <c:spPr>
        <a:noFill/>
        <a:ln>
          <a:noFill/>
        </a:ln>
        <a:effectLst/>
      </c:spPr>
      <c:txPr>
        <a:bodyPr rot="0" vert="horz"/>
        <a:lstStyle/>
        <a:p>
          <a:pPr>
            <a:defRPr/>
          </a:pPr>
          <a:endParaRPr lang="fr-FR"/>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noFill/>
      <a:round/>
    </a:ln>
    <a:effectLst/>
  </c:spPr>
  <c:txPr>
    <a:bodyPr/>
    <a:lstStyle/>
    <a:p>
      <a:pPr>
        <a:defRPr sz="800"/>
      </a:pPr>
      <a:endParaRPr lang="fr-FR"/>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barChart>
        <c:barDir val="col"/>
        <c:grouping val="clustered"/>
        <c:ser>
          <c:idx val="0"/>
          <c:order val="0"/>
          <c:tx>
            <c:strRef>
              <c:f>'[2022 - Note sur les chiffres clés - Annexe 13012023.xlsx]Feuil1'!$D$34</c:f>
              <c:strCache>
                <c:ptCount val="1"/>
                <c:pt idx="0">
                  <c:v>2021</c:v>
                </c:pt>
              </c:strCache>
            </c:strRef>
          </c:tx>
          <c:spPr>
            <a:solidFill>
              <a:schemeClr val="accent3"/>
            </a:solidFill>
            <a:ln>
              <a:noFill/>
            </a:ln>
            <a:effectLst/>
          </c:spPr>
          <c:dLbls>
            <c:spPr>
              <a:noFill/>
              <a:ln>
                <a:noFill/>
              </a:ln>
              <a:effectLst/>
            </c:spPr>
            <c:txPr>
              <a:bodyPr rot="0" vert="horz"/>
              <a:lstStyle/>
              <a:p>
                <a:pPr>
                  <a:defRPr sz="800"/>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'[2022 - Note sur les chiffres clés - Annexe 13012023.xlsx]Feuil1'!$C$35:$C$42</c:f>
              <c:strCache>
                <c:ptCount val="8"/>
                <c:pt idx="0">
                  <c:v>Urbain</c:v>
                </c:pt>
                <c:pt idx="1">
                  <c:v>Rural</c:v>
                </c:pt>
                <c:pt idx="2">
                  <c:v>Masculain</c:v>
                </c:pt>
                <c:pt idx="3">
                  <c:v>Féminin</c:v>
                </c:pt>
                <c:pt idx="4">
                  <c:v>15-24 ans</c:v>
                </c:pt>
                <c:pt idx="5">
                  <c:v>Aucun diplôme</c:v>
                </c:pt>
                <c:pt idx="6">
                  <c:v>Ayant un diplôme</c:v>
                </c:pt>
                <c:pt idx="7">
                  <c:v>National</c:v>
                </c:pt>
              </c:strCache>
            </c:strRef>
          </c:cat>
          <c:val>
            <c:numRef>
              <c:f>'[2022 - Note sur les chiffres clés - Annexe 13012023.xlsx]Feuil1'!$D$35:$D$42</c:f>
              <c:numCache>
                <c:formatCode>0.0</c:formatCode>
                <c:ptCount val="8"/>
                <c:pt idx="0">
                  <c:v>16.925084124642655</c:v>
                </c:pt>
                <c:pt idx="1">
                  <c:v>4.9650800405075355</c:v>
                </c:pt>
                <c:pt idx="2">
                  <c:v>10.901224598049804</c:v>
                </c:pt>
                <c:pt idx="3">
                  <c:v>16.776603176394829</c:v>
                </c:pt>
                <c:pt idx="4">
                  <c:v>31.759516929345889</c:v>
                </c:pt>
                <c:pt idx="5">
                  <c:v>4.5548541008358745</c:v>
                </c:pt>
                <c:pt idx="6">
                  <c:v>19.586943075832089</c:v>
                </c:pt>
                <c:pt idx="7">
                  <c:v>12.279773931829984</c:v>
                </c:pt>
              </c:numCache>
            </c:numRef>
          </c:val>
          <c:extLst xmlns:c16r2="http://schemas.microsoft.com/office/drawing/2015/06/chart">
            <c:ext xmlns:c16="http://schemas.microsoft.com/office/drawing/2014/chart" uri="{C3380CC4-5D6E-409C-BE32-E72D297353CC}">
              <c16:uniqueId val="{00000000-A010-4734-8A5D-330EC5ADB32E}"/>
            </c:ext>
          </c:extLst>
        </c:ser>
        <c:ser>
          <c:idx val="1"/>
          <c:order val="1"/>
          <c:tx>
            <c:strRef>
              <c:f>'[2022 - Note sur les chiffres clés - Annexe 13012023.xlsx]Feuil1'!$E$34</c:f>
              <c:strCache>
                <c:ptCount val="1"/>
                <c:pt idx="0">
                  <c:v>2022</c:v>
                </c:pt>
              </c:strCache>
            </c:strRef>
          </c:tx>
          <c:spPr>
            <a:solidFill>
              <a:schemeClr val="accent2"/>
            </a:solidFill>
            <a:ln>
              <a:noFill/>
            </a:ln>
            <a:effectLst/>
          </c:spPr>
          <c:dLbls>
            <c:dLbl>
              <c:idx val="0"/>
              <c:layout>
                <c:manualLayout>
                  <c:x val="1.3416622032628802E-2"/>
                  <c:y val="-6.3361713061244034E-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92DA-4179-A85C-E693AAA2A802}"/>
                </c:ext>
              </c:extLst>
            </c:dLbl>
            <c:dLbl>
              <c:idx val="2"/>
              <c:layout>
                <c:manualLayout>
                  <c:x val="1.0733297626103042E-2"/>
                  <c:y val="-6.3361713061244034E-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92DA-4179-A85C-E693AAA2A802}"/>
                </c:ext>
              </c:extLst>
            </c:dLbl>
            <c:dLbl>
              <c:idx val="3"/>
              <c:layout>
                <c:manualLayout>
                  <c:x val="1.609994643915455E-2"/>
                  <c:y val="0"/>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92DA-4179-A85C-E693AAA2A802}"/>
                </c:ext>
              </c:extLst>
            </c:dLbl>
            <c:dLbl>
              <c:idx val="4"/>
              <c:layout>
                <c:manualLayout>
                  <c:x val="1.0733297626103042E-2"/>
                  <c:y val="-6.3361713061244034E-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92DA-4179-A85C-E693AAA2A802}"/>
                </c:ext>
              </c:extLst>
            </c:dLbl>
            <c:dLbl>
              <c:idx val="6"/>
              <c:layout>
                <c:manualLayout>
                  <c:x val="1.3416622032628802E-2"/>
                  <c:y val="-4.9891112646648775E-7"/>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92DA-4179-A85C-E693AAA2A802}"/>
                </c:ext>
              </c:extLst>
            </c:dLbl>
            <c:dLbl>
              <c:idx val="7"/>
              <c:layout>
                <c:manualLayout>
                  <c:x val="1.0733297626103042E-2"/>
                  <c:y val="0"/>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92DA-4179-A85C-E693AAA2A802}"/>
                </c:ext>
              </c:extLst>
            </c:dLbl>
            <c:spPr>
              <a:noFill/>
              <a:ln>
                <a:noFill/>
              </a:ln>
              <a:effectLst/>
            </c:spPr>
            <c:txPr>
              <a:bodyPr rot="0" vert="horz"/>
              <a:lstStyle/>
              <a:p>
                <a:pPr>
                  <a:defRPr sz="800"/>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'[2022 - Note sur les chiffres clés - Annexe 13012023.xlsx]Feuil1'!$C$35:$C$42</c:f>
              <c:strCache>
                <c:ptCount val="8"/>
                <c:pt idx="0">
                  <c:v>Urbain</c:v>
                </c:pt>
                <c:pt idx="1">
                  <c:v>Rural</c:v>
                </c:pt>
                <c:pt idx="2">
                  <c:v>Masculain</c:v>
                </c:pt>
                <c:pt idx="3">
                  <c:v>Féminin</c:v>
                </c:pt>
                <c:pt idx="4">
                  <c:v>15-24 ans</c:v>
                </c:pt>
                <c:pt idx="5">
                  <c:v>Aucun diplôme</c:v>
                </c:pt>
                <c:pt idx="6">
                  <c:v>Ayant un diplôme</c:v>
                </c:pt>
                <c:pt idx="7">
                  <c:v>National</c:v>
                </c:pt>
              </c:strCache>
            </c:strRef>
          </c:cat>
          <c:val>
            <c:numRef>
              <c:f>'[2022 - Note sur les chiffres clés - Annexe 13012023.xlsx]Feuil1'!$E$35:$E$42</c:f>
              <c:numCache>
                <c:formatCode>0.0</c:formatCode>
                <c:ptCount val="8"/>
                <c:pt idx="0">
                  <c:v>15.8253620084378</c:v>
                </c:pt>
                <c:pt idx="1">
                  <c:v>5.2304955007036824</c:v>
                </c:pt>
                <c:pt idx="2">
                  <c:v>10.264565814841674</c:v>
                </c:pt>
                <c:pt idx="3">
                  <c:v>17.168833140951079</c:v>
                </c:pt>
                <c:pt idx="4">
                  <c:v>32.654309181684894</c:v>
                </c:pt>
                <c:pt idx="5">
                  <c:v>4.2203605611621935</c:v>
                </c:pt>
                <c:pt idx="6">
                  <c:v>18.595868924691015</c:v>
                </c:pt>
                <c:pt idx="7">
                  <c:v>11.828058272390148</c:v>
                </c:pt>
              </c:numCache>
            </c:numRef>
          </c:val>
          <c:extLst xmlns:c16r2="http://schemas.microsoft.com/office/drawing/2015/06/chart">
            <c:ext xmlns:c16="http://schemas.microsoft.com/office/drawing/2014/chart" uri="{C3380CC4-5D6E-409C-BE32-E72D297353CC}">
              <c16:uniqueId val="{00000001-A010-4734-8A5D-330EC5ADB32E}"/>
            </c:ext>
          </c:extLst>
        </c:ser>
        <c:gapWidth val="219"/>
        <c:overlap val="-27"/>
        <c:axId val="142393344"/>
        <c:axId val="142394880"/>
      </c:barChart>
      <c:catAx>
        <c:axId val="14239334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vert="horz"/>
          <a:lstStyle/>
          <a:p>
            <a:pPr>
              <a:defRPr sz="800"/>
            </a:pPr>
            <a:endParaRPr lang="fr-FR"/>
          </a:p>
        </c:txPr>
        <c:crossAx val="142394880"/>
        <c:crosses val="autoZero"/>
        <c:auto val="1"/>
        <c:lblAlgn val="ctr"/>
        <c:lblOffset val="100"/>
      </c:catAx>
      <c:valAx>
        <c:axId val="142394880"/>
        <c:scaling>
          <c:orientation val="minMax"/>
        </c:scaling>
        <c:delete val="1"/>
        <c:axPos val="l"/>
        <c:numFmt formatCode="0.0" sourceLinked="1"/>
        <c:majorTickMark val="none"/>
        <c:tickLblPos val="nextTo"/>
        <c:crossAx val="142393344"/>
        <c:crosses val="autoZero"/>
        <c:crossBetween val="between"/>
      </c:valAx>
      <c:spPr>
        <a:noFill/>
        <a:ln>
          <a:noFill/>
        </a:ln>
        <a:effectLst/>
      </c:spPr>
    </c:plotArea>
    <c:legend>
      <c:legendPos val="b"/>
      <c:spPr>
        <a:noFill/>
        <a:ln>
          <a:noFill/>
        </a:ln>
        <a:effectLst/>
      </c:spPr>
      <c:txPr>
        <a:bodyPr rot="0" vert="horz"/>
        <a:lstStyle/>
        <a:p>
          <a:pPr>
            <a:defRPr sz="800"/>
          </a:pPr>
          <a:endParaRPr lang="fr-FR"/>
        </a:p>
      </c:txPr>
    </c:legend>
    <c:plotVisOnly val="1"/>
    <c:dispBlanksAs val="gap"/>
  </c:chart>
  <c:spPr>
    <a:solidFill>
      <a:schemeClr val="bg1"/>
    </a:solidFill>
    <a:ln w="9525" cap="flat" cmpd="sng" algn="ctr">
      <a:noFill/>
      <a:round/>
    </a:ln>
    <a:effectLst/>
  </c:spPr>
  <c:txPr>
    <a:bodyPr/>
    <a:lstStyle/>
    <a:p>
      <a:pPr>
        <a:defRPr sz="700"/>
      </a:pPr>
      <a:endParaRPr lang="fr-FR"/>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barChart>
        <c:barDir val="col"/>
        <c:grouping val="clustered"/>
        <c:ser>
          <c:idx val="0"/>
          <c:order val="0"/>
          <c:tx>
            <c:strRef>
              <c:f>'[2022 - Note sur les chiffres clés - Annexe 13012023.xlsx]Feuil1'!$C$2</c:f>
              <c:strCache>
                <c:ptCount val="1"/>
                <c:pt idx="0">
                  <c:v>2021</c:v>
                </c:pt>
              </c:strCache>
            </c:strRef>
          </c:tx>
          <c:spPr>
            <a:solidFill>
              <a:schemeClr val="accent3">
                <a:lumMod val="75000"/>
              </a:schemeClr>
            </a:solidFill>
            <a:ln>
              <a:noFill/>
            </a:ln>
            <a:effectLst/>
          </c:spPr>
          <c:dLbls>
            <c:dLbl>
              <c:idx val="1"/>
              <c:layout>
                <c:manualLayout>
                  <c:x val="2.8746631041970828E-3"/>
                  <c:y val="0"/>
                </c:manualLayout>
              </c:layout>
              <c:tx>
                <c:rich>
                  <a:bodyPr/>
                  <a:lstStyle/>
                  <a:p>
                    <a:r>
                      <a:rPr lang="en-US" sz="800" b="1"/>
                      <a:t>10</a:t>
                    </a:r>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7377-4FBA-90E4-029FD6C06E13}"/>
                </c:ext>
              </c:extLst>
            </c:dLbl>
            <c:spPr>
              <a:noFill/>
              <a:ln>
                <a:noFill/>
              </a:ln>
              <a:effectLst/>
            </c:spPr>
            <c:txPr>
              <a:bodyPr rot="0" vert="horz"/>
              <a:lstStyle/>
              <a:p>
                <a:pPr>
                  <a:defRPr sz="800" b="1"/>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'[2022 - Note sur les chiffres clés - Annexe 13012023.xlsx]Feuil1'!$B$3:$B$5</c:f>
              <c:strCache>
                <c:ptCount val="3"/>
                <c:pt idx="0">
                  <c:v>Urbain</c:v>
                </c:pt>
                <c:pt idx="1">
                  <c:v>Rural</c:v>
                </c:pt>
                <c:pt idx="2">
                  <c:v>Ensemble</c:v>
                </c:pt>
              </c:strCache>
            </c:strRef>
          </c:cat>
          <c:val>
            <c:numRef>
              <c:f>'[2022 - Note sur les chiffres clés - Annexe 13012023.xlsx]Feuil1'!$C$3:$C$5</c:f>
              <c:numCache>
                <c:formatCode>0.0</c:formatCode>
                <c:ptCount val="3"/>
                <c:pt idx="0">
                  <c:v>8.8142148769316204</c:v>
                </c:pt>
                <c:pt idx="1">
                  <c:v>9.9871207161104589</c:v>
                </c:pt>
                <c:pt idx="2">
                  <c:v>9.3077803010542741</c:v>
                </c:pt>
              </c:numCache>
            </c:numRef>
          </c:val>
          <c:extLst xmlns:c16r2="http://schemas.microsoft.com/office/drawing/2015/06/chart">
            <c:ext xmlns:c16="http://schemas.microsoft.com/office/drawing/2014/chart" uri="{C3380CC4-5D6E-409C-BE32-E72D297353CC}">
              <c16:uniqueId val="{00000000-19FA-4D60-B89A-6623E291730A}"/>
            </c:ext>
          </c:extLst>
        </c:ser>
        <c:ser>
          <c:idx val="1"/>
          <c:order val="1"/>
          <c:tx>
            <c:strRef>
              <c:f>'[2022 - Note sur les chiffres clés - Annexe 13012023.xlsx]Feuil1'!$D$2</c:f>
              <c:strCache>
                <c:ptCount val="1"/>
                <c:pt idx="0">
                  <c:v>2022</c:v>
                </c:pt>
              </c:strCache>
            </c:strRef>
          </c:tx>
          <c:spPr>
            <a:solidFill>
              <a:schemeClr val="accent2"/>
            </a:solidFill>
            <a:ln>
              <a:noFill/>
            </a:ln>
            <a:effectLst/>
          </c:spPr>
          <c:dLbls>
            <c:dLbl>
              <c:idx val="2"/>
              <c:tx>
                <c:rich>
                  <a:bodyPr/>
                  <a:lstStyle/>
                  <a:p>
                    <a:r>
                      <a:rPr lang="en-US" sz="800" b="1"/>
                      <a:t>9</a:t>
                    </a:r>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7377-4FBA-90E4-029FD6C06E13}"/>
                </c:ext>
              </c:extLst>
            </c:dLbl>
            <c:spPr>
              <a:noFill/>
              <a:ln>
                <a:noFill/>
              </a:ln>
              <a:effectLst/>
            </c:spPr>
            <c:txPr>
              <a:bodyPr rot="0" vert="horz"/>
              <a:lstStyle/>
              <a:p>
                <a:pPr>
                  <a:defRPr sz="800" b="1"/>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'[2022 - Note sur les chiffres clés - Annexe 13012023.xlsx]Feuil1'!$B$3:$B$5</c:f>
              <c:strCache>
                <c:ptCount val="3"/>
                <c:pt idx="0">
                  <c:v>Urbain</c:v>
                </c:pt>
                <c:pt idx="1">
                  <c:v>Rural</c:v>
                </c:pt>
                <c:pt idx="2">
                  <c:v>Ensemble</c:v>
                </c:pt>
              </c:strCache>
            </c:strRef>
          </c:cat>
          <c:val>
            <c:numRef>
              <c:f>'[2022 - Note sur les chiffres clés - Annexe 13012023.xlsx]Feuil1'!$D$3:$D$5</c:f>
              <c:numCache>
                <c:formatCode>0.0</c:formatCode>
                <c:ptCount val="3"/>
                <c:pt idx="0">
                  <c:v>8.1390319139513991</c:v>
                </c:pt>
                <c:pt idx="1">
                  <c:v>10.367592803389199</c:v>
                </c:pt>
                <c:pt idx="2">
                  <c:v>9.0428209846746999</c:v>
                </c:pt>
              </c:numCache>
            </c:numRef>
          </c:val>
          <c:extLst xmlns:c16r2="http://schemas.microsoft.com/office/drawing/2015/06/chart">
            <c:ext xmlns:c16="http://schemas.microsoft.com/office/drawing/2014/chart" uri="{C3380CC4-5D6E-409C-BE32-E72D297353CC}">
              <c16:uniqueId val="{00000001-19FA-4D60-B89A-6623E291730A}"/>
            </c:ext>
          </c:extLst>
        </c:ser>
        <c:gapWidth val="219"/>
        <c:overlap val="-27"/>
        <c:axId val="112199936"/>
        <c:axId val="112218112"/>
      </c:barChart>
      <c:catAx>
        <c:axId val="11219993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vert="horz"/>
          <a:lstStyle/>
          <a:p>
            <a:pPr>
              <a:defRPr sz="900"/>
            </a:pPr>
            <a:endParaRPr lang="fr-FR"/>
          </a:p>
        </c:txPr>
        <c:crossAx val="112218112"/>
        <c:crosses val="autoZero"/>
        <c:auto val="1"/>
        <c:lblAlgn val="ctr"/>
        <c:lblOffset val="100"/>
      </c:catAx>
      <c:valAx>
        <c:axId val="112218112"/>
        <c:scaling>
          <c:orientation val="minMax"/>
        </c:scaling>
        <c:delete val="1"/>
        <c:axPos val="l"/>
        <c:numFmt formatCode="0.0" sourceLinked="1"/>
        <c:majorTickMark val="none"/>
        <c:tickLblPos val="nextTo"/>
        <c:crossAx val="112199936"/>
        <c:crosses val="autoZero"/>
        <c:crossBetween val="between"/>
      </c:valAx>
      <c:spPr>
        <a:noFill/>
        <a:ln>
          <a:noFill/>
        </a:ln>
        <a:effectLst/>
      </c:spPr>
    </c:plotArea>
    <c:legend>
      <c:legendPos val="b"/>
      <c:spPr>
        <a:noFill/>
        <a:ln>
          <a:noFill/>
        </a:ln>
        <a:effectLst/>
      </c:spPr>
      <c:txPr>
        <a:bodyPr rot="0" vert="horz"/>
        <a:lstStyle/>
        <a:p>
          <a:pPr>
            <a:defRPr sz="800" b="1"/>
          </a:pPr>
          <a:endParaRPr lang="fr-FR"/>
        </a:p>
      </c:txPr>
    </c:legend>
    <c:plotVisOnly val="1"/>
    <c:dispBlanksAs val="gap"/>
  </c:chart>
  <c:spPr>
    <a:noFill/>
    <a:ln w="9525" cap="flat" cmpd="sng" algn="ctr">
      <a:noFill/>
      <a:round/>
    </a:ln>
    <a:effectLst/>
  </c:spPr>
  <c:txPr>
    <a:bodyPr/>
    <a:lstStyle/>
    <a:p>
      <a:pPr>
        <a:defRPr sz="800"/>
      </a:pPr>
      <a:endParaRPr lang="fr-FR"/>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fr-FR"/>
  <c:chart>
    <c:plotArea>
      <c:layout/>
      <c:barChart>
        <c:barDir val="bar"/>
        <c:grouping val="clustered"/>
        <c:ser>
          <c:idx val="0"/>
          <c:order val="0"/>
          <c:tx>
            <c:strRef>
              <c:f>Feuil1!$B$1</c:f>
              <c:strCache>
                <c:ptCount val="1"/>
                <c:pt idx="0">
                  <c:v>Urbain</c:v>
                </c:pt>
              </c:strCache>
            </c:strRef>
          </c:tx>
          <c:spPr>
            <a:solidFill>
              <a:schemeClr val="accent5">
                <a:lumMod val="60000"/>
                <a:lumOff val="40000"/>
              </a:schemeClr>
            </a:solidFill>
          </c:spPr>
          <c:dLbls>
            <c:spPr>
              <a:noFill/>
              <a:ln>
                <a:noFill/>
              </a:ln>
              <a:effectLst/>
            </c:spPr>
            <c:txPr>
              <a:bodyPr/>
              <a:lstStyle/>
              <a:p>
                <a:pPr>
                  <a:defRPr sz="700" b="1"/>
                </a:pPr>
                <a:endParaRPr lang="fr-FR"/>
              </a:p>
            </c:txPr>
            <c:showVal val="1"/>
            <c:extLst xmlns:c16r2="http://schemas.microsoft.com/office/drawing/2015/06/chart">
              <c:ext xmlns:c15="http://schemas.microsoft.com/office/drawing/2012/chart" uri="{CE6537A1-D6FC-4f65-9D91-7224C49458BB}">
                <c15:showLeaderLines val="0"/>
              </c:ext>
            </c:extLst>
          </c:dLbls>
          <c:cat>
            <c:strRef>
              <c:f>Feuil1!$A$2:$A$12</c:f>
              <c:strCache>
                <c:ptCount val="11"/>
                <c:pt idx="0">
                  <c:v>Tanger-Tétouan-Al Hoceïma</c:v>
                </c:pt>
                <c:pt idx="1">
                  <c:v>Casablanca-Settat</c:v>
                </c:pt>
                <c:pt idx="2">
                  <c:v>Marrakech-Safi</c:v>
                </c:pt>
                <c:pt idx="3">
                  <c:v>Régions du Sud</c:v>
                </c:pt>
                <c:pt idx="4">
                  <c:v>Rabat-Salé-Kénitra</c:v>
                </c:pt>
                <c:pt idx="5">
                  <c:v>Ensemble</c:v>
                </c:pt>
                <c:pt idx="6">
                  <c:v>Fès-Meknès</c:v>
                </c:pt>
                <c:pt idx="7">
                  <c:v>Béni Mellal-Khénifra</c:v>
                </c:pt>
                <c:pt idx="8">
                  <c:v>Oriental</c:v>
                </c:pt>
                <c:pt idx="9">
                  <c:v>Drâa-Tafilalet</c:v>
                </c:pt>
                <c:pt idx="10">
                  <c:v>Souss-Massa</c:v>
                </c:pt>
              </c:strCache>
            </c:strRef>
          </c:cat>
          <c:val>
            <c:numRef>
              <c:f>Feuil1!$B$2:$B$12</c:f>
              <c:numCache>
                <c:formatCode>0.0</c:formatCode>
                <c:ptCount val="11"/>
                <c:pt idx="0">
                  <c:v>45.569002375996554</c:v>
                </c:pt>
                <c:pt idx="1">
                  <c:v>44.150282355240023</c:v>
                </c:pt>
                <c:pt idx="2">
                  <c:v>41.406328924055522</c:v>
                </c:pt>
                <c:pt idx="3">
                  <c:v>42.818044130611995</c:v>
                </c:pt>
                <c:pt idx="4">
                  <c:v>42.218446773902294</c:v>
                </c:pt>
                <c:pt idx="5">
                  <c:v>41.880820281092113</c:v>
                </c:pt>
                <c:pt idx="6">
                  <c:v>39.085806380126591</c:v>
                </c:pt>
                <c:pt idx="7">
                  <c:v>36.793338824030037</c:v>
                </c:pt>
                <c:pt idx="8">
                  <c:v>40.782494590472936</c:v>
                </c:pt>
                <c:pt idx="9">
                  <c:v>37.627542997810863</c:v>
                </c:pt>
                <c:pt idx="10">
                  <c:v>39.749097578740745</c:v>
                </c:pt>
              </c:numCache>
            </c:numRef>
          </c:val>
          <c:extLst xmlns:c16r2="http://schemas.microsoft.com/office/drawing/2015/06/chart">
            <c:ext xmlns:c16="http://schemas.microsoft.com/office/drawing/2014/chart" uri="{C3380CC4-5D6E-409C-BE32-E72D297353CC}">
              <c16:uniqueId val="{00000000-0C4C-42DA-96C4-54D0A3A07A60}"/>
            </c:ext>
          </c:extLst>
        </c:ser>
        <c:ser>
          <c:idx val="1"/>
          <c:order val="1"/>
          <c:tx>
            <c:strRef>
              <c:f>Feuil1!$C$1</c:f>
              <c:strCache>
                <c:ptCount val="1"/>
                <c:pt idx="0">
                  <c:v>Rural</c:v>
                </c:pt>
              </c:strCache>
            </c:strRef>
          </c:tx>
          <c:dLbls>
            <c:spPr>
              <a:noFill/>
              <a:ln>
                <a:noFill/>
              </a:ln>
              <a:effectLst/>
            </c:spPr>
            <c:txPr>
              <a:bodyPr/>
              <a:lstStyle/>
              <a:p>
                <a:pPr>
                  <a:defRPr sz="700" b="1"/>
                </a:pPr>
                <a:endParaRPr lang="fr-FR"/>
              </a:p>
            </c:txPr>
            <c:showVal val="1"/>
            <c:extLst xmlns:c16r2="http://schemas.microsoft.com/office/drawing/2015/06/chart">
              <c:ext xmlns:c15="http://schemas.microsoft.com/office/drawing/2012/chart" uri="{CE6537A1-D6FC-4f65-9D91-7224C49458BB}">
                <c15:showLeaderLines val="0"/>
              </c:ext>
            </c:extLst>
          </c:dLbls>
          <c:cat>
            <c:strRef>
              <c:f>Feuil1!$A$2:$A$12</c:f>
              <c:strCache>
                <c:ptCount val="11"/>
                <c:pt idx="0">
                  <c:v>Tanger-Tétouan-Al Hoceïma</c:v>
                </c:pt>
                <c:pt idx="1">
                  <c:v>Casablanca-Settat</c:v>
                </c:pt>
                <c:pt idx="2">
                  <c:v>Marrakech-Safi</c:v>
                </c:pt>
                <c:pt idx="3">
                  <c:v>Régions du Sud</c:v>
                </c:pt>
                <c:pt idx="4">
                  <c:v>Rabat-Salé-Kénitra</c:v>
                </c:pt>
                <c:pt idx="5">
                  <c:v>Ensemble</c:v>
                </c:pt>
                <c:pt idx="6">
                  <c:v>Fès-Meknès</c:v>
                </c:pt>
                <c:pt idx="7">
                  <c:v>Béni Mellal-Khénifra</c:v>
                </c:pt>
                <c:pt idx="8">
                  <c:v>Oriental</c:v>
                </c:pt>
                <c:pt idx="9">
                  <c:v>Drâa-Tafilalet</c:v>
                </c:pt>
                <c:pt idx="10">
                  <c:v>Souss-Massa</c:v>
                </c:pt>
              </c:strCache>
            </c:strRef>
          </c:cat>
          <c:val>
            <c:numRef>
              <c:f>Feuil1!$C$2:$C$12</c:f>
              <c:numCache>
                <c:formatCode>0.0</c:formatCode>
                <c:ptCount val="11"/>
                <c:pt idx="0">
                  <c:v>58.196382798762961</c:v>
                </c:pt>
                <c:pt idx="1">
                  <c:v>56.221342771111601</c:v>
                </c:pt>
                <c:pt idx="2">
                  <c:v>48.183976413736794</c:v>
                </c:pt>
                <c:pt idx="3">
                  <c:v>51.623778906040513</c:v>
                </c:pt>
                <c:pt idx="4">
                  <c:v>50.57769983913424</c:v>
                </c:pt>
                <c:pt idx="5">
                  <c:v>49.052945843820019</c:v>
                </c:pt>
                <c:pt idx="6">
                  <c:v>48.273120323065363</c:v>
                </c:pt>
                <c:pt idx="7">
                  <c:v>48.558369534349751</c:v>
                </c:pt>
                <c:pt idx="8">
                  <c:v>45.439772144533563</c:v>
                </c:pt>
                <c:pt idx="9">
                  <c:v>43.075991117450762</c:v>
                </c:pt>
                <c:pt idx="10">
                  <c:v>35.899346311370408</c:v>
                </c:pt>
              </c:numCache>
            </c:numRef>
          </c:val>
          <c:extLst xmlns:c16r2="http://schemas.microsoft.com/office/drawing/2015/06/chart">
            <c:ext xmlns:c16="http://schemas.microsoft.com/office/drawing/2014/chart" uri="{C3380CC4-5D6E-409C-BE32-E72D297353CC}">
              <c16:uniqueId val="{00000001-0C4C-42DA-96C4-54D0A3A07A60}"/>
            </c:ext>
          </c:extLst>
        </c:ser>
        <c:ser>
          <c:idx val="2"/>
          <c:order val="2"/>
          <c:tx>
            <c:strRef>
              <c:f>Feuil1!$D$1</c:f>
              <c:strCache>
                <c:ptCount val="1"/>
                <c:pt idx="0">
                  <c:v>Ensemble</c:v>
                </c:pt>
              </c:strCache>
            </c:strRef>
          </c:tx>
          <c:dLbls>
            <c:spPr>
              <a:noFill/>
              <a:ln>
                <a:noFill/>
              </a:ln>
              <a:effectLst/>
            </c:spPr>
            <c:txPr>
              <a:bodyPr/>
              <a:lstStyle/>
              <a:p>
                <a:pPr>
                  <a:defRPr sz="700" b="1"/>
                </a:pPr>
                <a:endParaRPr lang="fr-FR"/>
              </a:p>
            </c:txPr>
            <c:showVal val="1"/>
            <c:extLst xmlns:c16r2="http://schemas.microsoft.com/office/drawing/2015/06/chart">
              <c:ext xmlns:c15="http://schemas.microsoft.com/office/drawing/2012/chart" uri="{CE6537A1-D6FC-4f65-9D91-7224C49458BB}">
                <c15:showLeaderLines val="0"/>
              </c:ext>
            </c:extLst>
          </c:dLbls>
          <c:cat>
            <c:strRef>
              <c:f>Feuil1!$A$2:$A$12</c:f>
              <c:strCache>
                <c:ptCount val="11"/>
                <c:pt idx="0">
                  <c:v>Tanger-Tétouan-Al Hoceïma</c:v>
                </c:pt>
                <c:pt idx="1">
                  <c:v>Casablanca-Settat</c:v>
                </c:pt>
                <c:pt idx="2">
                  <c:v>Marrakech-Safi</c:v>
                </c:pt>
                <c:pt idx="3">
                  <c:v>Régions du Sud</c:v>
                </c:pt>
                <c:pt idx="4">
                  <c:v>Rabat-Salé-Kénitra</c:v>
                </c:pt>
                <c:pt idx="5">
                  <c:v>Ensemble</c:v>
                </c:pt>
                <c:pt idx="6">
                  <c:v>Fès-Meknès</c:v>
                </c:pt>
                <c:pt idx="7">
                  <c:v>Béni Mellal-Khénifra</c:v>
                </c:pt>
                <c:pt idx="8">
                  <c:v>Oriental</c:v>
                </c:pt>
                <c:pt idx="9">
                  <c:v>Drâa-Tafilalet</c:v>
                </c:pt>
                <c:pt idx="10">
                  <c:v>Souss-Massa</c:v>
                </c:pt>
              </c:strCache>
            </c:strRef>
          </c:cat>
          <c:val>
            <c:numRef>
              <c:f>Feuil1!$D$2:$D$12</c:f>
              <c:numCache>
                <c:formatCode>0.0</c:formatCode>
                <c:ptCount val="11"/>
                <c:pt idx="0">
                  <c:v>50.055452602339578</c:v>
                </c:pt>
                <c:pt idx="1">
                  <c:v>46.694078979398903</c:v>
                </c:pt>
                <c:pt idx="2">
                  <c:v>45.033262756701852</c:v>
                </c:pt>
                <c:pt idx="3">
                  <c:v>44.468985758574163</c:v>
                </c:pt>
                <c:pt idx="4">
                  <c:v>44.331216891781246</c:v>
                </c:pt>
                <c:pt idx="5">
                  <c:v>44.326013157026345</c:v>
                </c:pt>
                <c:pt idx="6">
                  <c:v>42.209335173138513</c:v>
                </c:pt>
                <c:pt idx="7">
                  <c:v>42.202394927846008</c:v>
                </c:pt>
                <c:pt idx="8">
                  <c:v>42.002608851224174</c:v>
                </c:pt>
                <c:pt idx="9">
                  <c:v>41.022951924343062</c:v>
                </c:pt>
                <c:pt idx="10">
                  <c:v>38.344336196600977</c:v>
                </c:pt>
              </c:numCache>
            </c:numRef>
          </c:val>
          <c:extLst xmlns:c16r2="http://schemas.microsoft.com/office/drawing/2015/06/chart">
            <c:ext xmlns:c16="http://schemas.microsoft.com/office/drawing/2014/chart" uri="{C3380CC4-5D6E-409C-BE32-E72D297353CC}">
              <c16:uniqueId val="{00000002-0C4C-42DA-96C4-54D0A3A07A60}"/>
            </c:ext>
          </c:extLst>
        </c:ser>
        <c:gapWidth val="251"/>
        <c:overlap val="-30"/>
        <c:axId val="112236416"/>
        <c:axId val="112237952"/>
      </c:barChart>
      <c:catAx>
        <c:axId val="112236416"/>
        <c:scaling>
          <c:orientation val="minMax"/>
        </c:scaling>
        <c:axPos val="l"/>
        <c:numFmt formatCode="General" sourceLinked="0"/>
        <c:tickLblPos val="nextTo"/>
        <c:txPr>
          <a:bodyPr/>
          <a:lstStyle/>
          <a:p>
            <a:pPr>
              <a:defRPr sz="800">
                <a:latin typeface="Book Antiqua" pitchFamily="18" charset="0"/>
              </a:defRPr>
            </a:pPr>
            <a:endParaRPr lang="fr-FR"/>
          </a:p>
        </c:txPr>
        <c:crossAx val="112237952"/>
        <c:crosses val="autoZero"/>
        <c:auto val="1"/>
        <c:lblAlgn val="ctr"/>
        <c:lblOffset val="100"/>
      </c:catAx>
      <c:valAx>
        <c:axId val="112237952"/>
        <c:scaling>
          <c:orientation val="minMax"/>
        </c:scaling>
        <c:delete val="1"/>
        <c:axPos val="b"/>
        <c:numFmt formatCode="0.0" sourceLinked="1"/>
        <c:tickLblPos val="nextTo"/>
        <c:crossAx val="112236416"/>
        <c:crosses val="autoZero"/>
        <c:crossBetween val="between"/>
      </c:valAx>
      <c:spPr>
        <a:noFill/>
        <a:ln w="25400">
          <a:noFill/>
        </a:ln>
      </c:spPr>
    </c:plotArea>
    <c:legend>
      <c:legendPos val="r"/>
      <c:txPr>
        <a:bodyPr/>
        <a:lstStyle/>
        <a:p>
          <a:pPr>
            <a:defRPr sz="700">
              <a:latin typeface="Book Antiqua" pitchFamily="18" charset="0"/>
            </a:defRPr>
          </a:pPr>
          <a:endParaRPr lang="fr-FR"/>
        </a:p>
      </c:txPr>
    </c:legend>
    <c:plotVisOnly val="1"/>
    <c:dispBlanksAs val="gap"/>
  </c:chart>
  <c:spPr>
    <a:ln>
      <a:noFill/>
    </a:ln>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fr-FR"/>
  <c:chart>
    <c:plotArea>
      <c:layout/>
      <c:barChart>
        <c:barDir val="bar"/>
        <c:grouping val="clustered"/>
        <c:ser>
          <c:idx val="0"/>
          <c:order val="0"/>
          <c:tx>
            <c:strRef>
              <c:f>Feuil2!$B$7</c:f>
              <c:strCache>
                <c:ptCount val="1"/>
                <c:pt idx="0">
                  <c:v>Urbain</c:v>
                </c:pt>
              </c:strCache>
            </c:strRef>
          </c:tx>
          <c:spPr>
            <a:solidFill>
              <a:srgbClr val="5B9BD5"/>
            </a:solidFill>
          </c:spPr>
          <c:dLbls>
            <c:spPr>
              <a:noFill/>
              <a:ln>
                <a:noFill/>
              </a:ln>
              <a:effectLst/>
            </c:spPr>
            <c:txPr>
              <a:bodyPr/>
              <a:lstStyle/>
              <a:p>
                <a:pPr>
                  <a:defRPr sz="700" b="1"/>
                </a:pPr>
                <a:endParaRPr lang="fr-FR"/>
              </a:p>
            </c:txPr>
            <c:showVal val="1"/>
            <c:extLst xmlns:c16r2="http://schemas.microsoft.com/office/drawing/2015/06/chart">
              <c:ext xmlns:c15="http://schemas.microsoft.com/office/drawing/2012/chart" uri="{CE6537A1-D6FC-4f65-9D91-7224C49458BB}">
                <c15:showLeaderLines val="0"/>
              </c:ext>
            </c:extLst>
          </c:dLbls>
          <c:cat>
            <c:strRef>
              <c:f>Feuil2!$A$8:$A$18</c:f>
              <c:strCache>
                <c:ptCount val="11"/>
                <c:pt idx="0">
                  <c:v>Régions du Sud</c:v>
                </c:pt>
                <c:pt idx="1">
                  <c:v>Oriental</c:v>
                </c:pt>
                <c:pt idx="2">
                  <c:v>Casablanca-Settat</c:v>
                </c:pt>
                <c:pt idx="3">
                  <c:v>Fès-Meknès</c:v>
                </c:pt>
                <c:pt idx="4">
                  <c:v>Ensemble</c:v>
                </c:pt>
                <c:pt idx="5">
                  <c:v>Souss-Massa</c:v>
                </c:pt>
                <c:pt idx="6">
                  <c:v>Rabat-Salé-Kénitra</c:v>
                </c:pt>
                <c:pt idx="7">
                  <c:v>Béni Mellal-Khénifra</c:v>
                </c:pt>
                <c:pt idx="8">
                  <c:v>Drâa-Tafilalet</c:v>
                </c:pt>
                <c:pt idx="9">
                  <c:v>Tanger-Tétouan-Al Hoceïma</c:v>
                </c:pt>
                <c:pt idx="10">
                  <c:v>Marrakech-Safi</c:v>
                </c:pt>
              </c:strCache>
            </c:strRef>
          </c:cat>
          <c:val>
            <c:numRef>
              <c:f>Feuil2!$B$8:$B$18</c:f>
              <c:numCache>
                <c:formatCode>0.0</c:formatCode>
                <c:ptCount val="11"/>
                <c:pt idx="0">
                  <c:v>22.877927354768531</c:v>
                </c:pt>
                <c:pt idx="1">
                  <c:v>19.406132714097787</c:v>
                </c:pt>
                <c:pt idx="2">
                  <c:v>16.746914766573287</c:v>
                </c:pt>
                <c:pt idx="3">
                  <c:v>18.656787095771922</c:v>
                </c:pt>
                <c:pt idx="4">
                  <c:v>15.8253620084378</c:v>
                </c:pt>
                <c:pt idx="5">
                  <c:v>13.895676230143495</c:v>
                </c:pt>
                <c:pt idx="6">
                  <c:v>13.766165667468421</c:v>
                </c:pt>
                <c:pt idx="7">
                  <c:v>15.276086496428524</c:v>
                </c:pt>
                <c:pt idx="8">
                  <c:v>13.7868540846284</c:v>
                </c:pt>
                <c:pt idx="9">
                  <c:v>14.105078903702148</c:v>
                </c:pt>
                <c:pt idx="10">
                  <c:v>11.811689657199176</c:v>
                </c:pt>
              </c:numCache>
            </c:numRef>
          </c:val>
          <c:extLst xmlns:c16r2="http://schemas.microsoft.com/office/drawing/2015/06/chart">
            <c:ext xmlns:c16="http://schemas.microsoft.com/office/drawing/2014/chart" uri="{C3380CC4-5D6E-409C-BE32-E72D297353CC}">
              <c16:uniqueId val="{00000000-D7A4-4E00-8B60-EF9D9D71BD47}"/>
            </c:ext>
          </c:extLst>
        </c:ser>
        <c:ser>
          <c:idx val="1"/>
          <c:order val="1"/>
          <c:tx>
            <c:strRef>
              <c:f>Feuil2!$C$7</c:f>
              <c:strCache>
                <c:ptCount val="1"/>
                <c:pt idx="0">
                  <c:v>Rural</c:v>
                </c:pt>
              </c:strCache>
            </c:strRef>
          </c:tx>
          <c:dLbls>
            <c:spPr>
              <a:noFill/>
              <a:ln>
                <a:noFill/>
              </a:ln>
              <a:effectLst/>
            </c:spPr>
            <c:txPr>
              <a:bodyPr/>
              <a:lstStyle/>
              <a:p>
                <a:pPr>
                  <a:defRPr sz="700" b="1"/>
                </a:pPr>
                <a:endParaRPr lang="fr-FR"/>
              </a:p>
            </c:txPr>
            <c:showVal val="1"/>
            <c:extLst xmlns:c16r2="http://schemas.microsoft.com/office/drawing/2015/06/chart">
              <c:ext xmlns:c15="http://schemas.microsoft.com/office/drawing/2012/chart" uri="{CE6537A1-D6FC-4f65-9D91-7224C49458BB}">
                <c15:showLeaderLines val="0"/>
              </c:ext>
            </c:extLst>
          </c:dLbls>
          <c:cat>
            <c:strRef>
              <c:f>Feuil2!$A$8:$A$18</c:f>
              <c:strCache>
                <c:ptCount val="11"/>
                <c:pt idx="0">
                  <c:v>Régions du Sud</c:v>
                </c:pt>
                <c:pt idx="1">
                  <c:v>Oriental</c:v>
                </c:pt>
                <c:pt idx="2">
                  <c:v>Casablanca-Settat</c:v>
                </c:pt>
                <c:pt idx="3">
                  <c:v>Fès-Meknès</c:v>
                </c:pt>
                <c:pt idx="4">
                  <c:v>Ensemble</c:v>
                </c:pt>
                <c:pt idx="5">
                  <c:v>Souss-Massa</c:v>
                </c:pt>
                <c:pt idx="6">
                  <c:v>Rabat-Salé-Kénitra</c:v>
                </c:pt>
                <c:pt idx="7">
                  <c:v>Béni Mellal-Khénifra</c:v>
                </c:pt>
                <c:pt idx="8">
                  <c:v>Drâa-Tafilalet</c:v>
                </c:pt>
                <c:pt idx="9">
                  <c:v>Tanger-Tétouan-Al Hoceïma</c:v>
                </c:pt>
                <c:pt idx="10">
                  <c:v>Marrakech-Safi</c:v>
                </c:pt>
              </c:strCache>
            </c:strRef>
          </c:cat>
          <c:val>
            <c:numRef>
              <c:f>Feuil2!$C$8:$C$18</c:f>
              <c:numCache>
                <c:formatCode>0.0</c:formatCode>
                <c:ptCount val="11"/>
                <c:pt idx="0">
                  <c:v>10.316264622194495</c:v>
                </c:pt>
                <c:pt idx="1">
                  <c:v>12.40126043912074</c:v>
                </c:pt>
                <c:pt idx="2">
                  <c:v>4.9515113387505689</c:v>
                </c:pt>
                <c:pt idx="3">
                  <c:v>5.3150871285805055</c:v>
                </c:pt>
                <c:pt idx="4">
                  <c:v>5.2304955007036824</c:v>
                </c:pt>
                <c:pt idx="5">
                  <c:v>6.5738916214587828</c:v>
                </c:pt>
                <c:pt idx="6">
                  <c:v>4.152090098902776</c:v>
                </c:pt>
                <c:pt idx="7">
                  <c:v>6.2630014232257274</c:v>
                </c:pt>
                <c:pt idx="8">
                  <c:v>7.5770031543382714</c:v>
                </c:pt>
                <c:pt idx="9">
                  <c:v>3.4327260994725153</c:v>
                </c:pt>
                <c:pt idx="10">
                  <c:v>3.1561983172086867</c:v>
                </c:pt>
              </c:numCache>
            </c:numRef>
          </c:val>
          <c:extLst xmlns:c16r2="http://schemas.microsoft.com/office/drawing/2015/06/chart">
            <c:ext xmlns:c16="http://schemas.microsoft.com/office/drawing/2014/chart" uri="{C3380CC4-5D6E-409C-BE32-E72D297353CC}">
              <c16:uniqueId val="{00000001-D7A4-4E00-8B60-EF9D9D71BD47}"/>
            </c:ext>
          </c:extLst>
        </c:ser>
        <c:ser>
          <c:idx val="2"/>
          <c:order val="2"/>
          <c:tx>
            <c:strRef>
              <c:f>Feuil2!$D$7</c:f>
              <c:strCache>
                <c:ptCount val="1"/>
                <c:pt idx="0">
                  <c:v>Ensemble</c:v>
                </c:pt>
              </c:strCache>
            </c:strRef>
          </c:tx>
          <c:dLbls>
            <c:spPr>
              <a:noFill/>
              <a:ln>
                <a:noFill/>
              </a:ln>
              <a:effectLst/>
            </c:spPr>
            <c:txPr>
              <a:bodyPr/>
              <a:lstStyle/>
              <a:p>
                <a:pPr>
                  <a:defRPr sz="700" b="1"/>
                </a:pPr>
                <a:endParaRPr lang="fr-FR"/>
              </a:p>
            </c:txPr>
            <c:showVal val="1"/>
            <c:extLst xmlns:c16r2="http://schemas.microsoft.com/office/drawing/2015/06/chart">
              <c:ext xmlns:c15="http://schemas.microsoft.com/office/drawing/2012/chart" uri="{CE6537A1-D6FC-4f65-9D91-7224C49458BB}">
                <c15:showLeaderLines val="0"/>
              </c:ext>
            </c:extLst>
          </c:dLbls>
          <c:cat>
            <c:strRef>
              <c:f>Feuil2!$A$8:$A$18</c:f>
              <c:strCache>
                <c:ptCount val="11"/>
                <c:pt idx="0">
                  <c:v>Régions du Sud</c:v>
                </c:pt>
                <c:pt idx="1">
                  <c:v>Oriental</c:v>
                </c:pt>
                <c:pt idx="2">
                  <c:v>Casablanca-Settat</c:v>
                </c:pt>
                <c:pt idx="3">
                  <c:v>Fès-Meknès</c:v>
                </c:pt>
                <c:pt idx="4">
                  <c:v>Ensemble</c:v>
                </c:pt>
                <c:pt idx="5">
                  <c:v>Souss-Massa</c:v>
                </c:pt>
                <c:pt idx="6">
                  <c:v>Rabat-Salé-Kénitra</c:v>
                </c:pt>
                <c:pt idx="7">
                  <c:v>Béni Mellal-Khénifra</c:v>
                </c:pt>
                <c:pt idx="8">
                  <c:v>Drâa-Tafilalet</c:v>
                </c:pt>
                <c:pt idx="9">
                  <c:v>Tanger-Tétouan-Al Hoceïma</c:v>
                </c:pt>
                <c:pt idx="10">
                  <c:v>Marrakech-Safi</c:v>
                </c:pt>
              </c:strCache>
            </c:strRef>
          </c:cat>
          <c:val>
            <c:numRef>
              <c:f>Feuil2!$D$8:$D$18</c:f>
              <c:numCache>
                <c:formatCode>0.0</c:formatCode>
                <c:ptCount val="11"/>
                <c:pt idx="0">
                  <c:v>20.143881372503373</c:v>
                </c:pt>
                <c:pt idx="1">
                  <c:v>17.420822018716493</c:v>
                </c:pt>
                <c:pt idx="2">
                  <c:v>13.754035740809325</c:v>
                </c:pt>
                <c:pt idx="3">
                  <c:v>13.469204951106526</c:v>
                </c:pt>
                <c:pt idx="4">
                  <c:v>11.828058272390148</c:v>
                </c:pt>
                <c:pt idx="5">
                  <c:v>11.394339533811022</c:v>
                </c:pt>
                <c:pt idx="6">
                  <c:v>10.993856085863516</c:v>
                </c:pt>
                <c:pt idx="7">
                  <c:v>10.508167265819861</c:v>
                </c:pt>
                <c:pt idx="8">
                  <c:v>9.7232741069349959</c:v>
                </c:pt>
                <c:pt idx="9">
                  <c:v>9.6965432014399298</c:v>
                </c:pt>
                <c:pt idx="10">
                  <c:v>6.8558002579606345</c:v>
                </c:pt>
              </c:numCache>
            </c:numRef>
          </c:val>
          <c:extLst xmlns:c16r2="http://schemas.microsoft.com/office/drawing/2015/06/chart">
            <c:ext xmlns:c16="http://schemas.microsoft.com/office/drawing/2014/chart" uri="{C3380CC4-5D6E-409C-BE32-E72D297353CC}">
              <c16:uniqueId val="{00000002-D7A4-4E00-8B60-EF9D9D71BD47}"/>
            </c:ext>
          </c:extLst>
        </c:ser>
        <c:overlap val="-20"/>
        <c:axId val="112494080"/>
        <c:axId val="112495616"/>
      </c:barChart>
      <c:catAx>
        <c:axId val="112494080"/>
        <c:scaling>
          <c:orientation val="minMax"/>
        </c:scaling>
        <c:axPos val="l"/>
        <c:numFmt formatCode="General" sourceLinked="0"/>
        <c:tickLblPos val="nextTo"/>
        <c:txPr>
          <a:bodyPr/>
          <a:lstStyle/>
          <a:p>
            <a:pPr>
              <a:defRPr sz="800" b="0">
                <a:latin typeface="Book Antiqua" pitchFamily="18" charset="0"/>
              </a:defRPr>
            </a:pPr>
            <a:endParaRPr lang="fr-FR"/>
          </a:p>
        </c:txPr>
        <c:crossAx val="112495616"/>
        <c:crosses val="autoZero"/>
        <c:auto val="1"/>
        <c:lblAlgn val="ctr"/>
        <c:lblOffset val="100"/>
      </c:catAx>
      <c:valAx>
        <c:axId val="112495616"/>
        <c:scaling>
          <c:orientation val="minMax"/>
        </c:scaling>
        <c:delete val="1"/>
        <c:axPos val="b"/>
        <c:numFmt formatCode="0.0" sourceLinked="1"/>
        <c:tickLblPos val="nextTo"/>
        <c:crossAx val="112494080"/>
        <c:crosses val="autoZero"/>
        <c:crossBetween val="between"/>
      </c:valAx>
    </c:plotArea>
    <c:legend>
      <c:legendPos val="r"/>
      <c:txPr>
        <a:bodyPr/>
        <a:lstStyle/>
        <a:p>
          <a:pPr>
            <a:defRPr sz="700" b="0">
              <a:latin typeface="Book Antiqua" pitchFamily="18" charset="0"/>
            </a:defRPr>
          </a:pPr>
          <a:endParaRPr lang="fr-FR"/>
        </a:p>
      </c:txPr>
    </c:legend>
    <c:plotVisOnly val="1"/>
    <c:dispBlanksAs val="gap"/>
  </c:chart>
  <c:spPr>
    <a:ln>
      <a:noFill/>
    </a:ln>
  </c:spPr>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ED559-2FBF-40BB-9126-D8E20E706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2161</Words>
  <Characters>11887</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14020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Naima Labroude</dc:creator>
  <cp:lastModifiedBy>User</cp:lastModifiedBy>
  <cp:revision>5</cp:revision>
  <cp:lastPrinted>2023-02-01T10:03:00Z</cp:lastPrinted>
  <dcterms:created xsi:type="dcterms:W3CDTF">2023-02-01T15:02:00Z</dcterms:created>
  <dcterms:modified xsi:type="dcterms:W3CDTF">2023-02-02T18:18:00Z</dcterms:modified>
</cp:coreProperties>
</file>