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F5" w:rsidRPr="006403F6" w:rsidRDefault="0007644A" w:rsidP="0007644A">
      <w:pPr>
        <w:spacing w:line="276" w:lineRule="auto"/>
        <w:jc w:val="center"/>
        <w:rPr>
          <w:rFonts w:asciiTheme="majorBidi" w:hAnsiTheme="majorBidi" w:cstheme="majorBidi"/>
          <w:b/>
          <w:bCs/>
          <w:color w:val="44546A" w:themeColor="text2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44546A" w:themeColor="text2"/>
          <w:sz w:val="28"/>
          <w:szCs w:val="28"/>
        </w:rPr>
        <w:t xml:space="preserve">        </w:t>
      </w:r>
    </w:p>
    <w:p w:rsidR="00F63BF5" w:rsidRPr="006403F6" w:rsidRDefault="00F63BF5" w:rsidP="00F63BF5">
      <w:pPr>
        <w:spacing w:line="276" w:lineRule="auto"/>
        <w:jc w:val="center"/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</w:rPr>
      </w:pPr>
    </w:p>
    <w:p w:rsidR="00F63BF5" w:rsidRPr="006403F6" w:rsidRDefault="00F63BF5" w:rsidP="00F63BF5">
      <w:pPr>
        <w:spacing w:line="276" w:lineRule="auto"/>
        <w:jc w:val="center"/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</w:rPr>
      </w:pPr>
    </w:p>
    <w:p w:rsidR="00162E6B" w:rsidRDefault="00162E6B" w:rsidP="00F63BF5">
      <w:pPr>
        <w:spacing w:line="276" w:lineRule="auto"/>
        <w:jc w:val="center"/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</w:rPr>
      </w:pPr>
    </w:p>
    <w:p w:rsidR="00F63BF5" w:rsidRPr="006403F6" w:rsidRDefault="00F63BF5" w:rsidP="00F63BF5">
      <w:pPr>
        <w:spacing w:line="276" w:lineRule="auto"/>
        <w:jc w:val="center"/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</w:rPr>
      </w:pPr>
      <w:r w:rsidRPr="006403F6"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</w:rPr>
        <w:t>Note d’information du Haut-Commissariat au Plan</w:t>
      </w:r>
    </w:p>
    <w:p w:rsidR="00F63BF5" w:rsidRPr="006403F6" w:rsidRDefault="00B42BFC" w:rsidP="00F63BF5">
      <w:pPr>
        <w:spacing w:line="276" w:lineRule="auto"/>
        <w:jc w:val="center"/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</w:rPr>
        <w:t>r</w:t>
      </w:r>
      <w:r w:rsidR="00F63BF5" w:rsidRPr="006403F6"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</w:rPr>
        <w:t>elative aux principales caractéristiques de la population</w:t>
      </w:r>
    </w:p>
    <w:p w:rsidR="00F63BF5" w:rsidRPr="006403F6" w:rsidRDefault="00F63BF5" w:rsidP="002748CA">
      <w:pPr>
        <w:spacing w:line="276" w:lineRule="auto"/>
        <w:jc w:val="center"/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</w:rPr>
      </w:pPr>
      <w:r w:rsidRPr="006403F6"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</w:rPr>
        <w:t xml:space="preserve">active </w:t>
      </w:r>
      <w:r w:rsidR="002748CA"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</w:rPr>
        <w:t xml:space="preserve">occupée </w:t>
      </w:r>
      <w:r w:rsidRPr="006403F6"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</w:rPr>
        <w:t>en 2022</w:t>
      </w:r>
    </w:p>
    <w:p w:rsidR="00F63BF5" w:rsidRPr="006403F6" w:rsidRDefault="00F63BF5" w:rsidP="00F63BF5">
      <w:pPr>
        <w:rPr>
          <w:rFonts w:asciiTheme="majorBidi" w:hAnsiTheme="majorBidi" w:cstheme="majorBidi"/>
        </w:rPr>
      </w:pPr>
    </w:p>
    <w:p w:rsidR="00162E6B" w:rsidRDefault="00162E6B" w:rsidP="00ED7836">
      <w:pPr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323E4F" w:themeColor="text2" w:themeShade="BF"/>
        </w:rPr>
      </w:pPr>
    </w:p>
    <w:p w:rsidR="00ED7836" w:rsidRPr="00ED7836" w:rsidRDefault="00ED7836" w:rsidP="00ED7836">
      <w:pPr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323E4F" w:themeColor="text2" w:themeShade="BF"/>
        </w:rPr>
      </w:pPr>
      <w:r w:rsidRPr="00ED7836">
        <w:rPr>
          <w:rFonts w:asciiTheme="majorBidi" w:hAnsiTheme="majorBidi" w:cstheme="majorBidi"/>
          <w:b/>
          <w:bCs/>
          <w:color w:val="323E4F" w:themeColor="text2" w:themeShade="BF"/>
        </w:rPr>
        <w:t>La présente note dresse le</w:t>
      </w:r>
      <w:r>
        <w:rPr>
          <w:rFonts w:asciiTheme="majorBidi" w:hAnsiTheme="majorBidi" w:cstheme="majorBidi"/>
          <w:b/>
          <w:bCs/>
          <w:color w:val="323E4F" w:themeColor="text2" w:themeShade="BF"/>
        </w:rPr>
        <w:t xml:space="preserve">s principales caractéristiques de la </w:t>
      </w:r>
      <w:r w:rsidRPr="00ED7836">
        <w:rPr>
          <w:rFonts w:asciiTheme="majorBidi" w:hAnsiTheme="majorBidi" w:cstheme="majorBidi"/>
          <w:b/>
          <w:bCs/>
          <w:color w:val="323E4F" w:themeColor="text2" w:themeShade="BF"/>
        </w:rPr>
        <w:t>population active occupée ainsi que les traits saillants de la qualité de l’emploi en 2022.</w:t>
      </w:r>
    </w:p>
    <w:p w:rsidR="00ED7836" w:rsidRPr="00162E6B" w:rsidRDefault="005A7973" w:rsidP="00EC780A">
      <w:pPr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323E4F" w:themeColor="text2" w:themeShade="BF"/>
        </w:rPr>
      </w:pPr>
      <w:r>
        <w:rPr>
          <w:rFonts w:asciiTheme="majorBidi" w:hAnsiTheme="majorBidi" w:cstheme="majorBidi"/>
          <w:b/>
          <w:bCs/>
          <w:color w:val="323E4F" w:themeColor="text2" w:themeShade="BF"/>
        </w:rPr>
        <w:t>En 2022, l</w:t>
      </w:r>
      <w:r w:rsidR="00ED7836" w:rsidRPr="00162E6B">
        <w:rPr>
          <w:rFonts w:asciiTheme="majorBidi" w:hAnsiTheme="majorBidi" w:cstheme="majorBidi"/>
          <w:b/>
          <w:bCs/>
          <w:color w:val="323E4F" w:themeColor="text2" w:themeShade="BF"/>
        </w:rPr>
        <w:t>a population en âge d’activité a atteint</w:t>
      </w:r>
      <w:r>
        <w:rPr>
          <w:rFonts w:asciiTheme="majorBidi" w:hAnsiTheme="majorBidi" w:cstheme="majorBidi"/>
          <w:b/>
          <w:bCs/>
          <w:color w:val="323E4F" w:themeColor="text2" w:themeShade="BF"/>
        </w:rPr>
        <w:t xml:space="preserve"> </w:t>
      </w:r>
      <w:r w:rsidR="00ED7836" w:rsidRPr="00162E6B">
        <w:rPr>
          <w:rFonts w:asciiTheme="majorBidi" w:hAnsiTheme="majorBidi" w:cstheme="majorBidi"/>
          <w:b/>
          <w:bCs/>
          <w:color w:val="323E4F" w:themeColor="text2" w:themeShade="BF"/>
        </w:rPr>
        <w:t>27,5 millions personnes, 12,2 millions sont des actives (10,7 million</w:t>
      </w:r>
      <w:r>
        <w:rPr>
          <w:rFonts w:asciiTheme="majorBidi" w:hAnsiTheme="majorBidi" w:cstheme="majorBidi"/>
          <w:b/>
          <w:bCs/>
          <w:color w:val="323E4F" w:themeColor="text2" w:themeShade="BF"/>
        </w:rPr>
        <w:t>s</w:t>
      </w:r>
      <w:r w:rsidR="00ED7836" w:rsidRPr="00162E6B">
        <w:rPr>
          <w:rFonts w:asciiTheme="majorBidi" w:hAnsiTheme="majorBidi" w:cstheme="majorBidi"/>
          <w:b/>
          <w:bCs/>
          <w:color w:val="323E4F" w:themeColor="text2" w:themeShade="BF"/>
        </w:rPr>
        <w:t xml:space="preserve"> pourvues d’un emploi et 1,4 </w:t>
      </w:r>
      <w:r w:rsidR="00EC780A">
        <w:rPr>
          <w:rFonts w:asciiTheme="majorBidi" w:hAnsiTheme="majorBidi" w:cstheme="majorBidi"/>
          <w:b/>
          <w:bCs/>
          <w:color w:val="323E4F" w:themeColor="text2" w:themeShade="BF"/>
        </w:rPr>
        <w:t xml:space="preserve">million </w:t>
      </w:r>
      <w:r w:rsidR="00ED7836" w:rsidRPr="00162E6B">
        <w:rPr>
          <w:rFonts w:asciiTheme="majorBidi" w:hAnsiTheme="majorBidi" w:cstheme="majorBidi"/>
          <w:b/>
          <w:bCs/>
          <w:color w:val="323E4F" w:themeColor="text2" w:themeShade="BF"/>
        </w:rPr>
        <w:t>en situation de chômage) et 15,3</w:t>
      </w:r>
      <w:r>
        <w:rPr>
          <w:rFonts w:asciiTheme="majorBidi" w:hAnsiTheme="majorBidi" w:cstheme="majorBidi"/>
          <w:b/>
          <w:bCs/>
          <w:color w:val="323E4F" w:themeColor="text2" w:themeShade="BF"/>
        </w:rPr>
        <w:t xml:space="preserve"> millions</w:t>
      </w:r>
      <w:r w:rsidR="00ED7836" w:rsidRPr="00162E6B">
        <w:rPr>
          <w:rFonts w:asciiTheme="majorBidi" w:hAnsiTheme="majorBidi" w:cstheme="majorBidi"/>
          <w:b/>
          <w:bCs/>
          <w:color w:val="323E4F" w:themeColor="text2" w:themeShade="BF"/>
        </w:rPr>
        <w:t xml:space="preserve"> sont en dehors du marché de travail. Près de trois </w:t>
      </w:r>
      <w:r w:rsidR="00D84885" w:rsidRPr="00162E6B">
        <w:rPr>
          <w:rFonts w:asciiTheme="majorBidi" w:hAnsiTheme="majorBidi" w:cstheme="majorBidi"/>
          <w:b/>
          <w:bCs/>
          <w:color w:val="323E4F" w:themeColor="text2" w:themeShade="BF"/>
        </w:rPr>
        <w:t>quarts</w:t>
      </w:r>
      <w:r w:rsidR="00ED7836" w:rsidRPr="00162E6B">
        <w:rPr>
          <w:rFonts w:asciiTheme="majorBidi" w:hAnsiTheme="majorBidi" w:cstheme="majorBidi"/>
          <w:b/>
          <w:bCs/>
          <w:color w:val="323E4F" w:themeColor="text2" w:themeShade="BF"/>
        </w:rPr>
        <w:t xml:space="preserve"> des </w:t>
      </w:r>
      <w:r>
        <w:rPr>
          <w:rFonts w:asciiTheme="majorBidi" w:hAnsiTheme="majorBidi" w:cstheme="majorBidi"/>
          <w:b/>
          <w:bCs/>
          <w:color w:val="323E4F" w:themeColor="text2" w:themeShade="BF"/>
        </w:rPr>
        <w:t xml:space="preserve">personnes en dehors du marché de travail </w:t>
      </w:r>
      <w:r w:rsidR="00ED7836" w:rsidRPr="00162E6B">
        <w:rPr>
          <w:rFonts w:asciiTheme="majorBidi" w:hAnsiTheme="majorBidi" w:cstheme="majorBidi"/>
          <w:b/>
          <w:bCs/>
          <w:color w:val="323E4F" w:themeColor="text2" w:themeShade="BF"/>
        </w:rPr>
        <w:t>(73,1%) sont des femmes, 68,8% résident en milieu urbain, plus de la moitié (51,1%) n’ont aucun diplôme et 44,9% sont âgé</w:t>
      </w:r>
      <w:r>
        <w:rPr>
          <w:rFonts w:asciiTheme="majorBidi" w:hAnsiTheme="majorBidi" w:cstheme="majorBidi"/>
          <w:b/>
          <w:bCs/>
          <w:color w:val="323E4F" w:themeColor="text2" w:themeShade="BF"/>
        </w:rPr>
        <w:t>e</w:t>
      </w:r>
      <w:r w:rsidR="00ED7836" w:rsidRPr="00162E6B">
        <w:rPr>
          <w:rFonts w:asciiTheme="majorBidi" w:hAnsiTheme="majorBidi" w:cstheme="majorBidi"/>
          <w:b/>
          <w:bCs/>
          <w:color w:val="323E4F" w:themeColor="text2" w:themeShade="BF"/>
        </w:rPr>
        <w:t xml:space="preserve">s de 15 à 34 ans. </w:t>
      </w:r>
    </w:p>
    <w:p w:rsidR="00162E6B" w:rsidRDefault="00F63BF5" w:rsidP="00162E6B">
      <w:pPr>
        <w:spacing w:before="120" w:after="120" w:line="276" w:lineRule="auto"/>
        <w:jc w:val="both"/>
        <w:rPr>
          <w:rFonts w:asciiTheme="majorBidi" w:hAnsiTheme="majorBidi" w:cstheme="majorBidi"/>
          <w:b/>
          <w:bCs/>
          <w:color w:val="323E4F" w:themeColor="text2" w:themeShade="BF"/>
        </w:rPr>
      </w:pPr>
      <w:r w:rsidRPr="006403F6">
        <w:rPr>
          <w:rFonts w:asciiTheme="majorBidi" w:hAnsiTheme="majorBidi" w:cstheme="majorBidi"/>
          <w:b/>
          <w:bCs/>
          <w:color w:val="323E4F" w:themeColor="text2" w:themeShade="BF"/>
        </w:rPr>
        <w:t xml:space="preserve">Le portrait des actifs occupés montre que plus de la moitié (52,6%) sont salariés, 30,3% indépendants, 12,3% aides familiaux et 2,1% employeurs. </w:t>
      </w:r>
      <w:r w:rsidR="0033485F">
        <w:rPr>
          <w:rFonts w:asciiTheme="majorBidi" w:hAnsiTheme="majorBidi" w:cstheme="majorBidi"/>
          <w:b/>
          <w:bCs/>
          <w:color w:val="323E4F" w:themeColor="text2" w:themeShade="BF"/>
        </w:rPr>
        <w:t xml:space="preserve"> </w:t>
      </w:r>
      <w:r w:rsidR="00162E6B">
        <w:rPr>
          <w:rFonts w:asciiTheme="majorBidi" w:hAnsiTheme="majorBidi" w:cstheme="majorBidi"/>
          <w:b/>
          <w:bCs/>
          <w:color w:val="323E4F" w:themeColor="text2" w:themeShade="BF"/>
        </w:rPr>
        <w:t>Les</w:t>
      </w:r>
      <w:r w:rsidR="00162E6B" w:rsidRPr="006403F6">
        <w:rPr>
          <w:rFonts w:asciiTheme="majorBidi" w:hAnsiTheme="majorBidi" w:cstheme="majorBidi"/>
          <w:b/>
          <w:bCs/>
          <w:color w:val="323E4F" w:themeColor="text2" w:themeShade="BF"/>
        </w:rPr>
        <w:t xml:space="preserve"> "Services" demeure</w:t>
      </w:r>
      <w:r w:rsidR="00162E6B">
        <w:rPr>
          <w:rFonts w:asciiTheme="majorBidi" w:hAnsiTheme="majorBidi" w:cstheme="majorBidi"/>
          <w:b/>
          <w:bCs/>
          <w:color w:val="323E4F" w:themeColor="text2" w:themeShade="BF"/>
        </w:rPr>
        <w:t>nt</w:t>
      </w:r>
      <w:r w:rsidR="00162E6B" w:rsidRPr="006403F6">
        <w:rPr>
          <w:rFonts w:asciiTheme="majorBidi" w:hAnsiTheme="majorBidi" w:cstheme="majorBidi"/>
          <w:b/>
          <w:bCs/>
          <w:color w:val="323E4F" w:themeColor="text2" w:themeShade="BF"/>
        </w:rPr>
        <w:t xml:space="preserve"> le premier pourvoyeur de l’emploi</w:t>
      </w:r>
      <w:r w:rsidR="00162E6B">
        <w:rPr>
          <w:rFonts w:asciiTheme="majorBidi" w:hAnsiTheme="majorBidi" w:cstheme="majorBidi"/>
          <w:b/>
          <w:bCs/>
          <w:color w:val="323E4F" w:themeColor="text2" w:themeShade="BF"/>
        </w:rPr>
        <w:t xml:space="preserve">, avec 47,4% des actifs occupés, où </w:t>
      </w:r>
      <w:r w:rsidR="00162E6B" w:rsidRPr="006403F6">
        <w:rPr>
          <w:rFonts w:asciiTheme="majorBidi" w:hAnsiTheme="majorBidi" w:cstheme="majorBidi"/>
          <w:b/>
          <w:bCs/>
          <w:color w:val="323E4F" w:themeColor="text2" w:themeShade="BF"/>
        </w:rPr>
        <w:t>32,9%</w:t>
      </w:r>
      <w:r w:rsidR="00162E6B">
        <w:rPr>
          <w:rFonts w:asciiTheme="majorBidi" w:hAnsiTheme="majorBidi" w:cstheme="majorBidi"/>
          <w:b/>
          <w:bCs/>
          <w:color w:val="323E4F" w:themeColor="text2" w:themeShade="BF"/>
        </w:rPr>
        <w:t xml:space="preserve"> </w:t>
      </w:r>
      <w:r w:rsidR="00162E6B" w:rsidRPr="006403F6">
        <w:rPr>
          <w:rFonts w:asciiTheme="majorBidi" w:hAnsiTheme="majorBidi" w:cstheme="majorBidi"/>
          <w:b/>
          <w:bCs/>
          <w:color w:val="323E4F" w:themeColor="text2" w:themeShade="BF"/>
        </w:rPr>
        <w:t>d’entre eux exercent dans la branche du commerce, suivi de l</w:t>
      </w:r>
      <w:r w:rsidR="00162E6B">
        <w:rPr>
          <w:rFonts w:asciiTheme="majorBidi" w:hAnsiTheme="majorBidi" w:cstheme="majorBidi"/>
          <w:b/>
          <w:bCs/>
          <w:color w:val="323E4F" w:themeColor="text2" w:themeShade="BF"/>
        </w:rPr>
        <w:t>’"Agriculture, forêt et pêche", avec 29,3%</w:t>
      </w:r>
      <w:r w:rsidR="00162E6B" w:rsidRPr="006403F6">
        <w:rPr>
          <w:rFonts w:asciiTheme="majorBidi" w:hAnsiTheme="majorBidi" w:cstheme="majorBidi"/>
          <w:b/>
          <w:bCs/>
          <w:color w:val="323E4F" w:themeColor="text2" w:themeShade="BF"/>
        </w:rPr>
        <w:t>.</w:t>
      </w:r>
      <w:r w:rsidR="005A7973">
        <w:rPr>
          <w:rFonts w:asciiTheme="majorBidi" w:hAnsiTheme="majorBidi" w:cstheme="majorBidi"/>
          <w:b/>
          <w:bCs/>
          <w:color w:val="323E4F" w:themeColor="text2" w:themeShade="BF"/>
        </w:rPr>
        <w:t xml:space="preserve"> </w:t>
      </w:r>
    </w:p>
    <w:p w:rsidR="002748CA" w:rsidRDefault="002748CA" w:rsidP="002748CA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ajorBidi" w:hAnsiTheme="majorBidi" w:cstheme="majorBidi"/>
          <w:b/>
          <w:bCs/>
          <w:color w:val="323E4F" w:themeColor="text2" w:themeShade="BF"/>
        </w:rPr>
      </w:pPr>
      <w:r>
        <w:rPr>
          <w:rFonts w:asciiTheme="majorBidi" w:hAnsiTheme="majorBidi" w:cstheme="majorBidi"/>
          <w:b/>
          <w:bCs/>
          <w:color w:val="323E4F" w:themeColor="text2" w:themeShade="BF"/>
        </w:rPr>
        <w:t xml:space="preserve">Près de la moitié des actifs occupés (51,2%) n’ont aucun diplôme, </w:t>
      </w:r>
      <w:r w:rsidR="00F63BF5" w:rsidRPr="006403F6">
        <w:rPr>
          <w:rFonts w:asciiTheme="majorBidi" w:hAnsiTheme="majorBidi" w:cstheme="majorBidi"/>
          <w:b/>
          <w:bCs/>
          <w:color w:val="323E4F" w:themeColor="text2" w:themeShade="BF"/>
        </w:rPr>
        <w:t>10,7% occupent des emplois occasionnels ou saisonniers, 12,8% exercent des emplois non rémunérés et 26,5% bénéficient d’une couverture médicale liée à l’emploi (46,7% pour les salariés)</w:t>
      </w:r>
      <w:r>
        <w:rPr>
          <w:rFonts w:asciiTheme="majorBidi" w:hAnsiTheme="majorBidi" w:cstheme="majorBidi"/>
          <w:b/>
          <w:bCs/>
          <w:color w:val="323E4F" w:themeColor="text2" w:themeShade="BF"/>
        </w:rPr>
        <w:t xml:space="preserve"> et 9% </w:t>
      </w:r>
      <w:r w:rsidRPr="006403F6">
        <w:rPr>
          <w:rFonts w:asciiTheme="majorBidi" w:hAnsiTheme="majorBidi" w:cstheme="majorBidi"/>
          <w:b/>
          <w:bCs/>
          <w:color w:val="323E4F" w:themeColor="text2" w:themeShade="BF"/>
        </w:rPr>
        <w:t>sont en situation de sous-emploi.</w:t>
      </w:r>
    </w:p>
    <w:p w:rsidR="00AC189C" w:rsidRDefault="00AC189C">
      <w:pPr>
        <w:spacing w:after="160" w:line="259" w:lineRule="auto"/>
        <w:rPr>
          <w:rFonts w:asciiTheme="majorBidi" w:hAnsiTheme="majorBidi" w:cstheme="majorBidi"/>
          <w:b/>
          <w:bCs/>
          <w:color w:val="2E74B5" w:themeColor="accent5" w:themeShade="BF"/>
        </w:rPr>
      </w:pPr>
      <w:r>
        <w:rPr>
          <w:rFonts w:asciiTheme="majorBidi" w:hAnsiTheme="majorBidi" w:cstheme="majorBidi"/>
          <w:b/>
          <w:bCs/>
          <w:color w:val="2E74B5" w:themeColor="accent5" w:themeShade="BF"/>
        </w:rPr>
        <w:br w:type="page"/>
      </w:r>
    </w:p>
    <w:p w:rsidR="00F63BF5" w:rsidRPr="008A322D" w:rsidRDefault="00F63BF5" w:rsidP="00F63BF5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4472C4" w:themeColor="accent1"/>
          <w:rtl/>
        </w:rPr>
      </w:pPr>
      <w:r w:rsidRPr="008A322D">
        <w:rPr>
          <w:rFonts w:asciiTheme="majorBidi" w:hAnsiTheme="majorBidi" w:cstheme="majorBidi"/>
          <w:b/>
          <w:bCs/>
          <w:color w:val="4472C4" w:themeColor="accent1"/>
        </w:rPr>
        <w:lastRenderedPageBreak/>
        <w:t xml:space="preserve">Évolution de l’activité </w:t>
      </w:r>
    </w:p>
    <w:p w:rsidR="00073782" w:rsidRDefault="00F63BF5" w:rsidP="00073782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 xml:space="preserve">En 2022, parmi les 27,5 millions de personnes en âge d’activité (les 15 ans et plus), 12,2 millions sont actives, ce qui correspond à un taux d’activité de 44,3%. </w:t>
      </w:r>
    </w:p>
    <w:p w:rsidR="00F63BF5" w:rsidRPr="006403F6" w:rsidRDefault="00F63BF5" w:rsidP="002D0A82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>En plus de la faible participation à la vie économique, le taux d’activité est caractérisé par une baisse structurelle depuis le début des années 2000.</w:t>
      </w:r>
      <w:r w:rsidR="00073782">
        <w:rPr>
          <w:rFonts w:asciiTheme="majorBidi" w:hAnsiTheme="majorBidi" w:cstheme="majorBidi"/>
        </w:rPr>
        <w:t xml:space="preserve"> </w:t>
      </w:r>
      <w:r w:rsidR="00201ACE">
        <w:rPr>
          <w:rFonts w:asciiTheme="majorBidi" w:hAnsiTheme="majorBidi" w:cstheme="majorBidi"/>
        </w:rPr>
        <w:t>Ce taux</w:t>
      </w:r>
      <w:r w:rsidR="00926CCF">
        <w:rPr>
          <w:rFonts w:asciiTheme="majorBidi" w:hAnsiTheme="majorBidi" w:cstheme="majorBidi"/>
        </w:rPr>
        <w:t xml:space="preserve"> a </w:t>
      </w:r>
      <w:r w:rsidRPr="006403F6">
        <w:rPr>
          <w:rFonts w:asciiTheme="majorBidi" w:hAnsiTheme="majorBidi" w:cstheme="majorBidi"/>
        </w:rPr>
        <w:t>enregistré une baisse annuelle moyenne de 0,3 point, entre 2017 et 2019 et d’1 point en 2020, année de propagation de la Covid-19, avant d’enregistrer une hausse de 0,5 point en 2021, s’établissant ainsi à un niveau avoisinant celui d’avant pandémie, puis une baisse de 0,9 point en 2022.</w:t>
      </w:r>
    </w:p>
    <w:p w:rsidR="001E2B3E" w:rsidRDefault="00F63BF5" w:rsidP="00F63BF5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1E2B3E">
        <w:rPr>
          <w:rFonts w:asciiTheme="majorBidi" w:hAnsiTheme="majorBidi" w:cstheme="majorBidi"/>
          <w:b/>
          <w:bCs/>
          <w:sz w:val="22"/>
          <w:szCs w:val="22"/>
        </w:rPr>
        <w:t xml:space="preserve">Graphique 1 : Evolution de la population en âge d’activité (en milliers), de la population active (en milliers) depuis l’année 2017 </w:t>
      </w:r>
      <w:r w:rsidR="001E2B3E" w:rsidRPr="001E2B3E">
        <w:rPr>
          <w:rFonts w:asciiTheme="majorBidi" w:hAnsiTheme="majorBidi" w:cstheme="majorBidi"/>
          <w:b/>
          <w:bCs/>
          <w:noProof/>
          <w:sz w:val="22"/>
          <w:szCs w:val="22"/>
        </w:rPr>
        <w:drawing>
          <wp:inline distT="0" distB="0" distL="0" distR="0">
            <wp:extent cx="5610287" cy="2212258"/>
            <wp:effectExtent l="0" t="0" r="0" b="0"/>
            <wp:docPr id="2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1428275-0C4B-41A5-A2EA-4A3F2532D6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63BF5" w:rsidRPr="006403F6" w:rsidRDefault="00F63BF5" w:rsidP="00F63BF5">
      <w:pPr>
        <w:spacing w:after="200" w:line="276" w:lineRule="auto"/>
        <w:rPr>
          <w:rFonts w:asciiTheme="majorBidi" w:hAnsiTheme="majorBidi" w:cstheme="majorBidi"/>
          <w:b/>
          <w:bCs/>
          <w:color w:val="4472C4" w:themeColor="accent1"/>
        </w:rPr>
      </w:pPr>
      <w:r w:rsidRPr="006403F6">
        <w:rPr>
          <w:rFonts w:asciiTheme="majorBidi" w:hAnsiTheme="majorBidi" w:cstheme="majorBidi"/>
          <w:b/>
          <w:bCs/>
          <w:color w:val="4472C4" w:themeColor="accent1"/>
        </w:rPr>
        <w:t xml:space="preserve">Une part importante de la population adulte reste exclue du marché du travail </w:t>
      </w:r>
    </w:p>
    <w:p w:rsidR="00F63BF5" w:rsidRPr="006403F6" w:rsidRDefault="00F63BF5" w:rsidP="00F63BF5">
      <w:pPr>
        <w:spacing w:before="240" w:after="240" w:line="276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 xml:space="preserve">Près de trois quarts des inactifs (73,1%) sont des femmes, 68,8% résident en milieu urbain, plus de la moitié (51,1%) n’ont aucun diplôme et 44,9% sont âgés de 15 à 34 ans. </w:t>
      </w:r>
    </w:p>
    <w:p w:rsidR="00F63BF5" w:rsidRPr="006403F6" w:rsidRDefault="00F63BF5" w:rsidP="00F63BF5">
      <w:pPr>
        <w:tabs>
          <w:tab w:val="center" w:pos="4075"/>
        </w:tabs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ab/>
        <w:t xml:space="preserve">Avec un effectif de 11,2 millions personnes, les femmes en dehors du marché de travail représentent 80,2% de la population féminine en âge de travailler (81,7% en milieu urbain et 77,2% en milieu rural). </w:t>
      </w:r>
    </w:p>
    <w:p w:rsidR="00F63BF5" w:rsidRPr="006403F6" w:rsidRDefault="00F63BF5" w:rsidP="00115378">
      <w:pPr>
        <w:spacing w:before="240" w:after="240" w:line="276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>D’autre part, parmi les 5,9 millions de jeunes âgés de 15 à 24 ans, 15,4% exercent un emploi (905</w:t>
      </w:r>
      <w:r w:rsidR="00926CCF">
        <w:rPr>
          <w:rFonts w:asciiTheme="majorBidi" w:hAnsiTheme="majorBidi" w:cstheme="majorBidi"/>
        </w:rPr>
        <w:t xml:space="preserve">.000 </w:t>
      </w:r>
      <w:r w:rsidRPr="006403F6">
        <w:rPr>
          <w:rFonts w:asciiTheme="majorBidi" w:hAnsiTheme="majorBidi" w:cstheme="majorBidi"/>
        </w:rPr>
        <w:t>personnes), 7,4% sont à la recherche d’un empl</w:t>
      </w:r>
      <w:r w:rsidR="00926CCF">
        <w:rPr>
          <w:rFonts w:asciiTheme="majorBidi" w:hAnsiTheme="majorBidi" w:cstheme="majorBidi"/>
        </w:rPr>
        <w:t>oi (439.000</w:t>
      </w:r>
      <w:r w:rsidRPr="006403F6">
        <w:rPr>
          <w:rFonts w:asciiTheme="majorBidi" w:hAnsiTheme="majorBidi" w:cstheme="majorBidi"/>
        </w:rPr>
        <w:t xml:space="preserve">) alors que 77,2% sont en dehors du marché du travail (4,6 millions). </w:t>
      </w:r>
      <w:r w:rsidR="00115378">
        <w:rPr>
          <w:rFonts w:asciiTheme="majorBidi" w:hAnsiTheme="majorBidi" w:cstheme="majorBidi"/>
        </w:rPr>
        <w:t xml:space="preserve"> </w:t>
      </w:r>
      <w:r w:rsidRPr="006403F6">
        <w:rPr>
          <w:rFonts w:asciiTheme="majorBidi" w:hAnsiTheme="majorBidi" w:cstheme="majorBidi"/>
        </w:rPr>
        <w:t>Les trois quarts des jeunes en dehors du marché du travail (77%) sont des élèves ou étudiants et 19,6% sont des femmes au foyer.</w:t>
      </w:r>
    </w:p>
    <w:p w:rsidR="00F63BF5" w:rsidRPr="006403F6" w:rsidRDefault="00F63BF5" w:rsidP="00073782">
      <w:pPr>
        <w:spacing w:before="240" w:after="240" w:line="276" w:lineRule="auto"/>
        <w:jc w:val="both"/>
        <w:rPr>
          <w:rFonts w:asciiTheme="majorBidi" w:hAnsiTheme="majorBidi" w:cstheme="majorBidi"/>
        </w:rPr>
      </w:pPr>
      <w:bookmarkStart w:id="0" w:name="_Hlk79420569"/>
      <w:r w:rsidRPr="006403F6">
        <w:rPr>
          <w:rFonts w:asciiTheme="majorBidi" w:hAnsiTheme="majorBidi" w:cstheme="majorBidi"/>
        </w:rPr>
        <w:t>Plus d’un jeune sur quatre âgé de 15 à 24 ans (25,2%, ou 1,5 million) au niveau national ne travaille pas, n’est pas à l’école et ne suit aucune formation (NEET). Près de 72,8% d’entre eux sont des femmes</w:t>
      </w:r>
      <w:r w:rsidR="00073782">
        <w:rPr>
          <w:rFonts w:asciiTheme="majorBidi" w:hAnsiTheme="majorBidi" w:cstheme="majorBidi"/>
        </w:rPr>
        <w:t xml:space="preserve">, avec 40,6% sont mariées </w:t>
      </w:r>
      <w:r w:rsidRPr="006403F6">
        <w:rPr>
          <w:rFonts w:asciiTheme="majorBidi" w:hAnsiTheme="majorBidi" w:cstheme="majorBidi"/>
        </w:rPr>
        <w:t>et 68,2%</w:t>
      </w:r>
      <w:r w:rsidR="00926CCF">
        <w:rPr>
          <w:rFonts w:asciiTheme="majorBidi" w:hAnsiTheme="majorBidi" w:cstheme="majorBidi"/>
        </w:rPr>
        <w:t xml:space="preserve"> </w:t>
      </w:r>
      <w:r w:rsidRPr="006403F6">
        <w:rPr>
          <w:rFonts w:asciiTheme="majorBidi" w:hAnsiTheme="majorBidi" w:cstheme="majorBidi"/>
        </w:rPr>
        <w:t>d’entre eux ont un diplôme.</w:t>
      </w:r>
    </w:p>
    <w:p w:rsidR="00F63BF5" w:rsidRPr="006403F6" w:rsidRDefault="00F63BF5" w:rsidP="00F63BF5">
      <w:pPr>
        <w:autoSpaceDE w:val="0"/>
        <w:autoSpaceDN w:val="0"/>
        <w:adjustRightInd w:val="0"/>
        <w:spacing w:before="240" w:line="276" w:lineRule="auto"/>
        <w:jc w:val="center"/>
        <w:rPr>
          <w:rFonts w:asciiTheme="majorBidi" w:hAnsiTheme="majorBidi" w:cstheme="majorBidi"/>
          <w:color w:val="525457"/>
          <w:sz w:val="20"/>
          <w:szCs w:val="20"/>
          <w:shd w:val="clear" w:color="auto" w:fill="F3F3F3"/>
        </w:rPr>
      </w:pPr>
      <w:r w:rsidRPr="006403F6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Graphique 2 : La situation des jeunes au regard de l’emploi et de la scolarisation en 2022 (%)</w:t>
      </w:r>
      <w:r w:rsidRPr="006403F6">
        <w:rPr>
          <w:rFonts w:asciiTheme="majorBidi" w:eastAsia="Calibri" w:hAnsiTheme="majorBidi" w:cstheme="majorBidi"/>
          <w:b/>
          <w:bCs/>
          <w:noProof/>
          <w:sz w:val="20"/>
          <w:szCs w:val="20"/>
        </w:rPr>
        <w:drawing>
          <wp:inline distT="0" distB="0" distL="0" distR="0">
            <wp:extent cx="4572000" cy="2743200"/>
            <wp:effectExtent l="0" t="0" r="0" b="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bookmarkEnd w:id="0"/>
    <w:p w:rsidR="00F63BF5" w:rsidRPr="006403F6" w:rsidRDefault="00F63BF5" w:rsidP="00F63BF5">
      <w:pPr>
        <w:spacing w:line="276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>En plus de leur faible participation à la vie active, reflétée par  un taux d’activité de 22,8% en 2022, les jeunes souffrent de la persistance d’un niveau élevé du chômage. Le taux de chômage s’élève à 32,7% parmi les jeunes de 15 à 24 ans contre 13,2% pour les personnes âgées de 25 à 44 ans et 3,3% pour les personnes âgées de 45 ans ou plus. Ce taux culmine à 61,4% parmi les jeunes diplômés de niveau supérieur.</w:t>
      </w:r>
    </w:p>
    <w:p w:rsidR="00F63BF5" w:rsidRPr="006403F6" w:rsidRDefault="00F63BF5" w:rsidP="00F63BF5">
      <w:pPr>
        <w:spacing w:line="276" w:lineRule="auto"/>
        <w:jc w:val="both"/>
        <w:rPr>
          <w:rFonts w:asciiTheme="majorBidi" w:hAnsiTheme="majorBidi" w:cstheme="majorBidi"/>
          <w:b/>
          <w:bCs/>
          <w:color w:val="4472C4" w:themeColor="accent1"/>
        </w:rPr>
      </w:pPr>
    </w:p>
    <w:p w:rsidR="00F63BF5" w:rsidRPr="006403F6" w:rsidRDefault="001F49BC" w:rsidP="00BC2E56">
      <w:pPr>
        <w:autoSpaceDE w:val="0"/>
        <w:autoSpaceDN w:val="0"/>
        <w:adjustRightInd w:val="0"/>
        <w:spacing w:before="56" w:after="113" w:line="276" w:lineRule="auto"/>
        <w:rPr>
          <w:rFonts w:asciiTheme="majorBidi" w:hAnsiTheme="majorBidi" w:cstheme="majorBidi"/>
          <w:b/>
          <w:bCs/>
          <w:color w:val="4472C4" w:themeColor="accent1"/>
        </w:rPr>
      </w:pPr>
      <w:r w:rsidRPr="000929D5">
        <w:rPr>
          <w:rFonts w:asciiTheme="majorBidi" w:hAnsiTheme="majorBidi" w:cstheme="majorBidi"/>
          <w:b/>
          <w:bCs/>
          <w:color w:val="4472C4" w:themeColor="accent1"/>
        </w:rPr>
        <w:t>Une c</w:t>
      </w:r>
      <w:r w:rsidR="00F63BF5" w:rsidRPr="000929D5">
        <w:rPr>
          <w:rFonts w:asciiTheme="majorBidi" w:hAnsiTheme="majorBidi" w:cstheme="majorBidi"/>
          <w:b/>
          <w:bCs/>
          <w:color w:val="4472C4" w:themeColor="accent1"/>
        </w:rPr>
        <w:t xml:space="preserve">réation </w:t>
      </w:r>
      <w:r w:rsidR="00BC2E56" w:rsidRPr="000929D5">
        <w:rPr>
          <w:rFonts w:asciiTheme="majorBidi" w:hAnsiTheme="majorBidi" w:cstheme="majorBidi"/>
          <w:b/>
          <w:bCs/>
          <w:color w:val="4472C4" w:themeColor="accent1"/>
        </w:rPr>
        <w:t>nette d’emplois insuffisante</w:t>
      </w:r>
    </w:p>
    <w:p w:rsidR="009A3431" w:rsidRDefault="00F63BF5" w:rsidP="00EC780A">
      <w:pPr>
        <w:spacing w:after="20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403F6">
        <w:rPr>
          <w:rFonts w:asciiTheme="majorBidi" w:hAnsiTheme="majorBidi" w:cstheme="majorBidi"/>
        </w:rPr>
        <w:t>L’économie marocaine n’a pas réussi à générer suffisamment d’emplois pour absorber l’augmentation de la population en âge de travailler. Celle-ci a connu une hausse en moyenne de près de 400.000 personnes, alors que, l’économie a créé en moyenne 121.000 postes au cours des trois dernières années qui précèdent la crise sanitaire liée à la Covid et elle a perdu 432.000 postes d’emploi en 2020 pour ensuite créer 230.000 postes d’emploi en 2021 et perdre 24 000 emplois en 2022</w:t>
      </w:r>
      <w:r w:rsidRPr="006403F6">
        <w:rPr>
          <w:rFonts w:asciiTheme="majorBidi" w:hAnsiTheme="majorBidi" w:cstheme="majorBidi"/>
          <w:color w:val="FF0000"/>
        </w:rPr>
        <w:t>.</w:t>
      </w:r>
    </w:p>
    <w:p w:rsidR="00F63BF5" w:rsidRPr="006403F6" w:rsidRDefault="00F63BF5" w:rsidP="00F63BF5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403F6">
        <w:rPr>
          <w:rFonts w:asciiTheme="majorBidi" w:hAnsiTheme="majorBidi" w:cstheme="majorBidi"/>
          <w:b/>
          <w:bCs/>
          <w:sz w:val="22"/>
          <w:szCs w:val="22"/>
        </w:rPr>
        <w:t>Graphique 3 : Création de l’emploi entre 2017 et 2022 (en milliers).</w:t>
      </w:r>
    </w:p>
    <w:p w:rsidR="00F63BF5" w:rsidRPr="006403F6" w:rsidRDefault="00F63BF5" w:rsidP="00F63BF5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Theme="majorBidi" w:hAnsiTheme="majorBidi" w:cstheme="majorBidi"/>
          <w:b/>
          <w:bCs/>
          <w:color w:val="4472C4" w:themeColor="accent1"/>
        </w:rPr>
      </w:pPr>
      <w:r w:rsidRPr="006403F6">
        <w:rPr>
          <w:rFonts w:asciiTheme="majorBidi" w:hAnsiTheme="majorBidi" w:cstheme="majorBidi"/>
          <w:b/>
          <w:bCs/>
          <w:noProof/>
          <w:color w:val="4472C4" w:themeColor="accent1"/>
        </w:rPr>
        <w:drawing>
          <wp:inline distT="0" distB="0" distL="0" distR="0">
            <wp:extent cx="5476875" cy="2305050"/>
            <wp:effectExtent l="0" t="0" r="0" b="0"/>
            <wp:docPr id="7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63BF5" w:rsidRPr="006403F6" w:rsidRDefault="00F63BF5" w:rsidP="00F63BF5">
      <w:pPr>
        <w:spacing w:before="120" w:after="120" w:line="312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lastRenderedPageBreak/>
        <w:t xml:space="preserve">S’agissant du taux d’emploi, après une hausse de 0,3 point, entre 2020 et 2021, passant de 39,4% à 39,7%, le taux d’emploi a reculé de 0,6 point pour se situer à 39,1% au niveau national en 2022. </w:t>
      </w:r>
    </w:p>
    <w:p w:rsidR="00F63BF5" w:rsidRPr="006403F6" w:rsidRDefault="00F63BF5" w:rsidP="00F63BF5">
      <w:pPr>
        <w:spacing w:before="120" w:after="120" w:line="312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 xml:space="preserve">Ce taux a augmenté de 0,2 point en milieu urbain (de 35,1% à 35,3%) et a baissé de 1,9 point en milieu rural (de 48,4% à 46,5%). Il a baissé parmi les hommes (-0,3 point) et parmi les femmes (-1 point). </w:t>
      </w:r>
    </w:p>
    <w:p w:rsidR="00F63BF5" w:rsidRPr="006403F6" w:rsidRDefault="00F63BF5" w:rsidP="009A2B65">
      <w:pPr>
        <w:spacing w:before="120" w:after="120" w:line="312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>Le taux d’emploi des jeunes de 15</w:t>
      </w:r>
      <w:r w:rsidR="009A2B65">
        <w:rPr>
          <w:rFonts w:asciiTheme="majorBidi" w:hAnsiTheme="majorBidi" w:cstheme="majorBidi"/>
        </w:rPr>
        <w:t xml:space="preserve"> à </w:t>
      </w:r>
      <w:r w:rsidRPr="006403F6">
        <w:rPr>
          <w:rFonts w:asciiTheme="majorBidi" w:hAnsiTheme="majorBidi" w:cstheme="majorBidi"/>
        </w:rPr>
        <w:t>29 ans a atteint 25% en 2022 (contre 25,4% e</w:t>
      </w:r>
      <w:r w:rsidR="009A2B65">
        <w:rPr>
          <w:rFonts w:asciiTheme="majorBidi" w:hAnsiTheme="majorBidi" w:cstheme="majorBidi"/>
        </w:rPr>
        <w:t>n 2021).</w:t>
      </w:r>
      <w:r w:rsidR="007B185A">
        <w:rPr>
          <w:rFonts w:asciiTheme="majorBidi" w:hAnsiTheme="majorBidi" w:cstheme="majorBidi"/>
        </w:rPr>
        <w:t xml:space="preserve"> </w:t>
      </w:r>
      <w:r w:rsidR="009A2B65">
        <w:rPr>
          <w:rFonts w:asciiTheme="majorBidi" w:hAnsiTheme="majorBidi" w:cstheme="majorBidi"/>
        </w:rPr>
        <w:t xml:space="preserve">Le taux d’emploi des personnes de 30 à </w:t>
      </w:r>
      <w:r w:rsidRPr="006403F6">
        <w:rPr>
          <w:rFonts w:asciiTheme="majorBidi" w:hAnsiTheme="majorBidi" w:cstheme="majorBidi"/>
        </w:rPr>
        <w:t>4</w:t>
      </w:r>
      <w:r w:rsidR="008B570C">
        <w:rPr>
          <w:rFonts w:asciiTheme="majorBidi" w:hAnsiTheme="majorBidi" w:cstheme="majorBidi"/>
        </w:rPr>
        <w:t>4 ans a légèrement baissé de 0,7</w:t>
      </w:r>
      <w:r w:rsidRPr="006403F6">
        <w:rPr>
          <w:rFonts w:asciiTheme="majorBidi" w:hAnsiTheme="majorBidi" w:cstheme="majorBidi"/>
        </w:rPr>
        <w:t xml:space="preserve"> point pour atteindre 54,1%, contre </w:t>
      </w:r>
      <w:r w:rsidRPr="006403F6">
        <w:rPr>
          <w:rFonts w:asciiTheme="majorBidi" w:hAnsiTheme="majorBidi" w:cstheme="majorBidi"/>
          <w:rtl/>
        </w:rPr>
        <w:t>54</w:t>
      </w:r>
      <w:r w:rsidRPr="006403F6">
        <w:rPr>
          <w:rFonts w:asciiTheme="majorBidi" w:hAnsiTheme="majorBidi" w:cstheme="majorBidi"/>
        </w:rPr>
        <w:t>,8% une année auparavant.</w:t>
      </w:r>
    </w:p>
    <w:p w:rsidR="00F63BF5" w:rsidRPr="008A322D" w:rsidRDefault="008A322D" w:rsidP="008A322D">
      <w:pPr>
        <w:spacing w:before="240" w:line="312" w:lineRule="auto"/>
        <w:jc w:val="both"/>
        <w:rPr>
          <w:rFonts w:asciiTheme="majorBidi" w:hAnsiTheme="majorBidi" w:cstheme="majorBidi"/>
          <w:b/>
          <w:bCs/>
          <w:color w:val="4472C4" w:themeColor="accent1"/>
        </w:rPr>
      </w:pPr>
      <w:r w:rsidRPr="000929D5">
        <w:rPr>
          <w:rFonts w:asciiTheme="majorBidi" w:hAnsiTheme="majorBidi" w:cstheme="majorBidi"/>
          <w:b/>
          <w:bCs/>
          <w:color w:val="4472C4" w:themeColor="accent1"/>
        </w:rPr>
        <w:t>Les Services et l’Agriculture, forêt et pêche,</w:t>
      </w:r>
      <w:r w:rsidR="008A32EC" w:rsidRPr="000929D5">
        <w:rPr>
          <w:rFonts w:asciiTheme="majorBidi" w:hAnsiTheme="majorBidi" w:cstheme="majorBidi"/>
          <w:b/>
          <w:bCs/>
          <w:color w:val="4472C4" w:themeColor="accent1"/>
        </w:rPr>
        <w:t xml:space="preserve"> premiers pourvoyeurs d’</w:t>
      </w:r>
      <w:r w:rsidR="00F63BF5" w:rsidRPr="000929D5">
        <w:rPr>
          <w:rFonts w:asciiTheme="majorBidi" w:hAnsiTheme="majorBidi" w:cstheme="majorBidi"/>
          <w:b/>
          <w:bCs/>
          <w:color w:val="4472C4" w:themeColor="accent1"/>
        </w:rPr>
        <w:t>emploi</w:t>
      </w:r>
      <w:r w:rsidR="008A32EC" w:rsidRPr="000929D5">
        <w:rPr>
          <w:rFonts w:asciiTheme="majorBidi" w:hAnsiTheme="majorBidi" w:cstheme="majorBidi"/>
          <w:b/>
          <w:bCs/>
          <w:color w:val="4472C4" w:themeColor="accent1"/>
        </w:rPr>
        <w:t xml:space="preserve"> de l’économie nationale</w:t>
      </w:r>
      <w:r w:rsidR="008A32EC">
        <w:rPr>
          <w:rFonts w:asciiTheme="majorBidi" w:hAnsiTheme="majorBidi" w:cstheme="majorBidi"/>
          <w:b/>
          <w:bCs/>
          <w:color w:val="4472C4" w:themeColor="accent1"/>
        </w:rPr>
        <w:t xml:space="preserve"> </w:t>
      </w:r>
    </w:p>
    <w:p w:rsidR="00F63BF5" w:rsidRPr="006403F6" w:rsidRDefault="00F63BF5" w:rsidP="005971AD">
      <w:pPr>
        <w:spacing w:before="240" w:line="312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 xml:space="preserve">La répartition des actifs occupés selon le secteur d’activité montre que le secteur des </w:t>
      </w:r>
      <w:r w:rsidR="005971AD" w:rsidRPr="005971AD">
        <w:rPr>
          <w:rFonts w:asciiTheme="majorBidi" w:hAnsiTheme="majorBidi" w:cstheme="majorBidi"/>
        </w:rPr>
        <w:t>"S</w:t>
      </w:r>
      <w:r w:rsidRPr="006403F6">
        <w:rPr>
          <w:rFonts w:asciiTheme="majorBidi" w:hAnsiTheme="majorBidi" w:cstheme="majorBidi"/>
        </w:rPr>
        <w:t>ervices</w:t>
      </w:r>
      <w:r w:rsidR="005971AD" w:rsidRPr="005971AD">
        <w:rPr>
          <w:rFonts w:asciiTheme="majorBidi" w:hAnsiTheme="majorBidi" w:cstheme="majorBidi"/>
        </w:rPr>
        <w:t>"</w:t>
      </w:r>
      <w:r w:rsidRPr="006403F6">
        <w:rPr>
          <w:rFonts w:asciiTheme="majorBidi" w:hAnsiTheme="majorBidi" w:cstheme="majorBidi"/>
        </w:rPr>
        <w:t xml:space="preserve"> se situe en première position avec 5.099.000 personnes et une part de 47,4%, suivi de l’"Agriculture, forêt et pêche" avec 3.149.000 personnes (29,3%), de l’</w:t>
      </w:r>
      <w:r w:rsidR="005971AD" w:rsidRPr="006403F6">
        <w:rPr>
          <w:rFonts w:asciiTheme="majorBidi" w:hAnsiTheme="majorBidi" w:cstheme="majorBidi"/>
          <w:b/>
          <w:bCs/>
          <w:color w:val="323E4F" w:themeColor="text2" w:themeShade="BF"/>
        </w:rPr>
        <w:t>"</w:t>
      </w:r>
      <w:r w:rsidRPr="006403F6">
        <w:rPr>
          <w:rFonts w:asciiTheme="majorBidi" w:hAnsiTheme="majorBidi" w:cstheme="majorBidi"/>
        </w:rPr>
        <w:t>Industrie</w:t>
      </w:r>
      <w:r w:rsidR="00093035">
        <w:rPr>
          <w:rFonts w:asciiTheme="majorBidi" w:hAnsiTheme="majorBidi" w:cstheme="majorBidi"/>
        </w:rPr>
        <w:t xml:space="preserve"> y compris l’artisanat</w:t>
      </w:r>
      <w:r w:rsidR="005971AD" w:rsidRPr="006403F6">
        <w:rPr>
          <w:rFonts w:asciiTheme="majorBidi" w:hAnsiTheme="majorBidi" w:cstheme="majorBidi"/>
          <w:b/>
          <w:bCs/>
          <w:color w:val="323E4F" w:themeColor="text2" w:themeShade="BF"/>
        </w:rPr>
        <w:t>"</w:t>
      </w:r>
      <w:r w:rsidR="00093035">
        <w:rPr>
          <w:rFonts w:asciiTheme="majorBidi" w:hAnsiTheme="majorBidi" w:cstheme="majorBidi"/>
        </w:rPr>
        <w:t>,</w:t>
      </w:r>
      <w:r w:rsidRPr="006403F6">
        <w:rPr>
          <w:rFonts w:asciiTheme="majorBidi" w:hAnsiTheme="majorBidi" w:cstheme="majorBidi"/>
        </w:rPr>
        <w:t xml:space="preserve"> avec 1.289.000 personnes (12%) et, enfin, des BTP avec 1.209.000 personnes (11,2%)</w:t>
      </w:r>
      <w:r w:rsidRPr="006403F6">
        <w:rPr>
          <w:rFonts w:asciiTheme="majorBidi" w:hAnsiTheme="majorBidi" w:cstheme="majorBidi"/>
          <w:vertAlign w:val="superscript"/>
        </w:rPr>
        <w:footnoteReference w:id="1"/>
      </w:r>
      <w:r w:rsidRPr="006403F6">
        <w:rPr>
          <w:rFonts w:asciiTheme="majorBidi" w:hAnsiTheme="majorBidi" w:cstheme="majorBidi"/>
          <w:vertAlign w:val="superscript"/>
        </w:rPr>
        <w:t xml:space="preserve">. </w:t>
      </w:r>
    </w:p>
    <w:p w:rsidR="009A3431" w:rsidRDefault="00F63BF5" w:rsidP="00EC780A">
      <w:pPr>
        <w:spacing w:before="240" w:line="312" w:lineRule="auto"/>
        <w:jc w:val="both"/>
        <w:rPr>
          <w:rFonts w:asciiTheme="majorBidi" w:hAnsiTheme="majorBidi" w:cstheme="majorBidi"/>
        </w:rPr>
      </w:pPr>
      <w:r w:rsidRPr="00A63256">
        <w:rPr>
          <w:rFonts w:asciiTheme="majorBidi" w:hAnsiTheme="majorBidi" w:cstheme="majorBidi"/>
        </w:rPr>
        <w:t xml:space="preserve">Parmi les 5.099.000 personnes exerçant dans le secteur des </w:t>
      </w:r>
      <w:r w:rsidR="005971AD" w:rsidRPr="00A63256">
        <w:rPr>
          <w:rFonts w:asciiTheme="majorBidi" w:hAnsiTheme="majorBidi" w:cstheme="majorBidi"/>
          <w:b/>
          <w:bCs/>
          <w:color w:val="323E4F" w:themeColor="text2" w:themeShade="BF"/>
        </w:rPr>
        <w:t>"</w:t>
      </w:r>
      <w:r w:rsidR="005971AD" w:rsidRPr="00A63256">
        <w:rPr>
          <w:rFonts w:asciiTheme="majorBidi" w:hAnsiTheme="majorBidi" w:cstheme="majorBidi"/>
        </w:rPr>
        <w:t>S</w:t>
      </w:r>
      <w:r w:rsidRPr="00A63256">
        <w:rPr>
          <w:rFonts w:asciiTheme="majorBidi" w:hAnsiTheme="majorBidi" w:cstheme="majorBidi"/>
        </w:rPr>
        <w:t>ervices</w:t>
      </w:r>
      <w:r w:rsidR="005971AD" w:rsidRPr="00A63256">
        <w:rPr>
          <w:rFonts w:asciiTheme="majorBidi" w:hAnsiTheme="majorBidi" w:cstheme="majorBidi"/>
          <w:b/>
          <w:bCs/>
          <w:color w:val="323E4F" w:themeColor="text2" w:themeShade="BF"/>
        </w:rPr>
        <w:t>"</w:t>
      </w:r>
      <w:r w:rsidRPr="00A63256">
        <w:rPr>
          <w:rFonts w:asciiTheme="majorBidi" w:hAnsiTheme="majorBidi" w:cstheme="majorBidi"/>
        </w:rPr>
        <w:t>, 32,9% relèvent de la branche du commerce, 12,1% des services sociaux fournis à la collectivité et 11,9% du transport, entrepôts et communications.</w:t>
      </w:r>
      <w:r w:rsidR="002D0A82">
        <w:rPr>
          <w:rFonts w:asciiTheme="majorBidi" w:hAnsiTheme="majorBidi" w:cstheme="majorBidi"/>
        </w:rPr>
        <w:t xml:space="preserve"> </w:t>
      </w:r>
    </w:p>
    <w:p w:rsidR="00EC780A" w:rsidRDefault="00EC780A" w:rsidP="00EC780A">
      <w:pPr>
        <w:spacing w:before="240" w:line="312" w:lineRule="auto"/>
        <w:jc w:val="both"/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</w:pPr>
    </w:p>
    <w:p w:rsidR="00F63BF5" w:rsidRPr="006403F6" w:rsidRDefault="00F63BF5" w:rsidP="00F63BF5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</w:pPr>
      <w:r w:rsidRPr="006403F6"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  <w:t>Graphique 4 : Répartition des actifs occupés selon les secteurs d’activité en 2022 (%)</w:t>
      </w:r>
    </w:p>
    <w:p w:rsidR="00F63BF5" w:rsidRPr="006403F6" w:rsidRDefault="00F63BF5" w:rsidP="00F63BF5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</w:pPr>
      <w:r w:rsidRPr="006403F6">
        <w:rPr>
          <w:rFonts w:asciiTheme="majorBidi" w:hAnsiTheme="majorBidi" w:cstheme="majorBidi"/>
          <w:noProof/>
        </w:rPr>
        <w:drawing>
          <wp:inline distT="0" distB="0" distL="0" distR="0">
            <wp:extent cx="5299710" cy="2290526"/>
            <wp:effectExtent l="19050" t="0" r="0" b="0"/>
            <wp:docPr id="8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780A" w:rsidRDefault="00EC780A">
      <w:pPr>
        <w:spacing w:after="160" w:line="259" w:lineRule="auto"/>
        <w:rPr>
          <w:rFonts w:asciiTheme="majorBidi" w:hAnsiTheme="majorBidi" w:cstheme="majorBidi"/>
          <w:b/>
          <w:bCs/>
          <w:color w:val="4472C4" w:themeColor="accent1"/>
        </w:rPr>
      </w:pPr>
      <w:r>
        <w:rPr>
          <w:rFonts w:asciiTheme="majorBidi" w:hAnsiTheme="majorBidi" w:cstheme="majorBidi"/>
          <w:b/>
          <w:bCs/>
          <w:color w:val="4472C4" w:themeColor="accent1"/>
        </w:rPr>
        <w:br w:type="page"/>
      </w:r>
    </w:p>
    <w:p w:rsidR="00F63BF5" w:rsidRPr="008A322D" w:rsidRDefault="00F63BF5" w:rsidP="00F63BF5">
      <w:pPr>
        <w:spacing w:before="240" w:line="312" w:lineRule="auto"/>
        <w:jc w:val="both"/>
        <w:rPr>
          <w:rFonts w:asciiTheme="majorBidi" w:hAnsiTheme="majorBidi" w:cstheme="majorBidi"/>
          <w:b/>
          <w:bCs/>
          <w:color w:val="4472C4" w:themeColor="accent1"/>
        </w:rPr>
      </w:pPr>
      <w:r w:rsidRPr="008A322D">
        <w:rPr>
          <w:rFonts w:asciiTheme="majorBidi" w:hAnsiTheme="majorBidi" w:cstheme="majorBidi"/>
          <w:b/>
          <w:bCs/>
          <w:color w:val="4472C4" w:themeColor="accent1"/>
        </w:rPr>
        <w:lastRenderedPageBreak/>
        <w:t xml:space="preserve">Les statuts du salariat et de l’emploi indépendant prédominent </w:t>
      </w:r>
    </w:p>
    <w:p w:rsidR="00F63BF5" w:rsidRPr="006403F6" w:rsidRDefault="00F63BF5" w:rsidP="00F63BF5">
      <w:pPr>
        <w:spacing w:before="240" w:line="312" w:lineRule="auto"/>
        <w:jc w:val="both"/>
        <w:rPr>
          <w:rFonts w:asciiTheme="majorBidi" w:eastAsia="Book Antiqua" w:hAnsiTheme="majorBidi" w:cstheme="majorBidi"/>
        </w:rPr>
      </w:pPr>
      <w:r w:rsidRPr="006403F6">
        <w:rPr>
          <w:rFonts w:asciiTheme="majorBidi" w:eastAsia="Book Antiqua" w:hAnsiTheme="majorBidi" w:cstheme="majorBidi"/>
        </w:rPr>
        <w:t>Plus que la moitié (52,6%) des actifs occupés sont des salariés (contre 51,8% une année auparavant), 30,3% des indépendants (contre 29,6%), 12,3% des aides familiales (contre 13,7%) et 2,1% des employeurs (contre 2,2%).</w:t>
      </w:r>
    </w:p>
    <w:p w:rsidR="00F63BF5" w:rsidRPr="006403F6" w:rsidRDefault="00F63BF5" w:rsidP="00F63BF5">
      <w:pPr>
        <w:spacing w:before="240" w:line="312" w:lineRule="auto"/>
        <w:jc w:val="both"/>
        <w:rPr>
          <w:rFonts w:asciiTheme="majorBidi" w:eastAsia="Book Antiqua" w:hAnsiTheme="majorBidi" w:cstheme="majorBidi"/>
        </w:rPr>
      </w:pPr>
      <w:r w:rsidRPr="006403F6">
        <w:rPr>
          <w:rFonts w:asciiTheme="majorBidi" w:eastAsia="Book Antiqua" w:hAnsiTheme="majorBidi" w:cstheme="majorBidi"/>
        </w:rPr>
        <w:t>Les professions les plus exercées sont les professions des</w:t>
      </w:r>
      <w:r w:rsidRPr="006403F6">
        <w:rPr>
          <w:rFonts w:asciiTheme="majorBidi" w:eastAsia="Book Antiqua" w:hAnsiTheme="majorBidi" w:cstheme="majorBidi"/>
        </w:rPr>
        <w:sym w:font="Symbol" w:char="F0B2"/>
      </w:r>
      <w:r w:rsidRPr="006403F6">
        <w:rPr>
          <w:rFonts w:asciiTheme="majorBidi" w:eastAsia="Book Antiqua" w:hAnsiTheme="majorBidi" w:cstheme="majorBidi"/>
        </w:rPr>
        <w:t>artisans et ouvriers qualifiés des métiers artisanaux</w:t>
      </w:r>
      <w:r w:rsidRPr="006403F6">
        <w:rPr>
          <w:rFonts w:asciiTheme="majorBidi" w:eastAsia="Book Antiqua" w:hAnsiTheme="majorBidi" w:cstheme="majorBidi"/>
        </w:rPr>
        <w:sym w:font="Symbol" w:char="F0B2"/>
      </w:r>
      <w:r w:rsidRPr="006403F6">
        <w:rPr>
          <w:rFonts w:asciiTheme="majorBidi" w:eastAsia="Book Antiqua" w:hAnsiTheme="majorBidi" w:cstheme="majorBidi"/>
        </w:rPr>
        <w:t xml:space="preserve"> avec 19,6%, des "ouvriers et manœuvres de l’agriculture et de la pêche" (17,8%) et des "manœuvres non agricoles, manutentionnaires et travailleurs des petits métiers" (16,5%).</w:t>
      </w:r>
    </w:p>
    <w:p w:rsidR="00BC2E56" w:rsidRDefault="00BC2E56" w:rsidP="001F49BC">
      <w:pPr>
        <w:spacing w:after="200" w:line="276" w:lineRule="auto"/>
        <w:rPr>
          <w:rFonts w:asciiTheme="majorBidi" w:hAnsiTheme="majorBidi" w:cstheme="majorBidi"/>
          <w:b/>
          <w:bCs/>
          <w:color w:val="4472C4" w:themeColor="accent1"/>
        </w:rPr>
      </w:pPr>
    </w:p>
    <w:p w:rsidR="00F63BF5" w:rsidRPr="008A322D" w:rsidRDefault="001F49BC" w:rsidP="001F49BC">
      <w:pPr>
        <w:spacing w:after="200" w:line="276" w:lineRule="auto"/>
        <w:rPr>
          <w:rFonts w:asciiTheme="majorBidi" w:hAnsiTheme="majorBidi" w:cstheme="majorBidi"/>
          <w:b/>
          <w:bCs/>
          <w:color w:val="4472C4" w:themeColor="accent1"/>
        </w:rPr>
      </w:pPr>
      <w:r w:rsidRPr="000929D5">
        <w:rPr>
          <w:rFonts w:asciiTheme="majorBidi" w:hAnsiTheme="majorBidi" w:cstheme="majorBidi"/>
          <w:b/>
          <w:bCs/>
          <w:color w:val="4472C4" w:themeColor="accent1"/>
        </w:rPr>
        <w:t>N</w:t>
      </w:r>
      <w:r w:rsidR="00F63BF5" w:rsidRPr="000929D5">
        <w:rPr>
          <w:rFonts w:asciiTheme="majorBidi" w:hAnsiTheme="majorBidi" w:cstheme="majorBidi"/>
          <w:b/>
          <w:bCs/>
          <w:color w:val="4472C4" w:themeColor="accent1"/>
        </w:rPr>
        <w:t xml:space="preserve">iveaux </w:t>
      </w:r>
      <w:r w:rsidRPr="000929D5">
        <w:rPr>
          <w:rFonts w:asciiTheme="majorBidi" w:hAnsiTheme="majorBidi" w:cstheme="majorBidi"/>
          <w:b/>
          <w:bCs/>
          <w:color w:val="4472C4" w:themeColor="accent1"/>
        </w:rPr>
        <w:t xml:space="preserve"> d’instructions plus </w:t>
      </w:r>
      <w:r w:rsidR="00F63BF5" w:rsidRPr="000929D5">
        <w:rPr>
          <w:rFonts w:asciiTheme="majorBidi" w:hAnsiTheme="majorBidi" w:cstheme="majorBidi"/>
          <w:b/>
          <w:bCs/>
          <w:color w:val="4472C4" w:themeColor="accent1"/>
        </w:rPr>
        <w:t>élevés d</w:t>
      </w:r>
      <w:r w:rsidRPr="000929D5">
        <w:rPr>
          <w:rFonts w:asciiTheme="majorBidi" w:hAnsiTheme="majorBidi" w:cstheme="majorBidi"/>
          <w:b/>
          <w:bCs/>
          <w:color w:val="4472C4" w:themeColor="accent1"/>
        </w:rPr>
        <w:t>ans les S</w:t>
      </w:r>
      <w:r w:rsidR="00F63BF5" w:rsidRPr="000929D5">
        <w:rPr>
          <w:rFonts w:asciiTheme="majorBidi" w:hAnsiTheme="majorBidi" w:cstheme="majorBidi"/>
          <w:b/>
          <w:bCs/>
          <w:color w:val="4472C4" w:themeColor="accent1"/>
        </w:rPr>
        <w:t>ervices et l'</w:t>
      </w:r>
      <w:r w:rsidR="005971AD" w:rsidRPr="000929D5">
        <w:rPr>
          <w:rFonts w:asciiTheme="majorBidi" w:hAnsiTheme="majorBidi" w:cstheme="majorBidi"/>
          <w:b/>
          <w:bCs/>
          <w:color w:val="4472C4" w:themeColor="accent1"/>
        </w:rPr>
        <w:t>I</w:t>
      </w:r>
      <w:r w:rsidR="00F63BF5" w:rsidRPr="000929D5">
        <w:rPr>
          <w:rFonts w:asciiTheme="majorBidi" w:hAnsiTheme="majorBidi" w:cstheme="majorBidi"/>
          <w:b/>
          <w:bCs/>
          <w:color w:val="4472C4" w:themeColor="accent1"/>
        </w:rPr>
        <w:t>ndustrie</w:t>
      </w:r>
      <w:r w:rsidR="00073782" w:rsidRPr="008A322D">
        <w:rPr>
          <w:rFonts w:asciiTheme="majorBidi" w:hAnsiTheme="majorBidi" w:cstheme="majorBidi"/>
          <w:b/>
          <w:bCs/>
          <w:color w:val="4472C4" w:themeColor="accent1"/>
        </w:rPr>
        <w:t xml:space="preserve"> </w:t>
      </w:r>
    </w:p>
    <w:p w:rsidR="00F63BF5" w:rsidRPr="006403F6" w:rsidRDefault="00F63BF5" w:rsidP="009A2B65">
      <w:pPr>
        <w:shd w:val="clear" w:color="auto" w:fill="FFFFFF"/>
        <w:spacing w:before="240" w:line="336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>En 2022, un peu plus de la moitié (51,2%) des actifs occupés n’ont aucun diplôme, 31,8% ont un diplôme de niveau moyen</w:t>
      </w:r>
      <w:r w:rsidRPr="006403F6">
        <w:rPr>
          <w:rFonts w:asciiTheme="majorBidi" w:hAnsiTheme="majorBidi" w:cstheme="majorBidi"/>
          <w:vertAlign w:val="superscript"/>
        </w:rPr>
        <w:footnoteReference w:id="2"/>
      </w:r>
      <w:r w:rsidRPr="006403F6">
        <w:rPr>
          <w:rFonts w:asciiTheme="majorBidi" w:hAnsiTheme="majorBidi" w:cstheme="majorBidi"/>
        </w:rPr>
        <w:t>et 17% un diplôme de niveau supérieur</w:t>
      </w:r>
      <w:r w:rsidRPr="006403F6">
        <w:rPr>
          <w:rFonts w:asciiTheme="majorBidi" w:hAnsiTheme="majorBidi" w:cstheme="majorBidi"/>
          <w:vertAlign w:val="superscript"/>
        </w:rPr>
        <w:footnoteReference w:id="3"/>
      </w:r>
      <w:r w:rsidRPr="006403F6">
        <w:rPr>
          <w:rFonts w:asciiTheme="majorBidi" w:hAnsiTheme="majorBidi" w:cstheme="majorBidi"/>
        </w:rPr>
        <w:t>.</w:t>
      </w:r>
    </w:p>
    <w:p w:rsidR="00F63BF5" w:rsidRPr="006403F6" w:rsidRDefault="00F63BF5" w:rsidP="00F63BF5">
      <w:pPr>
        <w:shd w:val="clear" w:color="auto" w:fill="FFFFFF"/>
        <w:spacing w:before="240" w:line="336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>Selon le secteur d’activité, la part des actifs occupés ayant un diplôme supérieur est de 28,8%</w:t>
      </w:r>
      <w:r w:rsidR="00C11524">
        <w:rPr>
          <w:rFonts w:asciiTheme="majorBidi" w:hAnsiTheme="majorBidi" w:cstheme="majorBidi"/>
        </w:rPr>
        <w:t xml:space="preserve"> </w:t>
      </w:r>
      <w:r w:rsidRPr="006403F6">
        <w:rPr>
          <w:rFonts w:asciiTheme="majorBidi" w:hAnsiTheme="majorBidi" w:cstheme="majorBidi"/>
        </w:rPr>
        <w:t>d</w:t>
      </w:r>
      <w:r w:rsidR="00BC43CB">
        <w:rPr>
          <w:rFonts w:asciiTheme="majorBidi" w:hAnsiTheme="majorBidi" w:cstheme="majorBidi"/>
        </w:rPr>
        <w:t>ans les services, 17,7% dans l'i</w:t>
      </w:r>
      <w:r w:rsidRPr="006403F6">
        <w:rPr>
          <w:rFonts w:asciiTheme="majorBidi" w:hAnsiTheme="majorBidi" w:cstheme="majorBidi"/>
        </w:rPr>
        <w:t xml:space="preserve">ndustrie y compris l’artisanat et de 7,2% dans les BTP. </w:t>
      </w:r>
    </w:p>
    <w:p w:rsidR="00F63BF5" w:rsidRPr="006403F6" w:rsidRDefault="00F63BF5" w:rsidP="00F63BF5">
      <w:pPr>
        <w:shd w:val="clear" w:color="auto" w:fill="FFFFFF"/>
        <w:spacing w:line="336" w:lineRule="auto"/>
        <w:jc w:val="both"/>
        <w:rPr>
          <w:rFonts w:asciiTheme="majorBidi" w:hAnsiTheme="majorBidi" w:cstheme="majorBidi"/>
        </w:rPr>
      </w:pPr>
    </w:p>
    <w:p w:rsidR="00F63BF5" w:rsidRPr="006403F6" w:rsidRDefault="00F63BF5" w:rsidP="00EC780A">
      <w:pPr>
        <w:spacing w:after="160" w:line="259" w:lineRule="auto"/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</w:pPr>
      <w:r w:rsidRPr="006403F6"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  <w:t>Graphique 5 : Structure de la population active occupée selon le diplôme et le secteur en 2022 (%)</w:t>
      </w:r>
    </w:p>
    <w:p w:rsidR="00F63BF5" w:rsidRPr="006403F6" w:rsidRDefault="00F63BF5" w:rsidP="00F63BF5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</w:pPr>
      <w:r w:rsidRPr="006403F6">
        <w:rPr>
          <w:rFonts w:asciiTheme="majorBidi" w:hAnsiTheme="majorBidi" w:cstheme="majorBidi"/>
          <w:noProof/>
        </w:rPr>
        <w:drawing>
          <wp:inline distT="0" distB="0" distL="0" distR="0">
            <wp:extent cx="4559300" cy="2199445"/>
            <wp:effectExtent l="0" t="0" r="0" b="0"/>
            <wp:docPr id="9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780A" w:rsidRDefault="00EC780A">
      <w:pPr>
        <w:spacing w:after="160" w:line="259" w:lineRule="auto"/>
        <w:rPr>
          <w:rFonts w:asciiTheme="majorBidi" w:hAnsiTheme="majorBidi" w:cstheme="majorBidi"/>
          <w:b/>
          <w:bCs/>
          <w:color w:val="4472C4" w:themeColor="accent1"/>
        </w:rPr>
      </w:pPr>
      <w:r>
        <w:rPr>
          <w:rFonts w:asciiTheme="majorBidi" w:hAnsiTheme="majorBidi" w:cstheme="majorBidi"/>
          <w:b/>
          <w:bCs/>
          <w:color w:val="4472C4" w:themeColor="accent1"/>
        </w:rPr>
        <w:br w:type="page"/>
      </w:r>
    </w:p>
    <w:p w:rsidR="00F63BF5" w:rsidRPr="008A322D" w:rsidRDefault="001F49BC" w:rsidP="001F49BC">
      <w:pPr>
        <w:spacing w:after="200" w:line="276" w:lineRule="auto"/>
        <w:rPr>
          <w:rFonts w:asciiTheme="majorBidi" w:hAnsiTheme="majorBidi" w:cstheme="majorBidi"/>
          <w:b/>
          <w:bCs/>
          <w:color w:val="4472C4" w:themeColor="accent1"/>
        </w:rPr>
      </w:pPr>
      <w:r w:rsidRPr="000929D5">
        <w:rPr>
          <w:rFonts w:asciiTheme="majorBidi" w:hAnsiTheme="majorBidi" w:cstheme="majorBidi"/>
          <w:b/>
          <w:bCs/>
          <w:color w:val="4472C4" w:themeColor="accent1"/>
        </w:rPr>
        <w:lastRenderedPageBreak/>
        <w:t>Niveau d’i</w:t>
      </w:r>
      <w:r w:rsidR="00F63BF5" w:rsidRPr="000929D5">
        <w:rPr>
          <w:rFonts w:asciiTheme="majorBidi" w:hAnsiTheme="majorBidi" w:cstheme="majorBidi"/>
          <w:b/>
          <w:bCs/>
          <w:color w:val="4472C4" w:themeColor="accent1"/>
        </w:rPr>
        <w:t xml:space="preserve">négalité </w:t>
      </w:r>
      <w:r w:rsidRPr="000929D5">
        <w:rPr>
          <w:rFonts w:asciiTheme="majorBidi" w:hAnsiTheme="majorBidi" w:cstheme="majorBidi"/>
          <w:b/>
          <w:bCs/>
          <w:color w:val="4472C4" w:themeColor="accent1"/>
        </w:rPr>
        <w:t>par secteur</w:t>
      </w:r>
    </w:p>
    <w:p w:rsidR="00F63BF5" w:rsidRPr="006403F6" w:rsidRDefault="00F63BF5" w:rsidP="004C3355">
      <w:pPr>
        <w:widowControl w:val="0"/>
        <w:shd w:val="clear" w:color="auto" w:fill="FFFFFF"/>
        <w:spacing w:before="120" w:after="120" w:line="312" w:lineRule="auto"/>
        <w:ind w:left="-57"/>
        <w:jc w:val="both"/>
        <w:rPr>
          <w:rFonts w:asciiTheme="majorBidi" w:eastAsia="Book Antiqua" w:hAnsiTheme="majorBidi" w:cstheme="majorBidi"/>
        </w:rPr>
      </w:pPr>
      <w:r w:rsidRPr="006403F6">
        <w:rPr>
          <w:rFonts w:asciiTheme="majorBidi" w:eastAsia="Book Antiqua" w:hAnsiTheme="majorBidi" w:cstheme="majorBidi"/>
        </w:rPr>
        <w:t xml:space="preserve">En 2022, </w:t>
      </w:r>
      <w:r w:rsidR="004C3355">
        <w:rPr>
          <w:rFonts w:asciiTheme="majorBidi" w:eastAsia="Book Antiqua" w:hAnsiTheme="majorBidi" w:cstheme="majorBidi"/>
        </w:rPr>
        <w:t xml:space="preserve">un peu plus du </w:t>
      </w:r>
      <w:r w:rsidRPr="006403F6">
        <w:rPr>
          <w:rFonts w:asciiTheme="majorBidi" w:eastAsia="Book Antiqua" w:hAnsiTheme="majorBidi" w:cstheme="majorBidi"/>
        </w:rPr>
        <w:t xml:space="preserve">quart des actifs occupés (26,5%) bénéficient d’une couverture médicale liée à l’emploi, 38,3% dans les villes et 9,4% à la campagne. </w:t>
      </w:r>
    </w:p>
    <w:p w:rsidR="00F63BF5" w:rsidRPr="006403F6" w:rsidRDefault="00F63BF5" w:rsidP="00073782">
      <w:pPr>
        <w:widowControl w:val="0"/>
        <w:shd w:val="clear" w:color="auto" w:fill="FFFFFF"/>
        <w:spacing w:before="120" w:after="120" w:line="312" w:lineRule="auto"/>
        <w:ind w:left="-57"/>
        <w:jc w:val="both"/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</w:pPr>
      <w:r w:rsidRPr="006403F6">
        <w:rPr>
          <w:rFonts w:asciiTheme="majorBidi" w:eastAsia="Book Antiqua" w:hAnsiTheme="majorBidi" w:cstheme="majorBidi"/>
        </w:rPr>
        <w:t xml:space="preserve">Les actifs occupés </w:t>
      </w:r>
      <w:r w:rsidR="00073782">
        <w:rPr>
          <w:rFonts w:asciiTheme="majorBidi" w:eastAsia="Book Antiqua" w:hAnsiTheme="majorBidi" w:cstheme="majorBidi"/>
        </w:rPr>
        <w:t>exerçant dans l’I</w:t>
      </w:r>
      <w:r w:rsidRPr="006403F6">
        <w:rPr>
          <w:rFonts w:asciiTheme="majorBidi" w:eastAsia="Book Antiqua" w:hAnsiTheme="majorBidi" w:cstheme="majorBidi"/>
        </w:rPr>
        <w:t>ndustrie</w:t>
      </w:r>
      <w:r w:rsidR="00BC43CB">
        <w:rPr>
          <w:rFonts w:asciiTheme="majorBidi" w:eastAsia="Book Antiqua" w:hAnsiTheme="majorBidi" w:cstheme="majorBidi"/>
        </w:rPr>
        <w:t xml:space="preserve"> y compris l’artisanat</w:t>
      </w:r>
      <w:r w:rsidRPr="006403F6">
        <w:rPr>
          <w:rFonts w:asciiTheme="majorBidi" w:eastAsia="Book Antiqua" w:hAnsiTheme="majorBidi" w:cstheme="majorBidi"/>
        </w:rPr>
        <w:t xml:space="preserve"> enregistrent le taux de couverture médicale le plus élevé avec 46,3%, suivis de ceux relevant du secteur des </w:t>
      </w:r>
      <w:r w:rsidR="00073782">
        <w:rPr>
          <w:rFonts w:asciiTheme="majorBidi" w:eastAsia="Book Antiqua" w:hAnsiTheme="majorBidi" w:cstheme="majorBidi"/>
        </w:rPr>
        <w:t>S</w:t>
      </w:r>
      <w:r w:rsidRPr="006403F6">
        <w:rPr>
          <w:rFonts w:asciiTheme="majorBidi" w:eastAsia="Book Antiqua" w:hAnsiTheme="majorBidi" w:cstheme="majorBidi"/>
        </w:rPr>
        <w:t>ervices (37,9%), des BTP (12,4%) et de l’</w:t>
      </w:r>
      <w:r w:rsidR="00073782">
        <w:rPr>
          <w:rFonts w:asciiTheme="majorBidi" w:eastAsia="Book Antiqua" w:hAnsiTheme="majorBidi" w:cstheme="majorBidi"/>
        </w:rPr>
        <w:t>A</w:t>
      </w:r>
      <w:r w:rsidRPr="006403F6">
        <w:rPr>
          <w:rFonts w:asciiTheme="majorBidi" w:eastAsia="Book Antiqua" w:hAnsiTheme="majorBidi" w:cstheme="majorBidi"/>
        </w:rPr>
        <w:t>griculture, forêt et pêche (5,4%).</w:t>
      </w:r>
    </w:p>
    <w:p w:rsidR="00F63BF5" w:rsidRPr="006403F6" w:rsidRDefault="00F63BF5" w:rsidP="00F63BF5">
      <w:pPr>
        <w:spacing w:after="200" w:line="276" w:lineRule="auto"/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</w:pPr>
      <w:r w:rsidRPr="006403F6"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  <w:t>Graphique 6 : Taux de couverture des actifs occupés de 15 ans et plus par une assurance maladie liée à leur emploi, selon le milieu de résidence (%)</w:t>
      </w:r>
    </w:p>
    <w:p w:rsidR="00F63BF5" w:rsidRPr="006403F6" w:rsidRDefault="00F63BF5" w:rsidP="00F63BF5">
      <w:pPr>
        <w:widowControl w:val="0"/>
        <w:shd w:val="clear" w:color="auto" w:fill="FFFFFF"/>
        <w:spacing w:before="120" w:after="120" w:line="312" w:lineRule="auto"/>
        <w:jc w:val="center"/>
        <w:rPr>
          <w:rFonts w:asciiTheme="majorBidi" w:eastAsia="Book Antiqua" w:hAnsiTheme="majorBidi" w:cstheme="majorBidi"/>
        </w:rPr>
      </w:pPr>
      <w:r w:rsidRPr="006403F6">
        <w:rPr>
          <w:rFonts w:asciiTheme="majorBidi" w:hAnsiTheme="majorBidi" w:cstheme="majorBidi"/>
          <w:noProof/>
        </w:rPr>
        <w:drawing>
          <wp:inline distT="0" distB="0" distL="0" distR="0">
            <wp:extent cx="5760720" cy="2524125"/>
            <wp:effectExtent l="0" t="0" r="0" b="0"/>
            <wp:docPr id="10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63BF5" w:rsidRPr="006403F6" w:rsidRDefault="00F63BF5" w:rsidP="00F63BF5">
      <w:pPr>
        <w:spacing w:after="200" w:line="276" w:lineRule="auto"/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</w:pPr>
      <w:r w:rsidRPr="006403F6"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  <w:t>Graphique 7 : Taux de couverture des actifs occupés de 15 ans et plus par une assurance maladie liée à leur emploi, et part des salariés ayant un contrat de travail selon le secteur d’activité en 2022 (%).</w:t>
      </w:r>
      <w:r w:rsidRPr="006403F6">
        <w:rPr>
          <w:rFonts w:asciiTheme="majorBidi" w:hAnsiTheme="majorBidi" w:cstheme="majorBidi"/>
          <w:noProof/>
        </w:rPr>
        <w:drawing>
          <wp:inline distT="0" distB="0" distL="0" distR="0">
            <wp:extent cx="5757771" cy="2619314"/>
            <wp:effectExtent l="0" t="0" r="0" b="0"/>
            <wp:docPr id="12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63BF5" w:rsidRPr="006403F6" w:rsidRDefault="00F63BF5" w:rsidP="008B570C">
      <w:pPr>
        <w:widowControl w:val="0"/>
        <w:shd w:val="clear" w:color="auto" w:fill="FFFFFF"/>
        <w:spacing w:before="120" w:after="120" w:line="312" w:lineRule="auto"/>
        <w:jc w:val="both"/>
        <w:rPr>
          <w:rFonts w:asciiTheme="majorBidi" w:eastAsia="Book Antiqua" w:hAnsiTheme="majorBidi" w:cstheme="majorBidi"/>
        </w:rPr>
      </w:pPr>
      <w:r w:rsidRPr="006403F6">
        <w:rPr>
          <w:rFonts w:asciiTheme="majorBidi" w:eastAsia="Book Antiqua" w:hAnsiTheme="majorBidi" w:cstheme="majorBidi"/>
        </w:rPr>
        <w:t xml:space="preserve">La part des actifs occupés affiliés à un régime de couverture </w:t>
      </w:r>
      <w:r w:rsidRPr="00A63256">
        <w:rPr>
          <w:rFonts w:asciiTheme="majorBidi" w:eastAsia="Book Antiqua" w:hAnsiTheme="majorBidi" w:cstheme="majorBidi"/>
        </w:rPr>
        <w:t>médicale s’améliore nettement au fur et à mesure que le niveau de diplôme s’élève. Elle passe de 1</w:t>
      </w:r>
      <w:r w:rsidR="008B570C" w:rsidRPr="00A63256">
        <w:rPr>
          <w:rFonts w:asciiTheme="majorBidi" w:eastAsia="Book Antiqua" w:hAnsiTheme="majorBidi" w:cstheme="majorBidi"/>
        </w:rPr>
        <w:t>1</w:t>
      </w:r>
      <w:r w:rsidRPr="00A63256">
        <w:rPr>
          <w:rFonts w:asciiTheme="majorBidi" w:eastAsia="Book Antiqua" w:hAnsiTheme="majorBidi" w:cstheme="majorBidi"/>
        </w:rPr>
        <w:t>,</w:t>
      </w:r>
      <w:r w:rsidR="008B570C" w:rsidRPr="00A63256">
        <w:rPr>
          <w:rFonts w:asciiTheme="majorBidi" w:eastAsia="Book Antiqua" w:hAnsiTheme="majorBidi" w:cstheme="majorBidi"/>
        </w:rPr>
        <w:t>8</w:t>
      </w:r>
      <w:r w:rsidRPr="00A63256">
        <w:rPr>
          <w:rFonts w:asciiTheme="majorBidi" w:eastAsia="Book Antiqua" w:hAnsiTheme="majorBidi" w:cstheme="majorBidi"/>
        </w:rPr>
        <w:t>% parmi les personnes n'ayant aucun diplôme à 7</w:t>
      </w:r>
      <w:r w:rsidR="008B570C" w:rsidRPr="00A63256">
        <w:rPr>
          <w:rFonts w:asciiTheme="majorBidi" w:eastAsia="Book Antiqua" w:hAnsiTheme="majorBidi" w:cstheme="majorBidi"/>
        </w:rPr>
        <w:t>2,2</w:t>
      </w:r>
      <w:r w:rsidRPr="00A63256">
        <w:rPr>
          <w:rFonts w:asciiTheme="majorBidi" w:eastAsia="Book Antiqua" w:hAnsiTheme="majorBidi" w:cstheme="majorBidi"/>
        </w:rPr>
        <w:t>% parmi celles ayant un diplôme supérieur</w:t>
      </w:r>
      <w:r w:rsidRPr="006403F6">
        <w:rPr>
          <w:rFonts w:asciiTheme="majorBidi" w:eastAsia="Book Antiqua" w:hAnsiTheme="majorBidi" w:cstheme="majorBidi"/>
        </w:rPr>
        <w:t>.</w:t>
      </w:r>
    </w:p>
    <w:p w:rsidR="00F63BF5" w:rsidRPr="006403F6" w:rsidRDefault="00F63BF5" w:rsidP="008B570C">
      <w:pPr>
        <w:widowControl w:val="0"/>
        <w:shd w:val="clear" w:color="auto" w:fill="FFFFFF"/>
        <w:spacing w:before="120" w:after="120" w:line="312" w:lineRule="auto"/>
        <w:jc w:val="both"/>
        <w:rPr>
          <w:rFonts w:asciiTheme="majorBidi" w:eastAsia="Book Antiqua" w:hAnsiTheme="majorBidi" w:cstheme="majorBidi"/>
          <w:color w:val="FF0000"/>
        </w:rPr>
      </w:pPr>
      <w:r w:rsidRPr="006403F6">
        <w:rPr>
          <w:rFonts w:asciiTheme="majorBidi" w:eastAsia="Book Antiqua" w:hAnsiTheme="majorBidi" w:cstheme="majorBidi"/>
        </w:rPr>
        <w:lastRenderedPageBreak/>
        <w:t>Un peu moins de la moitié (46,7%) des salariés bénéficient d’une couverture médicale assurée par l’employeur, 53,9% en milieu urbain et 26,4% en milieu rural, 59</w:t>
      </w:r>
      <w:r w:rsidRPr="006403F6">
        <w:rPr>
          <w:rFonts w:asciiTheme="majorBidi" w:eastAsia="Book Antiqua" w:hAnsiTheme="majorBidi" w:cstheme="majorBidi"/>
          <w:lang w:bidi="tzm-Arab-MA"/>
        </w:rPr>
        <w:t>%</w:t>
      </w:r>
      <w:r w:rsidRPr="006403F6">
        <w:rPr>
          <w:rFonts w:asciiTheme="majorBidi" w:eastAsia="Book Antiqua" w:hAnsiTheme="majorBidi" w:cstheme="majorBidi"/>
        </w:rPr>
        <w:t xml:space="preserve"> parmi les femmes et 43,6% parmi les hommes. Pour les auto-employés, cette part est de 5,5%.</w:t>
      </w:r>
    </w:p>
    <w:p w:rsidR="00F63BF5" w:rsidRPr="006403F6" w:rsidRDefault="00F63BF5" w:rsidP="00EB3C5D">
      <w:pPr>
        <w:spacing w:before="240" w:line="312" w:lineRule="auto"/>
        <w:jc w:val="both"/>
        <w:rPr>
          <w:rFonts w:asciiTheme="majorBidi" w:hAnsiTheme="majorBidi" w:cstheme="majorBidi"/>
          <w:highlight w:val="yellow"/>
        </w:rPr>
      </w:pPr>
      <w:r w:rsidRPr="006403F6">
        <w:rPr>
          <w:rFonts w:asciiTheme="majorBidi" w:eastAsia="Book Antiqua" w:hAnsiTheme="majorBidi" w:cstheme="majorBidi"/>
        </w:rPr>
        <w:t xml:space="preserve">Un actif occupé sur </w:t>
      </w:r>
      <w:r w:rsidR="00BC43CB">
        <w:rPr>
          <w:rFonts w:asciiTheme="majorBidi" w:eastAsia="Book Antiqua" w:hAnsiTheme="majorBidi" w:cstheme="majorBidi"/>
        </w:rPr>
        <w:t xml:space="preserve">quatre </w:t>
      </w:r>
      <w:r w:rsidRPr="006403F6">
        <w:rPr>
          <w:rFonts w:asciiTheme="majorBidi" w:eastAsia="Book Antiqua" w:hAnsiTheme="majorBidi" w:cstheme="majorBidi"/>
        </w:rPr>
        <w:t>(25,8%) est affilié à un système de retraite, 37,9% en milieu urbain et 8,1% en milieu rural. Le taux de couverture</w:t>
      </w:r>
      <w:r w:rsidR="00EB3C5D">
        <w:rPr>
          <w:rFonts w:asciiTheme="majorBidi" w:eastAsia="Book Antiqua" w:hAnsiTheme="majorBidi" w:cstheme="majorBidi"/>
        </w:rPr>
        <w:t xml:space="preserve"> par un système de retraite est </w:t>
      </w:r>
      <w:r w:rsidRPr="006403F6">
        <w:rPr>
          <w:rFonts w:asciiTheme="majorBidi" w:eastAsia="Book Antiqua" w:hAnsiTheme="majorBidi" w:cstheme="majorBidi"/>
        </w:rPr>
        <w:t>plus élevé parmi les femmes que les hommes, respectivement 30,6%</w:t>
      </w:r>
      <w:r w:rsidR="009A2B65">
        <w:rPr>
          <w:rFonts w:asciiTheme="majorBidi" w:eastAsia="Book Antiqua" w:hAnsiTheme="majorBidi" w:cstheme="majorBidi"/>
        </w:rPr>
        <w:t xml:space="preserve"> </w:t>
      </w:r>
      <w:r w:rsidRPr="006403F6">
        <w:rPr>
          <w:rFonts w:asciiTheme="majorBidi" w:eastAsia="Book Antiqua" w:hAnsiTheme="majorBidi" w:cstheme="majorBidi"/>
        </w:rPr>
        <w:t>et 24,5%.</w:t>
      </w:r>
    </w:p>
    <w:p w:rsidR="00F63BF5" w:rsidRPr="006403F6" w:rsidRDefault="00F63BF5" w:rsidP="00BC43CB">
      <w:pPr>
        <w:widowControl w:val="0"/>
        <w:shd w:val="clear" w:color="auto" w:fill="FFFFFF"/>
        <w:spacing w:before="120" w:after="120" w:line="312" w:lineRule="auto"/>
        <w:ind w:left="-57"/>
        <w:jc w:val="both"/>
        <w:rPr>
          <w:rFonts w:asciiTheme="majorBidi" w:eastAsia="Book Antiqua" w:hAnsiTheme="majorBidi" w:cstheme="majorBidi"/>
        </w:rPr>
      </w:pPr>
      <w:r w:rsidRPr="006403F6">
        <w:rPr>
          <w:rFonts w:asciiTheme="majorBidi" w:eastAsia="Book Antiqua" w:hAnsiTheme="majorBidi" w:cstheme="majorBidi"/>
        </w:rPr>
        <w:t xml:space="preserve">Par ailleurs, </w:t>
      </w:r>
      <w:r w:rsidR="00BC43CB">
        <w:rPr>
          <w:rFonts w:asciiTheme="majorBidi" w:eastAsia="Book Antiqua" w:hAnsiTheme="majorBidi" w:cstheme="majorBidi"/>
        </w:rPr>
        <w:t xml:space="preserve">près </w:t>
      </w:r>
      <w:r w:rsidRPr="006403F6">
        <w:rPr>
          <w:rFonts w:asciiTheme="majorBidi" w:eastAsia="Book Antiqua" w:hAnsiTheme="majorBidi" w:cstheme="majorBidi"/>
        </w:rPr>
        <w:t>de la moitié des salariés (48,8%) disposent d’un contrat formalisant leur relation avec l'employeur. Cette part s’élève à</w:t>
      </w:r>
      <w:r w:rsidR="009A2B65">
        <w:rPr>
          <w:rFonts w:asciiTheme="majorBidi" w:eastAsia="Book Antiqua" w:hAnsiTheme="majorBidi" w:cstheme="majorBidi"/>
        </w:rPr>
        <w:t xml:space="preserve"> </w:t>
      </w:r>
      <w:r w:rsidRPr="006403F6">
        <w:rPr>
          <w:rFonts w:asciiTheme="majorBidi" w:eastAsia="Book Antiqua" w:hAnsiTheme="majorBidi" w:cstheme="majorBidi"/>
        </w:rPr>
        <w:t>62,3% parmi les femmes contre 45,3% parmi les hommes.</w:t>
      </w:r>
    </w:p>
    <w:p w:rsidR="00F63BF5" w:rsidRPr="006403F6" w:rsidRDefault="00F63BF5" w:rsidP="009A2B65">
      <w:pPr>
        <w:widowControl w:val="0"/>
        <w:shd w:val="clear" w:color="auto" w:fill="FFFFFF"/>
        <w:spacing w:before="120" w:after="120" w:line="312" w:lineRule="auto"/>
        <w:ind w:left="-57"/>
        <w:jc w:val="both"/>
        <w:rPr>
          <w:rFonts w:asciiTheme="majorBidi" w:eastAsia="Book Antiqua" w:hAnsiTheme="majorBidi" w:cstheme="majorBidi"/>
        </w:rPr>
      </w:pPr>
      <w:r w:rsidRPr="006403F6">
        <w:rPr>
          <w:rFonts w:asciiTheme="majorBidi" w:eastAsia="Book Antiqua" w:hAnsiTheme="majorBidi" w:cstheme="majorBidi"/>
        </w:rPr>
        <w:t xml:space="preserve">Les </w:t>
      </w:r>
      <w:r w:rsidR="008A322D">
        <w:rPr>
          <w:rFonts w:asciiTheme="majorBidi" w:eastAsia="Book Antiqua" w:hAnsiTheme="majorBidi" w:cstheme="majorBidi"/>
        </w:rPr>
        <w:t>travailleurs dans les BTP et l’A</w:t>
      </w:r>
      <w:r w:rsidRPr="006403F6">
        <w:rPr>
          <w:rFonts w:asciiTheme="majorBidi" w:eastAsia="Book Antiqua" w:hAnsiTheme="majorBidi" w:cstheme="majorBidi"/>
        </w:rPr>
        <w:t>griculture</w:t>
      </w:r>
      <w:r w:rsidR="008A322D">
        <w:rPr>
          <w:rFonts w:asciiTheme="majorBidi" w:eastAsia="Book Antiqua" w:hAnsiTheme="majorBidi" w:cstheme="majorBidi"/>
        </w:rPr>
        <w:t>, forêt et pêche</w:t>
      </w:r>
      <w:r w:rsidRPr="006403F6">
        <w:rPr>
          <w:rFonts w:asciiTheme="majorBidi" w:eastAsia="Book Antiqua" w:hAnsiTheme="majorBidi" w:cstheme="majorBidi"/>
        </w:rPr>
        <w:t xml:space="preserve"> enregistrent les taux les plus faibles de contractualisation, 18,3% </w:t>
      </w:r>
      <w:r w:rsidR="009A2B65">
        <w:rPr>
          <w:rFonts w:asciiTheme="majorBidi" w:eastAsia="Book Antiqua" w:hAnsiTheme="majorBidi" w:cstheme="majorBidi"/>
        </w:rPr>
        <w:t xml:space="preserve"> </w:t>
      </w:r>
      <w:r w:rsidRPr="006403F6">
        <w:rPr>
          <w:rFonts w:asciiTheme="majorBidi" w:eastAsia="Book Antiqua" w:hAnsiTheme="majorBidi" w:cstheme="majorBidi"/>
        </w:rPr>
        <w:t>et 20%, respectivement. Alor</w:t>
      </w:r>
      <w:r w:rsidR="009A2B65">
        <w:rPr>
          <w:rFonts w:asciiTheme="majorBidi" w:eastAsia="Book Antiqua" w:hAnsiTheme="majorBidi" w:cstheme="majorBidi"/>
        </w:rPr>
        <w:t>s que, les travailleurs dans l’I</w:t>
      </w:r>
      <w:r w:rsidRPr="006403F6">
        <w:rPr>
          <w:rFonts w:asciiTheme="majorBidi" w:eastAsia="Book Antiqua" w:hAnsiTheme="majorBidi" w:cstheme="majorBidi"/>
        </w:rPr>
        <w:t>ndustrie</w:t>
      </w:r>
      <w:r w:rsidR="009A2B65">
        <w:rPr>
          <w:rFonts w:asciiTheme="majorBidi" w:eastAsia="Book Antiqua" w:hAnsiTheme="majorBidi" w:cstheme="majorBidi"/>
        </w:rPr>
        <w:t xml:space="preserve"> y compris l’artisanat </w:t>
      </w:r>
      <w:r w:rsidR="00073782">
        <w:rPr>
          <w:rFonts w:asciiTheme="majorBidi" w:eastAsia="Book Antiqua" w:hAnsiTheme="majorBidi" w:cstheme="majorBidi"/>
        </w:rPr>
        <w:t>et les S</w:t>
      </w:r>
      <w:r w:rsidRPr="006403F6">
        <w:rPr>
          <w:rFonts w:asciiTheme="majorBidi" w:eastAsia="Book Antiqua" w:hAnsiTheme="majorBidi" w:cstheme="majorBidi"/>
        </w:rPr>
        <w:t>ervices sont contractualisés à hauteur de 61,6% et 60,6%, respectivement.</w:t>
      </w:r>
    </w:p>
    <w:p w:rsidR="00F63BF5" w:rsidRPr="006403F6" w:rsidRDefault="00F63BF5" w:rsidP="00F63BF5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</w:pPr>
      <w:r w:rsidRPr="006403F6"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  <w:t>Graphique 8 : Répartition des actifs occupés salariés de 15 ans et plus selon le diplôme et le type de contrat de travail 2022 (%)</w:t>
      </w:r>
      <w:r w:rsidRPr="006403F6">
        <w:rPr>
          <w:rFonts w:asciiTheme="majorBidi" w:hAnsiTheme="majorBidi" w:cstheme="majorBidi"/>
          <w:noProof/>
        </w:rPr>
        <w:drawing>
          <wp:inline distT="0" distB="0" distL="0" distR="0">
            <wp:extent cx="5760720" cy="2554605"/>
            <wp:effectExtent l="0" t="0" r="0" b="0"/>
            <wp:docPr id="13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63BF5" w:rsidRPr="006403F6" w:rsidRDefault="00F63BF5" w:rsidP="00BC43CB">
      <w:pPr>
        <w:autoSpaceDE w:val="0"/>
        <w:autoSpaceDN w:val="0"/>
        <w:adjustRightInd w:val="0"/>
        <w:spacing w:before="240" w:line="312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 xml:space="preserve">Près d’un actif occupé sur </w:t>
      </w:r>
      <w:r w:rsidR="00BC43CB">
        <w:rPr>
          <w:rFonts w:asciiTheme="majorBidi" w:hAnsiTheme="majorBidi" w:cstheme="majorBidi"/>
        </w:rPr>
        <w:t>dix</w:t>
      </w:r>
      <w:r w:rsidRPr="006403F6">
        <w:rPr>
          <w:rFonts w:asciiTheme="majorBidi" w:hAnsiTheme="majorBidi" w:cstheme="majorBidi"/>
        </w:rPr>
        <w:t xml:space="preserve"> (10,7%) exerce un emploi de type occasionnel ou saisonnier, 14,4% en milieu rural et 8,2% en milieu urbain.  Ces parts étaient respectivement de 10,5%, 13,9% et 8% en 2021.</w:t>
      </w:r>
    </w:p>
    <w:p w:rsidR="00F63BF5" w:rsidRDefault="008B570C" w:rsidP="00F63BF5">
      <w:pPr>
        <w:autoSpaceDE w:val="0"/>
        <w:autoSpaceDN w:val="0"/>
        <w:adjustRightInd w:val="0"/>
        <w:spacing w:before="240" w:line="312" w:lineRule="auto"/>
        <w:jc w:val="both"/>
        <w:rPr>
          <w:rFonts w:asciiTheme="majorBidi" w:hAnsiTheme="majorBidi" w:cstheme="majorBidi"/>
        </w:rPr>
      </w:pPr>
      <w:r w:rsidRPr="00A63256">
        <w:rPr>
          <w:rFonts w:asciiTheme="majorBidi" w:hAnsiTheme="majorBidi" w:cstheme="majorBidi"/>
        </w:rPr>
        <w:t xml:space="preserve">Prés de </w:t>
      </w:r>
      <w:r w:rsidR="00F63BF5" w:rsidRPr="00A63256">
        <w:rPr>
          <w:rFonts w:asciiTheme="majorBidi" w:hAnsiTheme="majorBidi" w:cstheme="majorBidi"/>
        </w:rPr>
        <w:t>12,8% des actifs occupés exercent un emploi non rémunéré, les ruraux, avec 27,8%,</w:t>
      </w:r>
      <w:r w:rsidR="00F63BF5" w:rsidRPr="006403F6">
        <w:rPr>
          <w:rFonts w:asciiTheme="majorBidi" w:hAnsiTheme="majorBidi" w:cstheme="majorBidi"/>
        </w:rPr>
        <w:t xml:space="preserve"> plus que les citadins (2,5%) et les femmes, avec 33,6%, plus que les hommes (7,2%). Les personnes n’ayant aucun diplôme sont également plus touchées par l’emploi non rémunéré avec 16,9% contre 11,5% pour celles ayant un diplôme moyen et 2,8 pour celles ayant un diplôme supérieur. </w:t>
      </w:r>
    </w:p>
    <w:p w:rsidR="00EC780A" w:rsidRDefault="00EC780A">
      <w:pPr>
        <w:spacing w:after="160" w:line="259" w:lineRule="auto"/>
        <w:rPr>
          <w:rFonts w:asciiTheme="majorBidi" w:hAnsiTheme="majorBidi" w:cstheme="majorBidi"/>
          <w:b/>
          <w:bCs/>
          <w:color w:val="4472C4" w:themeColor="accent1"/>
        </w:rPr>
      </w:pPr>
      <w:r>
        <w:rPr>
          <w:rFonts w:asciiTheme="majorBidi" w:hAnsiTheme="majorBidi" w:cstheme="majorBidi"/>
          <w:b/>
          <w:bCs/>
          <w:color w:val="4472C4" w:themeColor="accent1"/>
        </w:rPr>
        <w:br w:type="page"/>
      </w:r>
    </w:p>
    <w:p w:rsidR="00F63BF5" w:rsidRPr="008A322D" w:rsidRDefault="00BC2E56" w:rsidP="00BC2E56">
      <w:pPr>
        <w:autoSpaceDE w:val="0"/>
        <w:autoSpaceDN w:val="0"/>
        <w:adjustRightInd w:val="0"/>
        <w:spacing w:before="240" w:line="312" w:lineRule="auto"/>
        <w:jc w:val="both"/>
        <w:rPr>
          <w:rFonts w:asciiTheme="majorBidi" w:hAnsiTheme="majorBidi" w:cstheme="majorBidi"/>
          <w:b/>
          <w:bCs/>
          <w:color w:val="4472C4" w:themeColor="accent1"/>
        </w:rPr>
      </w:pPr>
      <w:r w:rsidRPr="000929D5">
        <w:rPr>
          <w:rFonts w:asciiTheme="majorBidi" w:hAnsiTheme="majorBidi" w:cstheme="majorBidi"/>
          <w:b/>
          <w:bCs/>
          <w:color w:val="4472C4" w:themeColor="accent1"/>
        </w:rPr>
        <w:lastRenderedPageBreak/>
        <w:t>S</w:t>
      </w:r>
      <w:r w:rsidR="00F63BF5" w:rsidRPr="000929D5">
        <w:rPr>
          <w:rFonts w:asciiTheme="majorBidi" w:hAnsiTheme="majorBidi" w:cstheme="majorBidi"/>
          <w:b/>
          <w:bCs/>
          <w:color w:val="4472C4" w:themeColor="accent1"/>
        </w:rPr>
        <w:t>ous-emploi</w:t>
      </w:r>
      <w:r w:rsidRPr="000929D5">
        <w:rPr>
          <w:rFonts w:asciiTheme="majorBidi" w:hAnsiTheme="majorBidi" w:cstheme="majorBidi"/>
          <w:b/>
          <w:bCs/>
          <w:color w:val="4472C4" w:themeColor="accent1"/>
        </w:rPr>
        <w:t xml:space="preserve"> en baisse</w:t>
      </w:r>
    </w:p>
    <w:p w:rsidR="00F63BF5" w:rsidRPr="006403F6" w:rsidRDefault="00F63BF5" w:rsidP="00F63BF5">
      <w:pPr>
        <w:spacing w:before="240" w:line="312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>Il est à rappeler que le volume des actifs occupés en situation de sous-emploi a atteint 972.000 personnes, 520.000 personnes dans les villes et 452.000 à la campagne. Le taux de sous-emploi est passé de 9,3% à 9% au niveau national, de 8,8% à 8,1% en milieu urbain et de 10% à 10,4% en milieu rural.</w:t>
      </w:r>
    </w:p>
    <w:p w:rsidR="00F63BF5" w:rsidRPr="006403F6" w:rsidRDefault="00F63BF5" w:rsidP="00F63BF5">
      <w:pPr>
        <w:spacing w:before="240" w:line="312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>Les catégories ayant connu les baisses les plus importantes du taux de sous-emploi sont les personnes âgées de 35 à 44 an</w:t>
      </w:r>
      <w:r w:rsidR="008B570C">
        <w:rPr>
          <w:rFonts w:asciiTheme="majorBidi" w:hAnsiTheme="majorBidi" w:cstheme="majorBidi"/>
        </w:rPr>
        <w:t>s (-0,7 point), les hommes (-0,5</w:t>
      </w:r>
      <w:r w:rsidRPr="006403F6">
        <w:rPr>
          <w:rFonts w:asciiTheme="majorBidi" w:hAnsiTheme="majorBidi" w:cstheme="majorBidi"/>
        </w:rPr>
        <w:t xml:space="preserve"> point) et les citadins (-0,7 point).</w:t>
      </w:r>
    </w:p>
    <w:p w:rsidR="00F63BF5" w:rsidRPr="006403F6" w:rsidRDefault="00F63BF5" w:rsidP="00F63BF5">
      <w:pPr>
        <w:rPr>
          <w:rFonts w:asciiTheme="majorBidi" w:hAnsiTheme="majorBidi" w:cstheme="majorBidi"/>
          <w:b/>
          <w:bCs/>
          <w:color w:val="002060"/>
          <w:sz w:val="22"/>
          <w:szCs w:val="22"/>
        </w:rPr>
      </w:pPr>
    </w:p>
    <w:p w:rsidR="00F63BF5" w:rsidRPr="006403F6" w:rsidRDefault="00F63BF5" w:rsidP="00F63BF5">
      <w:pPr>
        <w:rPr>
          <w:rFonts w:asciiTheme="majorBidi" w:hAnsiTheme="majorBidi" w:cstheme="majorBidi"/>
          <w:b/>
          <w:bCs/>
          <w:color w:val="002060"/>
          <w:sz w:val="22"/>
          <w:szCs w:val="22"/>
        </w:rPr>
      </w:pPr>
      <w:r w:rsidRPr="006403F6">
        <w:rPr>
          <w:rFonts w:asciiTheme="majorBidi" w:hAnsiTheme="majorBidi" w:cstheme="majorBidi"/>
          <w:b/>
          <w:bCs/>
          <w:color w:val="002060"/>
          <w:sz w:val="22"/>
          <w:szCs w:val="22"/>
        </w:rPr>
        <w:t>Graphique 9 : Évolution du taux de sous-emploi parmi certaines catégories de la population active occupée entre 2021 et 2022 (%)</w:t>
      </w:r>
    </w:p>
    <w:p w:rsidR="00F63BF5" w:rsidRPr="006403F6" w:rsidRDefault="00F63BF5" w:rsidP="00F63BF5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  <w:noProof/>
        </w:rPr>
        <w:drawing>
          <wp:inline distT="0" distB="0" distL="0" distR="0">
            <wp:extent cx="5760720" cy="2052320"/>
            <wp:effectExtent l="0" t="0" r="0" b="0"/>
            <wp:docPr id="14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63BF5" w:rsidRPr="006403F6" w:rsidRDefault="00F63BF5" w:rsidP="00F63BF5">
      <w:pPr>
        <w:pStyle w:val="Sous-titre"/>
        <w:jc w:val="both"/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</w:pPr>
      <w:r w:rsidRPr="006403F6"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  <w:t>Selon la profession, le taux de sous-emploi des commerçants et des intermédiaires commerciaux a connu la baisse la plus importante de 6,6% en 2021 à 5,0% en 2022 (</w:t>
      </w:r>
      <w:r w:rsidRPr="006403F6"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  <w:noBreakHyphen/>
        <w:t>1,6 point), suivi des employés (-1,0 point) et des manœuvres non agricoles, des manutentionnaires et travailleurs des petits métiers (-0,9 point).</w:t>
      </w:r>
    </w:p>
    <w:p w:rsidR="00F63BF5" w:rsidRPr="006403F6" w:rsidRDefault="00F63BF5" w:rsidP="00073782">
      <w:pPr>
        <w:spacing w:line="312" w:lineRule="auto"/>
        <w:jc w:val="both"/>
        <w:rPr>
          <w:rFonts w:asciiTheme="majorBidi" w:hAnsiTheme="majorBidi" w:cstheme="majorBidi"/>
        </w:rPr>
      </w:pPr>
      <w:r w:rsidRPr="006403F6">
        <w:rPr>
          <w:rFonts w:asciiTheme="majorBidi" w:hAnsiTheme="majorBidi" w:cstheme="majorBidi"/>
        </w:rPr>
        <w:t>Les secteurs ayant connu une forte baisse du sous-emploi sont, les BTP avec -1,4 point (de 17,8% à 16,4%), les services avec -0,9 point (de 8,0% à 7,2%), et l’</w:t>
      </w:r>
      <w:r w:rsidR="00073782">
        <w:rPr>
          <w:rFonts w:asciiTheme="majorBidi" w:hAnsiTheme="majorBidi" w:cstheme="majorBidi"/>
        </w:rPr>
        <w:t>I</w:t>
      </w:r>
      <w:r w:rsidRPr="006403F6">
        <w:rPr>
          <w:rFonts w:asciiTheme="majorBidi" w:hAnsiTheme="majorBidi" w:cstheme="majorBidi"/>
        </w:rPr>
        <w:t>ndustrie</w:t>
      </w:r>
      <w:r w:rsidR="00073782">
        <w:rPr>
          <w:rFonts w:asciiTheme="majorBidi" w:hAnsiTheme="majorBidi" w:cstheme="majorBidi"/>
        </w:rPr>
        <w:t xml:space="preserve"> y compris l’artisanat</w:t>
      </w:r>
      <w:r w:rsidRPr="006403F6">
        <w:rPr>
          <w:rFonts w:asciiTheme="majorBidi" w:hAnsiTheme="majorBidi" w:cstheme="majorBidi"/>
        </w:rPr>
        <w:t xml:space="preserve"> avec -0,3 point (de 6,5% à 6,2%).</w:t>
      </w:r>
    </w:p>
    <w:p w:rsidR="009A3431" w:rsidRDefault="009A3431" w:rsidP="00F63BF5">
      <w:pPr>
        <w:jc w:val="center"/>
        <w:rPr>
          <w:rFonts w:asciiTheme="majorBidi" w:hAnsiTheme="majorBidi" w:cstheme="majorBidi"/>
          <w:b/>
          <w:bCs/>
          <w:color w:val="002060"/>
          <w:sz w:val="22"/>
          <w:szCs w:val="22"/>
        </w:rPr>
      </w:pPr>
    </w:p>
    <w:p w:rsidR="00F63BF5" w:rsidRPr="006403F6" w:rsidRDefault="00F63BF5" w:rsidP="00F63BF5">
      <w:pPr>
        <w:jc w:val="center"/>
        <w:rPr>
          <w:rFonts w:asciiTheme="majorBidi" w:hAnsiTheme="majorBidi" w:cstheme="majorBidi"/>
          <w:b/>
          <w:bCs/>
          <w:color w:val="002060"/>
          <w:sz w:val="22"/>
          <w:szCs w:val="22"/>
        </w:rPr>
      </w:pPr>
      <w:r w:rsidRPr="006403F6">
        <w:rPr>
          <w:rFonts w:asciiTheme="majorBidi" w:hAnsiTheme="majorBidi" w:cstheme="majorBidi"/>
          <w:b/>
          <w:bCs/>
          <w:color w:val="002060"/>
          <w:sz w:val="22"/>
          <w:szCs w:val="22"/>
        </w:rPr>
        <w:t>Graphique 10: Évolution du taux de sous-emploi selon les secteurs d’activité économique entre 2021 et 2022 (%)</w:t>
      </w:r>
    </w:p>
    <w:p w:rsidR="00F63BF5" w:rsidRPr="006403F6" w:rsidRDefault="00F63BF5" w:rsidP="00F63BF5">
      <w:pPr>
        <w:jc w:val="center"/>
        <w:rPr>
          <w:rFonts w:asciiTheme="majorBidi" w:hAnsiTheme="majorBidi" w:cstheme="majorBidi"/>
          <w:b/>
          <w:bCs/>
          <w:color w:val="002060"/>
          <w:sz w:val="22"/>
          <w:szCs w:val="22"/>
        </w:rPr>
      </w:pPr>
    </w:p>
    <w:p w:rsidR="00F63BF5" w:rsidRPr="006403F6" w:rsidRDefault="00F63BF5" w:rsidP="00F63BF5">
      <w:pPr>
        <w:jc w:val="center"/>
        <w:rPr>
          <w:rFonts w:asciiTheme="majorBidi" w:hAnsiTheme="majorBidi" w:cstheme="majorBidi"/>
          <w:b/>
          <w:bCs/>
          <w:color w:val="002060"/>
          <w:sz w:val="22"/>
          <w:szCs w:val="22"/>
        </w:rPr>
      </w:pPr>
      <w:r w:rsidRPr="006403F6">
        <w:rPr>
          <w:rFonts w:asciiTheme="majorBidi" w:hAnsiTheme="majorBidi" w:cstheme="majorBidi"/>
          <w:noProof/>
        </w:rPr>
        <w:drawing>
          <wp:inline distT="0" distB="0" distL="0" distR="0">
            <wp:extent cx="4572000" cy="1838325"/>
            <wp:effectExtent l="0" t="0" r="0" b="0"/>
            <wp:docPr id="15" name="Graphique 1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A8CEB1E-BA84-4809-8F95-45ECD0746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63BF5" w:rsidRPr="00A63256" w:rsidRDefault="00F63BF5" w:rsidP="008B570C">
      <w:pPr>
        <w:spacing w:line="312" w:lineRule="auto"/>
        <w:jc w:val="both"/>
        <w:rPr>
          <w:rFonts w:asciiTheme="majorBidi" w:hAnsiTheme="majorBidi" w:cstheme="majorBidi"/>
        </w:rPr>
      </w:pPr>
      <w:r w:rsidRPr="00A63256">
        <w:rPr>
          <w:rFonts w:asciiTheme="majorBidi" w:hAnsiTheme="majorBidi" w:cstheme="majorBidi"/>
        </w:rPr>
        <w:lastRenderedPageBreak/>
        <w:t>Selon le type de sous-emploi, la part du sous-emploi lié à la durée de travail</w:t>
      </w:r>
      <w:r w:rsidRPr="00A63256">
        <w:rPr>
          <w:rFonts w:asciiTheme="majorBidi" w:hAnsiTheme="majorBidi" w:cstheme="majorBidi"/>
          <w:vertAlign w:val="superscript"/>
        </w:rPr>
        <w:footnoteReference w:id="4"/>
      </w:r>
      <w:r w:rsidR="000929D5">
        <w:rPr>
          <w:rFonts w:asciiTheme="majorBidi" w:hAnsiTheme="majorBidi" w:cstheme="majorBidi"/>
        </w:rPr>
        <w:t xml:space="preserve"> </w:t>
      </w:r>
      <w:r w:rsidRPr="00A63256">
        <w:rPr>
          <w:rFonts w:asciiTheme="majorBidi" w:hAnsiTheme="majorBidi" w:cstheme="majorBidi"/>
        </w:rPr>
        <w:t xml:space="preserve">a connu, entre 2021 et 2022, une </w:t>
      </w:r>
      <w:r w:rsidR="008B570C" w:rsidRPr="00A63256">
        <w:rPr>
          <w:rFonts w:asciiTheme="majorBidi" w:hAnsiTheme="majorBidi" w:cstheme="majorBidi"/>
        </w:rPr>
        <w:t>baisse de 0,9 point</w:t>
      </w:r>
      <w:r w:rsidRPr="00A63256">
        <w:rPr>
          <w:rFonts w:asciiTheme="majorBidi" w:hAnsiTheme="majorBidi" w:cstheme="majorBidi"/>
        </w:rPr>
        <w:t xml:space="preserve"> passant de </w:t>
      </w:r>
      <w:r w:rsidR="008B570C" w:rsidRPr="00A63256">
        <w:rPr>
          <w:rFonts w:asciiTheme="majorBidi" w:hAnsiTheme="majorBidi" w:cstheme="majorBidi"/>
        </w:rPr>
        <w:t xml:space="preserve">45,8% à </w:t>
      </w:r>
      <w:r w:rsidRPr="00A63256">
        <w:rPr>
          <w:rFonts w:asciiTheme="majorBidi" w:hAnsiTheme="majorBidi" w:cstheme="majorBidi"/>
        </w:rPr>
        <w:t>44,9%</w:t>
      </w:r>
      <w:r w:rsidR="008B570C" w:rsidRPr="00A63256">
        <w:rPr>
          <w:rFonts w:asciiTheme="majorBidi" w:hAnsiTheme="majorBidi" w:cstheme="majorBidi"/>
        </w:rPr>
        <w:t xml:space="preserve">. </w:t>
      </w:r>
      <w:r w:rsidRPr="00A63256">
        <w:rPr>
          <w:rFonts w:asciiTheme="majorBidi" w:hAnsiTheme="majorBidi" w:cstheme="majorBidi"/>
        </w:rPr>
        <w:t xml:space="preserve">A l’inverse, le sous-emploi lié à l’insuffisance du revenu ou à l’inadéquation entre la formation et l’emploi exercé a </w:t>
      </w:r>
      <w:r w:rsidR="008B570C" w:rsidRPr="00A63256">
        <w:rPr>
          <w:rFonts w:asciiTheme="majorBidi" w:hAnsiTheme="majorBidi" w:cstheme="majorBidi"/>
        </w:rPr>
        <w:t>augmenté</w:t>
      </w:r>
      <w:r w:rsidRPr="00A63256">
        <w:rPr>
          <w:rFonts w:asciiTheme="majorBidi" w:hAnsiTheme="majorBidi" w:cstheme="majorBidi"/>
        </w:rPr>
        <w:t xml:space="preserve"> au cours de la même période, de </w:t>
      </w:r>
      <w:r w:rsidR="008B570C" w:rsidRPr="00A63256">
        <w:rPr>
          <w:rFonts w:asciiTheme="majorBidi" w:hAnsiTheme="majorBidi" w:cstheme="majorBidi"/>
        </w:rPr>
        <w:t xml:space="preserve">54,2% à </w:t>
      </w:r>
      <w:r w:rsidRPr="00A63256">
        <w:rPr>
          <w:rFonts w:asciiTheme="majorBidi" w:hAnsiTheme="majorBidi" w:cstheme="majorBidi"/>
        </w:rPr>
        <w:t>55,1%</w:t>
      </w:r>
      <w:r w:rsidR="008B570C" w:rsidRPr="00A63256">
        <w:rPr>
          <w:rFonts w:asciiTheme="majorBidi" w:hAnsiTheme="majorBidi" w:cstheme="majorBidi"/>
        </w:rPr>
        <w:t>.</w:t>
      </w:r>
      <w:r w:rsidRPr="00A63256">
        <w:rPr>
          <w:rFonts w:asciiTheme="majorBidi" w:hAnsiTheme="majorBidi" w:cstheme="majorBidi"/>
        </w:rPr>
        <w:t xml:space="preserve"> </w:t>
      </w:r>
    </w:p>
    <w:p w:rsidR="00F63BF5" w:rsidRPr="00A63256" w:rsidRDefault="00F63BF5" w:rsidP="008B570C">
      <w:pPr>
        <w:autoSpaceDE w:val="0"/>
        <w:autoSpaceDN w:val="0"/>
        <w:adjustRightInd w:val="0"/>
        <w:spacing w:before="120" w:after="120" w:line="312" w:lineRule="auto"/>
        <w:jc w:val="both"/>
        <w:rPr>
          <w:rFonts w:asciiTheme="majorBidi" w:hAnsiTheme="majorBidi" w:cstheme="majorBidi"/>
        </w:rPr>
      </w:pPr>
      <w:r w:rsidRPr="00A63256">
        <w:rPr>
          <w:rFonts w:asciiTheme="majorBidi" w:hAnsiTheme="majorBidi" w:cstheme="majorBidi"/>
        </w:rPr>
        <w:t xml:space="preserve">Dans ce contexte, la population active occupée en situation de sous-emploi lié à la durée de travail, a atteint, en 2022, 437.000 personnes au niveau national contre 459.000 une année auparavant. Le taux correspondant </w:t>
      </w:r>
      <w:r w:rsidR="008B570C" w:rsidRPr="00A63256">
        <w:rPr>
          <w:rFonts w:asciiTheme="majorBidi" w:hAnsiTheme="majorBidi" w:cstheme="majorBidi"/>
        </w:rPr>
        <w:t xml:space="preserve">est passé </w:t>
      </w:r>
      <w:r w:rsidRPr="00A63256">
        <w:rPr>
          <w:rFonts w:asciiTheme="majorBidi" w:hAnsiTheme="majorBidi" w:cstheme="majorBidi"/>
        </w:rPr>
        <w:t>de 4,3% à 4,1% au niveau national, de 4,9% à 5,1% à la campagne et de 3,8% à 3,3% dans les villes.</w:t>
      </w:r>
    </w:p>
    <w:p w:rsidR="00F63BF5" w:rsidRPr="006403F6" w:rsidRDefault="00F63BF5" w:rsidP="008B570C">
      <w:pPr>
        <w:spacing w:line="312" w:lineRule="auto"/>
        <w:jc w:val="both"/>
        <w:rPr>
          <w:rFonts w:asciiTheme="majorBidi" w:hAnsiTheme="majorBidi" w:cstheme="majorBidi"/>
          <w:b/>
          <w:bCs/>
          <w:color w:val="44546A" w:themeColor="text2"/>
          <w:sz w:val="22"/>
          <w:szCs w:val="22"/>
        </w:rPr>
      </w:pPr>
      <w:r w:rsidRPr="00A63256">
        <w:rPr>
          <w:rFonts w:asciiTheme="majorBidi" w:hAnsiTheme="majorBidi" w:cstheme="majorBidi"/>
        </w:rPr>
        <w:t xml:space="preserve">Enfin, la population active occupée en situation de sous-emploi lié à l’insuffisance du revenu ou à l’inadéquation entre la formation et l’emploi exercé est passée, au niveau national, de 543.000 personnes en 2021 à 535.000 en 2022. Le taux correspondant s’est ainsi </w:t>
      </w:r>
      <w:r w:rsidR="008B570C" w:rsidRPr="00A63256">
        <w:rPr>
          <w:rFonts w:asciiTheme="majorBidi" w:hAnsiTheme="majorBidi" w:cstheme="majorBidi"/>
        </w:rPr>
        <w:t>stagné</w:t>
      </w:r>
      <w:r w:rsidRPr="00A63256">
        <w:rPr>
          <w:rFonts w:asciiTheme="majorBidi" w:hAnsiTheme="majorBidi" w:cstheme="majorBidi"/>
        </w:rPr>
        <w:t xml:space="preserve"> à 5%</w:t>
      </w:r>
      <w:r w:rsidRPr="006403F6">
        <w:rPr>
          <w:rFonts w:asciiTheme="majorBidi" w:hAnsiTheme="majorBidi" w:cstheme="majorBidi"/>
        </w:rPr>
        <w:t xml:space="preserve"> au niveau national, et est passé de 5% à 4,8% en milieu urbain et de 5,1%</w:t>
      </w:r>
      <w:r w:rsidR="00976CF6">
        <w:rPr>
          <w:rFonts w:asciiTheme="majorBidi" w:hAnsiTheme="majorBidi" w:cstheme="majorBidi"/>
        </w:rPr>
        <w:t xml:space="preserve"> </w:t>
      </w:r>
      <w:r w:rsidRPr="006403F6">
        <w:rPr>
          <w:rFonts w:asciiTheme="majorBidi" w:hAnsiTheme="majorBidi" w:cstheme="majorBidi"/>
        </w:rPr>
        <w:t>à 5,2%en milieu rural.</w:t>
      </w:r>
    </w:p>
    <w:p w:rsidR="00E6586C" w:rsidRPr="006403F6" w:rsidRDefault="00E6586C">
      <w:pPr>
        <w:rPr>
          <w:rFonts w:asciiTheme="majorBidi" w:hAnsiTheme="majorBidi" w:cstheme="majorBidi"/>
        </w:rPr>
      </w:pPr>
    </w:p>
    <w:sectPr w:rsidR="00E6586C" w:rsidRPr="006403F6" w:rsidSect="00F63BF5"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748" w:rsidRDefault="00525748" w:rsidP="00F63BF5">
      <w:r>
        <w:separator/>
      </w:r>
    </w:p>
  </w:endnote>
  <w:endnote w:type="continuationSeparator" w:id="0">
    <w:p w:rsidR="00525748" w:rsidRDefault="00525748" w:rsidP="00F63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5010164"/>
      <w:docPartObj>
        <w:docPartGallery w:val="Page Numbers (Bottom of Page)"/>
        <w:docPartUnique/>
      </w:docPartObj>
    </w:sdtPr>
    <w:sdtContent>
      <w:p w:rsidR="00FB0086" w:rsidRDefault="00EF6F87">
        <w:pPr>
          <w:pStyle w:val="Pieddepage"/>
          <w:jc w:val="center"/>
        </w:pPr>
        <w:r>
          <w:fldChar w:fldCharType="begin"/>
        </w:r>
        <w:r w:rsidR="00C0240D">
          <w:instrText>PAGE   \* MERGEFORMAT</w:instrText>
        </w:r>
        <w:r>
          <w:fldChar w:fldCharType="separate"/>
        </w:r>
        <w:r w:rsidR="0007644A">
          <w:rPr>
            <w:noProof/>
          </w:rPr>
          <w:t>2</w:t>
        </w:r>
        <w:r>
          <w:fldChar w:fldCharType="end"/>
        </w:r>
      </w:p>
    </w:sdtContent>
  </w:sdt>
  <w:p w:rsidR="00FB0086" w:rsidRDefault="0052574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748" w:rsidRDefault="00525748" w:rsidP="00F63BF5">
      <w:r>
        <w:separator/>
      </w:r>
    </w:p>
  </w:footnote>
  <w:footnote w:type="continuationSeparator" w:id="0">
    <w:p w:rsidR="00525748" w:rsidRDefault="00525748" w:rsidP="00F63BF5">
      <w:r>
        <w:continuationSeparator/>
      </w:r>
    </w:p>
  </w:footnote>
  <w:footnote w:id="1">
    <w:p w:rsidR="00F63BF5" w:rsidRPr="0009045C" w:rsidRDefault="00F63BF5" w:rsidP="000929D5">
      <w:pPr>
        <w:pStyle w:val="Notedebasdepage"/>
        <w:jc w:val="left"/>
        <w:rPr>
          <w:rFonts w:ascii="Book Antiqua" w:eastAsia="Book Antiqua" w:hAnsi="Book Antiqua" w:cs="Book Antiqua"/>
          <w:sz w:val="16"/>
          <w:szCs w:val="16"/>
        </w:rPr>
      </w:pPr>
      <w:r w:rsidRPr="0009045C">
        <w:rPr>
          <w:rFonts w:ascii="Book Antiqua" w:eastAsia="Book Antiqua" w:hAnsi="Book Antiqua" w:cs="Book Antiqua"/>
          <w:sz w:val="16"/>
          <w:szCs w:val="16"/>
          <w:vertAlign w:val="superscript"/>
        </w:rPr>
        <w:footnoteRef/>
      </w:r>
      <w:r w:rsidRPr="0009045C">
        <w:rPr>
          <w:rFonts w:ascii="Book Antiqua" w:eastAsia="Book Antiqua" w:hAnsi="Book Antiqua" w:cs="Book Antiqua"/>
          <w:sz w:val="16"/>
          <w:szCs w:val="16"/>
        </w:rPr>
        <w:t>La différence par rapport au volume total</w:t>
      </w:r>
      <w:r w:rsidR="000929D5">
        <w:rPr>
          <w:rFonts w:ascii="Book Antiqua" w:eastAsia="Book Antiqua" w:hAnsi="Book Antiqua" w:cs="Book Antiqua"/>
          <w:sz w:val="16"/>
          <w:szCs w:val="16"/>
        </w:rPr>
        <w:t xml:space="preserve"> de l'emploi </w:t>
      </w:r>
      <w:r w:rsidRPr="0009045C">
        <w:rPr>
          <w:rFonts w:ascii="Book Antiqua" w:eastAsia="Book Antiqua" w:hAnsi="Book Antiqua" w:cs="Book Antiqua"/>
          <w:sz w:val="16"/>
          <w:szCs w:val="16"/>
        </w:rPr>
        <w:t>concerne les activités non désignées</w:t>
      </w:r>
      <w:r w:rsidR="002D0A82">
        <w:rPr>
          <w:rFonts w:ascii="Book Antiqua" w:eastAsia="Book Antiqua" w:hAnsi="Book Antiqua" w:cs="Book Antiqua"/>
          <w:sz w:val="16"/>
          <w:szCs w:val="16"/>
        </w:rPr>
        <w:t>.</w:t>
      </w:r>
    </w:p>
  </w:footnote>
  <w:footnote w:id="2">
    <w:p w:rsidR="00F63BF5" w:rsidRPr="0009045C" w:rsidRDefault="00F63BF5" w:rsidP="00F63BF5">
      <w:pPr>
        <w:pStyle w:val="Corpsdetexte"/>
        <w:bidi w:val="0"/>
        <w:rPr>
          <w:sz w:val="16"/>
          <w:szCs w:val="16"/>
        </w:rPr>
      </w:pPr>
      <w:r w:rsidRPr="0009045C">
        <w:rPr>
          <w:rStyle w:val="Appelnotedebasdep"/>
          <w:sz w:val="16"/>
          <w:szCs w:val="16"/>
        </w:rPr>
        <w:footnoteRef/>
      </w:r>
      <w:r w:rsidRPr="0009045C">
        <w:rPr>
          <w:rFonts w:ascii="Book Antiqua" w:hAnsi="Book Antiqua"/>
          <w:sz w:val="16"/>
          <w:szCs w:val="16"/>
        </w:rPr>
        <w:t>Les diplômes de n</w:t>
      </w:r>
      <w:r w:rsidRPr="0009045C">
        <w:rPr>
          <w:rFonts w:ascii="Book Antiqua" w:hAnsi="Book Antiqua"/>
          <w:spacing w:val="-2"/>
          <w:sz w:val="16"/>
          <w:szCs w:val="16"/>
          <w:lang w:eastAsia="en-US"/>
        </w:rPr>
        <w:t>iveau moyen regroupent les certificats de l'enseignement primaire, du secondaire collégial et les diplômes de qualification ou de spécialisation professionnelle.</w:t>
      </w:r>
    </w:p>
  </w:footnote>
  <w:footnote w:id="3">
    <w:p w:rsidR="00F63BF5" w:rsidRDefault="00F63BF5" w:rsidP="00F63BF5">
      <w:pPr>
        <w:pStyle w:val="Corpsdetexte"/>
        <w:bidi w:val="0"/>
        <w:rPr>
          <w:rFonts w:ascii="Book Antiqua" w:hAnsi="Book Antiqua"/>
          <w:sz w:val="16"/>
          <w:szCs w:val="16"/>
        </w:rPr>
      </w:pPr>
      <w:r w:rsidRPr="0009045C">
        <w:rPr>
          <w:rStyle w:val="Appelnotedebasdep"/>
          <w:sz w:val="16"/>
          <w:szCs w:val="16"/>
        </w:rPr>
        <w:footnoteRef/>
      </w:r>
      <w:r w:rsidRPr="0009045C">
        <w:rPr>
          <w:rFonts w:ascii="Book Antiqua" w:hAnsi="Book Antiqua"/>
          <w:sz w:val="16"/>
          <w:szCs w:val="16"/>
        </w:rPr>
        <w:t>Les diplômes de n</w:t>
      </w:r>
      <w:r w:rsidRPr="0009045C">
        <w:rPr>
          <w:rFonts w:ascii="Book Antiqua" w:hAnsi="Book Antiqua"/>
          <w:spacing w:val="-2"/>
          <w:sz w:val="16"/>
          <w:szCs w:val="16"/>
          <w:lang w:eastAsia="en-US"/>
        </w:rPr>
        <w:t>iveau</w:t>
      </w:r>
      <w:r w:rsidRPr="0009045C">
        <w:rPr>
          <w:rFonts w:ascii="Book Antiqua" w:hAnsi="Book Antiqua"/>
          <w:sz w:val="16"/>
          <w:szCs w:val="16"/>
        </w:rPr>
        <w:t xml:space="preserve"> supérieur </w:t>
      </w:r>
      <w:r w:rsidRPr="0009045C">
        <w:rPr>
          <w:rFonts w:ascii="Book Antiqua" w:hAnsi="Book Antiqua"/>
          <w:spacing w:val="-2"/>
          <w:sz w:val="16"/>
          <w:szCs w:val="16"/>
          <w:lang w:eastAsia="en-US"/>
        </w:rPr>
        <w:t>regroupent le b</w:t>
      </w:r>
      <w:r w:rsidRPr="0009045C">
        <w:rPr>
          <w:rFonts w:ascii="Book Antiqua" w:hAnsi="Book Antiqua"/>
          <w:sz w:val="16"/>
          <w:szCs w:val="16"/>
        </w:rPr>
        <w:t>accalauréat, les diplômes de techniciens ou de techniciens spécialisés et les diplômes d'enseignement supérieur (facultés, grandes écoles et instituts</w:t>
      </w:r>
      <w:r w:rsidRPr="00893A42">
        <w:rPr>
          <w:rFonts w:ascii="Book Antiqua" w:hAnsi="Book Antiqua"/>
          <w:sz w:val="16"/>
          <w:szCs w:val="16"/>
        </w:rPr>
        <w:t>).</w:t>
      </w:r>
    </w:p>
    <w:p w:rsidR="00F63BF5" w:rsidRDefault="00F63BF5" w:rsidP="00F63BF5">
      <w:pPr>
        <w:pStyle w:val="Notedebasdepage"/>
      </w:pPr>
    </w:p>
  </w:footnote>
  <w:footnote w:id="4">
    <w:p w:rsidR="00F63BF5" w:rsidRPr="00267468" w:rsidRDefault="00F63BF5" w:rsidP="00F63BF5">
      <w:pPr>
        <w:spacing w:before="240" w:after="240"/>
        <w:jc w:val="both"/>
        <w:rPr>
          <w:rFonts w:ascii="Book Antiqua" w:eastAsia="Book Antiqua" w:hAnsi="Book Antiqua" w:cs="Book Antiqua"/>
          <w:sz w:val="14"/>
          <w:szCs w:val="14"/>
        </w:rPr>
      </w:pPr>
      <w:r>
        <w:rPr>
          <w:rStyle w:val="Appelnotedebasdep"/>
        </w:rPr>
        <w:footnoteRef/>
      </w:r>
      <w:r w:rsidRPr="00267468">
        <w:rPr>
          <w:rFonts w:ascii="Book Antiqua" w:eastAsia="Book Antiqua" w:hAnsi="Book Antiqua" w:cs="Book Antiqua"/>
          <w:sz w:val="14"/>
          <w:szCs w:val="14"/>
        </w:rPr>
        <w:t>Conformément aux recommandations du BIT, le sous-emploi est constitué, selon l’approche de l’Enquête nationale sur l’emploi, de deux composantes, la première liée au nombre d’heures travaillées et la deuxième à l’insuffisance du revenu ou à l’inadéquation entre la formation et l’emploi exercé.</w:t>
      </w:r>
    </w:p>
    <w:p w:rsidR="00F63BF5" w:rsidRDefault="00F63BF5" w:rsidP="00F63BF5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086" w:rsidRDefault="00525748" w:rsidP="00DE77D2">
    <w:pPr>
      <w:pStyle w:val="En-tt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086" w:rsidRDefault="00C0240D" w:rsidP="00DE77D2">
    <w:pPr>
      <w:pStyle w:val="En-tte"/>
      <w:jc w:val="center"/>
    </w:pPr>
    <w:r w:rsidRPr="00DE77D2">
      <w:rPr>
        <w:noProof/>
      </w:rPr>
      <w:drawing>
        <wp:inline distT="0" distB="0" distL="0" distR="0">
          <wp:extent cx="1358900" cy="1053546"/>
          <wp:effectExtent l="19050" t="0" r="0" b="0"/>
          <wp:docPr id="1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753" cy="1054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BF5"/>
    <w:rsid w:val="000575BD"/>
    <w:rsid w:val="00073782"/>
    <w:rsid w:val="0007644A"/>
    <w:rsid w:val="000929D5"/>
    <w:rsid w:val="00093035"/>
    <w:rsid w:val="00097D40"/>
    <w:rsid w:val="000B165B"/>
    <w:rsid w:val="000B548F"/>
    <w:rsid w:val="000D768D"/>
    <w:rsid w:val="00115378"/>
    <w:rsid w:val="0012274D"/>
    <w:rsid w:val="001517E5"/>
    <w:rsid w:val="00162E6B"/>
    <w:rsid w:val="001E2B3E"/>
    <w:rsid w:val="001E6898"/>
    <w:rsid w:val="001F123D"/>
    <w:rsid w:val="001F49BC"/>
    <w:rsid w:val="00201ACE"/>
    <w:rsid w:val="00244EDB"/>
    <w:rsid w:val="002748CA"/>
    <w:rsid w:val="002D0A82"/>
    <w:rsid w:val="002D1D82"/>
    <w:rsid w:val="0033485F"/>
    <w:rsid w:val="00340D89"/>
    <w:rsid w:val="00347BAA"/>
    <w:rsid w:val="004171BD"/>
    <w:rsid w:val="00454287"/>
    <w:rsid w:val="004915F3"/>
    <w:rsid w:val="004A7A7A"/>
    <w:rsid w:val="004C3355"/>
    <w:rsid w:val="00525748"/>
    <w:rsid w:val="005971AD"/>
    <w:rsid w:val="005A7973"/>
    <w:rsid w:val="00615116"/>
    <w:rsid w:val="006403F6"/>
    <w:rsid w:val="006745DC"/>
    <w:rsid w:val="00697A72"/>
    <w:rsid w:val="006A0195"/>
    <w:rsid w:val="006C00B1"/>
    <w:rsid w:val="007660FF"/>
    <w:rsid w:val="00770B1F"/>
    <w:rsid w:val="007A0603"/>
    <w:rsid w:val="007B185A"/>
    <w:rsid w:val="007E48B2"/>
    <w:rsid w:val="00800D9B"/>
    <w:rsid w:val="008A322D"/>
    <w:rsid w:val="008A32EC"/>
    <w:rsid w:val="008B570C"/>
    <w:rsid w:val="008C397F"/>
    <w:rsid w:val="008D0A8D"/>
    <w:rsid w:val="008F759D"/>
    <w:rsid w:val="0090643C"/>
    <w:rsid w:val="00926CCF"/>
    <w:rsid w:val="0092728C"/>
    <w:rsid w:val="00932710"/>
    <w:rsid w:val="00976CF6"/>
    <w:rsid w:val="0098370F"/>
    <w:rsid w:val="009A2B65"/>
    <w:rsid w:val="009A3431"/>
    <w:rsid w:val="009E7BA4"/>
    <w:rsid w:val="00A009F8"/>
    <w:rsid w:val="00A06F66"/>
    <w:rsid w:val="00A21A10"/>
    <w:rsid w:val="00A57257"/>
    <w:rsid w:val="00A57F81"/>
    <w:rsid w:val="00A63256"/>
    <w:rsid w:val="00AB44B7"/>
    <w:rsid w:val="00AC189C"/>
    <w:rsid w:val="00B052E3"/>
    <w:rsid w:val="00B42BFC"/>
    <w:rsid w:val="00B65462"/>
    <w:rsid w:val="00B925B1"/>
    <w:rsid w:val="00BC2E56"/>
    <w:rsid w:val="00BC43CB"/>
    <w:rsid w:val="00BE50B8"/>
    <w:rsid w:val="00BF2A86"/>
    <w:rsid w:val="00BF7229"/>
    <w:rsid w:val="00C0240D"/>
    <w:rsid w:val="00C11524"/>
    <w:rsid w:val="00CA4A9D"/>
    <w:rsid w:val="00CC44B5"/>
    <w:rsid w:val="00D44ADD"/>
    <w:rsid w:val="00D84885"/>
    <w:rsid w:val="00D91D13"/>
    <w:rsid w:val="00E6586C"/>
    <w:rsid w:val="00E75E81"/>
    <w:rsid w:val="00EA4528"/>
    <w:rsid w:val="00EB3C5D"/>
    <w:rsid w:val="00EC780A"/>
    <w:rsid w:val="00ED2D00"/>
    <w:rsid w:val="00ED7836"/>
    <w:rsid w:val="00EF6F87"/>
    <w:rsid w:val="00F63BF5"/>
    <w:rsid w:val="00FA7A02"/>
    <w:rsid w:val="00FD6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3B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3BF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3B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3BF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F63BF5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3BF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F63BF5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3BF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63BF5"/>
    <w:rPr>
      <w:rFonts w:asciiTheme="majorHAnsi" w:eastAsiaTheme="majorEastAsia" w:hAnsiTheme="majorHAnsi"/>
      <w:i/>
      <w:iCs/>
      <w:color w:val="4472C4" w:themeColor="accent1"/>
      <w:spacing w:val="15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F63BF5"/>
    <w:pPr>
      <w:bidi/>
      <w:spacing w:after="120"/>
    </w:pPr>
    <w:rPr>
      <w:rFonts w:cs="Traditional Arabic"/>
      <w:noProof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F63BF5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3B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BF5"/>
    <w:rPr>
      <w:rFonts w:ascii="Tahoma" w:eastAsia="Times New Roman" w:hAnsi="Tahoma" w:cs="Tahoma"/>
      <w:sz w:val="16"/>
      <w:szCs w:val="16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F63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Annuelle\AO\2022%20-%20Note%20sur%20l'emploi%20-%20Tabulation%20%231%20-1901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Taches%20DEE\Publications%20DEE\Publications%20Annuelles\Notes%20Annuelles\Notes%202022\Note%20sur%20la%20PAO\Graphics\Nouveau%20Feuille%20de%20calcul%20Microsoft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Taches%20DEE\Publications%20DEE\Publications%20Annuelles\Notes%20Annuelles\Notes%202022\Note%20sur%20la%20PAO\Graphics\Nouveau%20Feuille%20de%20calcul%20Microsoft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Annuelle\AO\2022%20-%20Note%20sur%20l'emploi%20-%20Tabulation%20%231%20-1901202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Annuelle\AO\2022%20-%20Note%20sur%20l'emploi%20-%20Tabulation%20%231%20-19012023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Annuelle\AO\2022%20-%20Note%20sur%20l'emploi%20-%20Tabulation%20%231%20-19012023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Annuelle\AO\2022%20-%20Note%20sur%20l'emploi%20-%20Tabulation%20%231%20-1901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Population en âgé d'activité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2.0373289280922812E-2"/>
                  <c:y val="-1.7222222724474278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Sheet1!$B$2:$B$7</c:f>
              <c:numCache>
                <c:formatCode>#,##0</c:formatCode>
                <c:ptCount val="6"/>
                <c:pt idx="0">
                  <c:v>25533</c:v>
                </c:pt>
                <c:pt idx="1">
                  <c:v>25959</c:v>
                </c:pt>
                <c:pt idx="2">
                  <c:v>26359</c:v>
                </c:pt>
                <c:pt idx="3">
                  <c:v>26750</c:v>
                </c:pt>
                <c:pt idx="4">
                  <c:v>27127</c:v>
                </c:pt>
                <c:pt idx="5">
                  <c:v>27502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B9-401E-8759-D4057C4126C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Population active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4900686898905528E-2"/>
                  <c:y val="0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2.4900686898905528E-2"/>
                  <c:y val="0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3.1691783325880012E-2"/>
                  <c:y val="5.7407409081581531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2.7164385707896952E-2"/>
                  <c:y val="2.2962963632632349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1.358219285394848E-2"/>
                  <c:y val="0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9.0547952359658433E-3"/>
                  <c:y val="0"/>
                </c:manualLayout>
              </c:layout>
              <c:dLblPos val="outEnd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Sheet1!$C$2:$C$7</c:f>
              <c:numCache>
                <c:formatCode>#,##0</c:formatCode>
                <c:ptCount val="6"/>
                <c:pt idx="0">
                  <c:v>11915</c:v>
                </c:pt>
                <c:pt idx="1">
                  <c:v>11947</c:v>
                </c:pt>
                <c:pt idx="2">
                  <c:v>12082</c:v>
                </c:pt>
                <c:pt idx="3">
                  <c:v>11971</c:v>
                </c:pt>
                <c:pt idx="4">
                  <c:v>12280</c:v>
                </c:pt>
                <c:pt idx="5">
                  <c:v>12191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8B9-401E-8759-D4057C4126C1}"/>
            </c:ext>
          </c:extLst>
        </c:ser>
        <c:dLbls>
          <c:showVal val="1"/>
        </c:dLbls>
        <c:gapWidth val="219"/>
        <c:axId val="59222656"/>
        <c:axId val="71144576"/>
      </c:barChart>
      <c:lineChart>
        <c:grouping val="standard"/>
        <c:ser>
          <c:idx val="2"/>
          <c:order val="2"/>
          <c:tx>
            <c:strRef>
              <c:f>Sheet1!$D$1</c:f>
              <c:strCache>
                <c:ptCount val="1"/>
                <c:pt idx="0">
                  <c:v>Taux d'activité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0302256344564814E-3"/>
                  <c:y val="-2.45210727969348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8B9-401E-8759-D4057C4126C1}"/>
                </c:ext>
              </c:extLst>
            </c:dLbl>
            <c:dLbl>
              <c:idx val="1"/>
              <c:layout>
                <c:manualLayout>
                  <c:x val="0"/>
                  <c:y val="-3.678160919540239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B9-401E-8759-D4057C4126C1}"/>
                </c:ext>
              </c:extLst>
            </c:dLbl>
            <c:dLbl>
              <c:idx val="3"/>
              <c:layout>
                <c:manualLayout>
                  <c:x val="-2.6868500666721949E-3"/>
                  <c:y val="-6.665407018530387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B9-401E-8759-D4057C4126C1}"/>
                </c:ext>
              </c:extLst>
            </c:dLbl>
            <c:dLbl>
              <c:idx val="4"/>
              <c:layout>
                <c:manualLayout>
                  <c:x val="0"/>
                  <c:y val="-1.1481481816316431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Sheet1!$D$2:$D$7</c:f>
              <c:numCache>
                <c:formatCode>0.0</c:formatCode>
                <c:ptCount val="6"/>
                <c:pt idx="0">
                  <c:v>46.7</c:v>
                </c:pt>
                <c:pt idx="1">
                  <c:v>46</c:v>
                </c:pt>
                <c:pt idx="2">
                  <c:v>45.8</c:v>
                </c:pt>
                <c:pt idx="3">
                  <c:v>44.8</c:v>
                </c:pt>
                <c:pt idx="4">
                  <c:v>45.3</c:v>
                </c:pt>
                <c:pt idx="5">
                  <c:v>44.3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8B9-401E-8759-D4057C4126C1}"/>
            </c:ext>
          </c:extLst>
        </c:ser>
        <c:dLbls>
          <c:showVal val="1"/>
        </c:dLbls>
        <c:marker val="1"/>
        <c:axId val="71187456"/>
        <c:axId val="71173632"/>
      </c:lineChart>
      <c:catAx>
        <c:axId val="592226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fr-FR"/>
          </a:p>
        </c:txPr>
        <c:crossAx val="71144576"/>
        <c:crosses val="autoZero"/>
        <c:auto val="1"/>
        <c:lblAlgn val="ctr"/>
        <c:lblOffset val="100"/>
      </c:catAx>
      <c:valAx>
        <c:axId val="71144576"/>
        <c:scaling>
          <c:orientation val="minMax"/>
        </c:scaling>
        <c:axPos val="l"/>
        <c:numFmt formatCode="#,##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fr-FR"/>
          </a:p>
        </c:txPr>
        <c:crossAx val="59222656"/>
        <c:crosses val="autoZero"/>
        <c:crossBetween val="between"/>
      </c:valAx>
      <c:valAx>
        <c:axId val="71173632"/>
        <c:scaling>
          <c:orientation val="minMax"/>
        </c:scaling>
        <c:axPos val="r"/>
        <c:numFmt formatCode="0.0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fr-FR"/>
          </a:p>
        </c:txPr>
        <c:crossAx val="71187456"/>
        <c:crosses val="max"/>
        <c:crossBetween val="between"/>
      </c:valAx>
      <c:catAx>
        <c:axId val="71187456"/>
        <c:scaling>
          <c:orientation val="minMax"/>
        </c:scaling>
        <c:delete val="1"/>
        <c:axPos val="b"/>
        <c:numFmt formatCode="General" sourceLinked="1"/>
        <c:tickLblPos val="none"/>
        <c:crossAx val="7117363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Book Antiqua" panose="02040602050305030304" pitchFamily="18" charset="0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Book Antiqua" panose="02040602050305030304" pitchFamily="18" charset="0"/>
        </a:defRPr>
      </a:pPr>
      <a:endParaRPr lang="fr-FR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Feuil1!$C$80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Feuil1!$B$81:$B$85</c:f>
              <c:strCache>
                <c:ptCount val="5"/>
                <c:pt idx="0">
                  <c:v>Agriculture, forêt et pêche</c:v>
                </c:pt>
                <c:pt idx="1">
                  <c:v>Industrie</c:v>
                </c:pt>
                <c:pt idx="2">
                  <c:v>BTP</c:v>
                </c:pt>
                <c:pt idx="3">
                  <c:v>Services</c:v>
                </c:pt>
                <c:pt idx="4">
                  <c:v>Ensemble</c:v>
                </c:pt>
              </c:strCache>
            </c:strRef>
          </c:cat>
          <c:val>
            <c:numRef>
              <c:f>Feuil1!$C$81:$C$85</c:f>
              <c:numCache>
                <c:formatCode>0.0</c:formatCode>
                <c:ptCount val="5"/>
                <c:pt idx="0">
                  <c:v>9.1750318095817267</c:v>
                </c:pt>
                <c:pt idx="1">
                  <c:v>6.5194041510511704</c:v>
                </c:pt>
                <c:pt idx="2">
                  <c:v>17.773838232724689</c:v>
                </c:pt>
                <c:pt idx="3">
                  <c:v>8.0350430718636208</c:v>
                </c:pt>
                <c:pt idx="4">
                  <c:v>9.3077803010542741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C3-4019-A43B-6576BACD944F}"/>
            </c:ext>
          </c:extLst>
        </c:ser>
        <c:ser>
          <c:idx val="1"/>
          <c:order val="1"/>
          <c:tx>
            <c:strRef>
              <c:f>Feuil1!$D$80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Feuil1!$B$81:$B$85</c:f>
              <c:strCache>
                <c:ptCount val="5"/>
                <c:pt idx="0">
                  <c:v>Agriculture, forêt et pêche</c:v>
                </c:pt>
                <c:pt idx="1">
                  <c:v>Industrie</c:v>
                </c:pt>
                <c:pt idx="2">
                  <c:v>BTP</c:v>
                </c:pt>
                <c:pt idx="3">
                  <c:v>Services</c:v>
                </c:pt>
                <c:pt idx="4">
                  <c:v>Ensemble</c:v>
                </c:pt>
              </c:strCache>
            </c:strRef>
          </c:cat>
          <c:val>
            <c:numRef>
              <c:f>Feuil1!$D$81:$D$85</c:f>
              <c:numCache>
                <c:formatCode>0.0</c:formatCode>
                <c:ptCount val="5"/>
                <c:pt idx="0">
                  <c:v>10.394811223311548</c:v>
                </c:pt>
                <c:pt idx="1">
                  <c:v>6.2210783452071894</c:v>
                </c:pt>
                <c:pt idx="2">
                  <c:v>16.383311617762612</c:v>
                </c:pt>
                <c:pt idx="3">
                  <c:v>7.1832697423092124</c:v>
                </c:pt>
                <c:pt idx="4">
                  <c:v>9.0428209846746999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CC3-4019-A43B-6576BACD944F}"/>
            </c:ext>
          </c:extLst>
        </c:ser>
        <c:gapWidth val="219"/>
        <c:overlap val="-27"/>
        <c:axId val="73065984"/>
        <c:axId val="73067520"/>
      </c:barChart>
      <c:catAx>
        <c:axId val="730659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3067520"/>
        <c:crosses val="autoZero"/>
        <c:auto val="1"/>
        <c:lblAlgn val="ctr"/>
        <c:lblOffset val="100"/>
      </c:catAx>
      <c:valAx>
        <c:axId val="73067520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73065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Feuil1!$C$43</c:f>
              <c:strCache>
                <c:ptCount val="1"/>
                <c:pt idx="0">
                  <c:v>Urbain</c:v>
                </c:pt>
              </c:strCache>
            </c:strRef>
          </c:tx>
          <c:dLbls>
            <c:showVal val="1"/>
          </c:dLbls>
          <c:cat>
            <c:strRef>
              <c:f>Feuil1!$B$44:$B$47</c:f>
              <c:strCache>
                <c:ptCount val="4"/>
                <c:pt idx="0">
                  <c:v>Jeune de 15-24 ans ne travaillant pas et ne suivant ni études ni formation (NEET)</c:v>
                </c:pt>
                <c:pt idx="1">
                  <c:v>Jeune de 15-24 ans qui travaille et qui ne suit ni études ni formation</c:v>
                </c:pt>
                <c:pt idx="2">
                  <c:v>Jeune de 15-24 ans qui suit des études ou une formation et qui ne travaille pas</c:v>
                </c:pt>
                <c:pt idx="3">
                  <c:v>Jeune de 15-24 ans qui travaille et qui suit des études ou une formation</c:v>
                </c:pt>
              </c:strCache>
            </c:strRef>
          </c:cat>
          <c:val>
            <c:numRef>
              <c:f>Feuil1!$C$44:$C$47</c:f>
              <c:numCache>
                <c:formatCode>0.0</c:formatCode>
                <c:ptCount val="4"/>
                <c:pt idx="0">
                  <c:v>21.571818429777132</c:v>
                </c:pt>
                <c:pt idx="1">
                  <c:v>10.410985405636405</c:v>
                </c:pt>
                <c:pt idx="2">
                  <c:v>67.60656220064277</c:v>
                </c:pt>
                <c:pt idx="3">
                  <c:v>0.41063396394447205</c:v>
                </c:pt>
              </c:numCache>
            </c:numRef>
          </c:val>
        </c:ser>
        <c:ser>
          <c:idx val="1"/>
          <c:order val="1"/>
          <c:tx>
            <c:strRef>
              <c:f>Feuil1!$D$43</c:f>
              <c:strCache>
                <c:ptCount val="1"/>
                <c:pt idx="0">
                  <c:v>Rural</c:v>
                </c:pt>
              </c:strCache>
            </c:strRef>
          </c:tx>
          <c:dLbls>
            <c:showVal val="1"/>
          </c:dLbls>
          <c:cat>
            <c:strRef>
              <c:f>Feuil1!$B$44:$B$47</c:f>
              <c:strCache>
                <c:ptCount val="4"/>
                <c:pt idx="0">
                  <c:v>Jeune de 15-24 ans ne travaillant pas et ne suivant ni études ni formation (NEET)</c:v>
                </c:pt>
                <c:pt idx="1">
                  <c:v>Jeune de 15-24 ans qui travaille et qui ne suit ni études ni formation</c:v>
                </c:pt>
                <c:pt idx="2">
                  <c:v>Jeune de 15-24 ans qui suit des études ou une formation et qui ne travaille pas</c:v>
                </c:pt>
                <c:pt idx="3">
                  <c:v>Jeune de 15-24 ans qui travaille et qui suit des études ou une formation</c:v>
                </c:pt>
              </c:strCache>
            </c:strRef>
          </c:cat>
          <c:val>
            <c:numRef>
              <c:f>Feuil1!$D$44:$D$47</c:f>
              <c:numCache>
                <c:formatCode>0.0</c:formatCode>
                <c:ptCount val="4"/>
                <c:pt idx="0">
                  <c:v>30.54498336390953</c:v>
                </c:pt>
                <c:pt idx="1">
                  <c:v>21.388798162552266</c:v>
                </c:pt>
                <c:pt idx="2">
                  <c:v>47.310056429298442</c:v>
                </c:pt>
                <c:pt idx="3">
                  <c:v>0.75616204423462996</c:v>
                </c:pt>
              </c:numCache>
            </c:numRef>
          </c:val>
        </c:ser>
        <c:ser>
          <c:idx val="2"/>
          <c:order val="2"/>
          <c:tx>
            <c:strRef>
              <c:f>Feuil1!$E$43</c:f>
              <c:strCache>
                <c:ptCount val="1"/>
                <c:pt idx="0">
                  <c:v>Ensemble</c:v>
                </c:pt>
              </c:strCache>
            </c:strRef>
          </c:tx>
          <c:dLbls>
            <c:showVal val="1"/>
          </c:dLbls>
          <c:cat>
            <c:strRef>
              <c:f>Feuil1!$B$44:$B$47</c:f>
              <c:strCache>
                <c:ptCount val="4"/>
                <c:pt idx="0">
                  <c:v>Jeune de 15-24 ans ne travaillant pas et ne suivant ni études ni formation (NEET)</c:v>
                </c:pt>
                <c:pt idx="1">
                  <c:v>Jeune de 15-24 ans qui travaille et qui ne suit ni études ni formation</c:v>
                </c:pt>
                <c:pt idx="2">
                  <c:v>Jeune de 15-24 ans qui suit des études ou une formation et qui ne travaille pas</c:v>
                </c:pt>
                <c:pt idx="3">
                  <c:v>Jeune de 15-24 ans qui travaille et qui suit des études ou une formation</c:v>
                </c:pt>
              </c:strCache>
            </c:strRef>
          </c:cat>
          <c:val>
            <c:numRef>
              <c:f>Feuil1!$E$44:$E$47</c:f>
              <c:numCache>
                <c:formatCode>0.0</c:formatCode>
                <c:ptCount val="4"/>
                <c:pt idx="0">
                  <c:v>25.163121091053625</c:v>
                </c:pt>
                <c:pt idx="1">
                  <c:v>14.804602201748574</c:v>
                </c:pt>
                <c:pt idx="2">
                  <c:v>59.483353084772837</c:v>
                </c:pt>
                <c:pt idx="3">
                  <c:v>0.54892362243176063</c:v>
                </c:pt>
              </c:numCache>
            </c:numRef>
          </c:val>
        </c:ser>
        <c:gapWidth val="75"/>
        <c:overlap val="-25"/>
        <c:axId val="71334912"/>
        <c:axId val="72512640"/>
      </c:barChart>
      <c:catAx>
        <c:axId val="713349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72512640"/>
        <c:crosses val="autoZero"/>
        <c:auto val="1"/>
        <c:lblAlgn val="ctr"/>
        <c:lblOffset val="100"/>
      </c:catAx>
      <c:valAx>
        <c:axId val="72512640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71334912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2.0869565217391306E-2"/>
          <c:y val="7.1625344352617068E-2"/>
          <c:w val="0.94898550724637765"/>
          <c:h val="0.87878787878788489"/>
        </c:manualLayout>
      </c:layout>
      <c:barChart>
        <c:barDir val="col"/>
        <c:grouping val="clustered"/>
        <c:ser>
          <c:idx val="0"/>
          <c:order val="0"/>
          <c:dLbls>
            <c:dLbl>
              <c:idx val="5"/>
              <c:layout>
                <c:manualLayout>
                  <c:x val="-2.7777777777778447E-3"/>
                  <c:y val="-9.7222222222222224E-2"/>
                </c:manualLayout>
              </c:layout>
              <c:showVal val="1"/>
            </c:dLbl>
            <c:showVal val="1"/>
          </c:dLbls>
          <c:cat>
            <c:numRef>
              <c:f>Feuil1!$C$80:$C$85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Feuil1!$D$80:$D$85</c:f>
              <c:numCache>
                <c:formatCode>_-* #,##0\ _€_-;\-* #,##0\ _€_-;_-* "-"??\ _€_-;_-@_-</c:formatCode>
                <c:ptCount val="6"/>
                <c:pt idx="0">
                  <c:v>86</c:v>
                </c:pt>
                <c:pt idx="1">
                  <c:v>111</c:v>
                </c:pt>
                <c:pt idx="2">
                  <c:v>165</c:v>
                </c:pt>
                <c:pt idx="3">
                  <c:v>-432</c:v>
                </c:pt>
                <c:pt idx="4">
                  <c:v>230</c:v>
                </c:pt>
                <c:pt idx="5">
                  <c:v>-24</c:v>
                </c:pt>
              </c:numCache>
            </c:numRef>
          </c:val>
        </c:ser>
        <c:axId val="72615424"/>
        <c:axId val="72616960"/>
      </c:barChart>
      <c:catAx>
        <c:axId val="7261542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00" b="1"/>
            </a:pPr>
            <a:endParaRPr lang="fr-FR"/>
          </a:p>
        </c:txPr>
        <c:crossAx val="72616960"/>
        <c:crosses val="autoZero"/>
        <c:auto val="1"/>
        <c:lblAlgn val="ctr"/>
        <c:lblOffset val="100"/>
      </c:catAx>
      <c:valAx>
        <c:axId val="72616960"/>
        <c:scaling>
          <c:orientation val="minMax"/>
        </c:scaling>
        <c:delete val="1"/>
        <c:axPos val="l"/>
        <c:numFmt formatCode="_-* #,##0\ _€_-;\-* #,##0\ _€_-;_-* &quot;-&quot;??\ _€_-;_-@_-" sourceLinked="1"/>
        <c:tickLblPos val="none"/>
        <c:crossAx val="72615424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58-427E-9D83-4534EC8435CF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58-427E-9D83-4534EC8435CF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F58-427E-9D83-4534EC8435CF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F58-427E-9D83-4534EC8435CF}"/>
              </c:ext>
            </c:extLst>
          </c:dPt>
          <c:dLbls>
            <c:dLbl>
              <c:idx val="0"/>
              <c:layout>
                <c:manualLayout>
                  <c:x val="6.9252077562327501E-3"/>
                  <c:y val="-2.9850769656261742E-2"/>
                </c:manualLayout>
              </c:layout>
              <c:tx>
                <c:rich>
                  <a:bodyPr/>
                  <a:lstStyle/>
                  <a:p>
                    <a:r>
                      <a:t>Agriculture, forêt et pêche
29,3%</a:t>
                    </a:r>
                  </a:p>
                </c:rich>
              </c:tx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8112177459811982"/>
                      <c:h val="0.321343927092041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F58-427E-9D83-4534EC8435C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800" b="0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lang="en-US" sz="800" b="0" i="0" u="none" strike="noStrike" kern="1200" spc="0" baseline="0">
                        <a:solidFill>
                          <a:schemeClr val="accent3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BTP
11,2%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CatName val="1"/>
              <c:showPercent val="1"/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lang="en-US" sz="800" b="0" i="0" u="none" strike="noStrike" kern="1200" spc="0" baseline="0">
                        <a:solidFill>
                          <a:schemeClr val="accent4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Services
47,4%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CatName val="1"/>
              <c:showPercent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Feuil2!$A$2:$A$5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Feuil2!$B$2:$B$5</c:f>
              <c:numCache>
                <c:formatCode>0.0</c:formatCode>
                <c:ptCount val="4"/>
                <c:pt idx="0">
                  <c:v>29.296771270588412</c:v>
                </c:pt>
                <c:pt idx="1">
                  <c:v>11.991308012723803</c:v>
                </c:pt>
                <c:pt idx="2">
                  <c:v>11.246395273099488</c:v>
                </c:pt>
                <c:pt idx="3">
                  <c:v>47.439893657592698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F58-427E-9D83-4534EC8435CF}"/>
            </c:ext>
          </c:extLst>
        </c:ser>
        <c:dLbls>
          <c:showCatName val="1"/>
        </c:dLbls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Feuil1!$B$2</c:f>
              <c:strCache>
                <c:ptCount val="1"/>
                <c:pt idx="0">
                  <c:v>Diplôme de niveau supérieur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Feuil1!$A$3:$A$7</c:f>
              <c:strCache>
                <c:ptCount val="5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  <c:pt idx="4">
                  <c:v>Ensemble</c:v>
                </c:pt>
              </c:strCache>
            </c:strRef>
          </c:cat>
          <c:val>
            <c:numRef>
              <c:f>Feuil1!$B$3:$B$7</c:f>
              <c:numCache>
                <c:formatCode>0.0</c:formatCode>
                <c:ptCount val="5"/>
                <c:pt idx="0">
                  <c:v>1.3866057423776468</c:v>
                </c:pt>
                <c:pt idx="1">
                  <c:v>17.709071888814698</c:v>
                </c:pt>
                <c:pt idx="2">
                  <c:v>7.2422421284973524</c:v>
                </c:pt>
                <c:pt idx="3">
                  <c:v>28.761934395552963</c:v>
                </c:pt>
                <c:pt idx="4">
                  <c:v>17.005112614286453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3D-45C9-9682-0B43211D6B58}"/>
            </c:ext>
          </c:extLst>
        </c:ser>
        <c:ser>
          <c:idx val="1"/>
          <c:order val="1"/>
          <c:tx>
            <c:strRef>
              <c:f>Feuil1!$C$2</c:f>
              <c:strCache>
                <c:ptCount val="1"/>
                <c:pt idx="0">
                  <c:v>Diplôme de niveau moyen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Feuil1!$A$3:$A$7</c:f>
              <c:strCache>
                <c:ptCount val="5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  <c:pt idx="4">
                  <c:v>Ensemble</c:v>
                </c:pt>
              </c:strCache>
            </c:strRef>
          </c:cat>
          <c:val>
            <c:numRef>
              <c:f>Feuil1!$C$3:$C$7</c:f>
              <c:numCache>
                <c:formatCode>0.0</c:formatCode>
                <c:ptCount val="5"/>
                <c:pt idx="0">
                  <c:v>20.324987414276553</c:v>
                </c:pt>
                <c:pt idx="1">
                  <c:v>40.238561242388514</c:v>
                </c:pt>
                <c:pt idx="2">
                  <c:v>36.708282072835388</c:v>
                </c:pt>
                <c:pt idx="3">
                  <c:v>35.628002317292882</c:v>
                </c:pt>
                <c:pt idx="4">
                  <c:v>31.812188916996735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C3D-45C9-9682-0B43211D6B58}"/>
            </c:ext>
          </c:extLst>
        </c:ser>
        <c:ser>
          <c:idx val="2"/>
          <c:order val="2"/>
          <c:tx>
            <c:strRef>
              <c:f>Feuil1!$D$2</c:f>
              <c:strCache>
                <c:ptCount val="1"/>
                <c:pt idx="0">
                  <c:v>Aucun diplôme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Feuil1!$A$3:$A$7</c:f>
              <c:strCache>
                <c:ptCount val="5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  <c:pt idx="4">
                  <c:v>Ensemble</c:v>
                </c:pt>
              </c:strCache>
            </c:strRef>
          </c:cat>
          <c:val>
            <c:numRef>
              <c:f>Feuil1!$D$3:$D$7</c:f>
              <c:numCache>
                <c:formatCode>0.0</c:formatCode>
                <c:ptCount val="5"/>
                <c:pt idx="0">
                  <c:v>78.282576086645818</c:v>
                </c:pt>
                <c:pt idx="1">
                  <c:v>42.010815882673135</c:v>
                </c:pt>
                <c:pt idx="2">
                  <c:v>56.049475798667345</c:v>
                </c:pt>
                <c:pt idx="3">
                  <c:v>35.577040827706014</c:v>
                </c:pt>
                <c:pt idx="4">
                  <c:v>51.157740717497013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C3D-45C9-9682-0B43211D6B58}"/>
            </c:ext>
          </c:extLst>
        </c:ser>
        <c:dLbls>
          <c:showVal val="1"/>
        </c:dLbls>
        <c:gapWidth val="219"/>
        <c:overlap val="-27"/>
        <c:axId val="72848896"/>
        <c:axId val="72850432"/>
      </c:barChart>
      <c:catAx>
        <c:axId val="72848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2850432"/>
        <c:crosses val="autoZero"/>
        <c:auto val="1"/>
        <c:lblAlgn val="ctr"/>
        <c:lblOffset val="100"/>
      </c:catAx>
      <c:valAx>
        <c:axId val="72850432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72848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'[2022 - Note sur l''emploi - Tabulation #1 -19012023.xlsx]Feuil1'!$C$6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'[2022 - Note sur l''emploi - Tabulation #1 -19012023.xlsx]Feuil1'!$B$7:$B$9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'[2022 - Note sur l''emploi - Tabulation #1 -19012023.xlsx]Feuil1'!$C$7:$C$9</c:f>
              <c:numCache>
                <c:formatCode>General</c:formatCode>
                <c:ptCount val="3"/>
                <c:pt idx="0">
                  <c:v>37.4</c:v>
                </c:pt>
                <c:pt idx="1">
                  <c:v>7.9</c:v>
                </c:pt>
                <c:pt idx="2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EC-4C59-8E9A-143E331BFAF1}"/>
            </c:ext>
          </c:extLst>
        </c:ser>
        <c:ser>
          <c:idx val="1"/>
          <c:order val="1"/>
          <c:tx>
            <c:strRef>
              <c:f>'[2022 - Note sur l''emploi - Tabulation #1 -19012023.xlsx]Feuil1'!$D$6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'[2022 - Note sur l''emploi - Tabulation #1 -19012023.xlsx]Feuil1'!$B$7:$B$9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'[2022 - Note sur l''emploi - Tabulation #1 -19012023.xlsx]Feuil1'!$D$7:$D$9</c:f>
              <c:numCache>
                <c:formatCode>0.0</c:formatCode>
                <c:ptCount val="3"/>
                <c:pt idx="0">
                  <c:v>38.283888632331156</c:v>
                </c:pt>
                <c:pt idx="1">
                  <c:v>9.3511032042481297</c:v>
                </c:pt>
                <c:pt idx="2">
                  <c:v>26.544472854314829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DEC-4C59-8E9A-143E331BFAF1}"/>
            </c:ext>
          </c:extLst>
        </c:ser>
        <c:gapWidth val="219"/>
        <c:overlap val="-27"/>
        <c:axId val="72885376"/>
        <c:axId val="72886912"/>
      </c:barChart>
      <c:catAx>
        <c:axId val="728853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2886912"/>
        <c:crosses val="autoZero"/>
        <c:auto val="1"/>
        <c:lblAlgn val="ctr"/>
        <c:lblOffset val="100"/>
      </c:catAx>
      <c:valAx>
        <c:axId val="7288691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7288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'[2022 - Note sur l''emploi - Tabulation #1 -19012023.xlsx]Feuil1'!$C$23</c:f>
              <c:strCache>
                <c:ptCount val="1"/>
                <c:pt idx="0">
                  <c:v>Couverture des travailleurs par une assurance maladire liée à leur emploi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'[2022 - Note sur l''emploi - Tabulation #1 -19012023.xlsx]Feuil1'!$B$24:$B$27</c:f>
              <c:strCache>
                <c:ptCount val="4"/>
                <c:pt idx="0">
                  <c:v>Agriculture, forêt et pêche</c:v>
                </c:pt>
                <c:pt idx="1">
                  <c:v>Industrie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'[2022 - Note sur l''emploi - Tabulation #1 -19012023.xlsx]Feuil1'!$C$24:$C$27</c:f>
              <c:numCache>
                <c:formatCode>0.0</c:formatCode>
                <c:ptCount val="4"/>
                <c:pt idx="0">
                  <c:v>5.4440085299760765</c:v>
                </c:pt>
                <c:pt idx="1">
                  <c:v>46.256468160719194</c:v>
                </c:pt>
                <c:pt idx="2">
                  <c:v>12.37448182074152</c:v>
                </c:pt>
                <c:pt idx="3">
                  <c:v>37.944390411267442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80-4B5E-84C9-41D92BAA8A90}"/>
            </c:ext>
          </c:extLst>
        </c:ser>
        <c:ser>
          <c:idx val="1"/>
          <c:order val="1"/>
          <c:tx>
            <c:strRef>
              <c:f>'[2022 - Note sur l''emploi - Tabulation #1 -19012023.xlsx]Feuil1'!$D$23</c:f>
              <c:strCache>
                <c:ptCount val="1"/>
                <c:pt idx="0">
                  <c:v>la part des salariés disposant d'un contrat de travail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'[2022 - Note sur l''emploi - Tabulation #1 -19012023.xlsx]Feuil1'!$B$24:$B$27</c:f>
              <c:strCache>
                <c:ptCount val="4"/>
                <c:pt idx="0">
                  <c:v>Agriculture, forêt et pêche</c:v>
                </c:pt>
                <c:pt idx="1">
                  <c:v>Industrie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'[2022 - Note sur l''emploi - Tabulation #1 -19012023.xlsx]Feuil1'!$D$24:$D$27</c:f>
              <c:numCache>
                <c:formatCode>0.0</c:formatCode>
                <c:ptCount val="4"/>
                <c:pt idx="0">
                  <c:v>20.016797678877442</c:v>
                </c:pt>
                <c:pt idx="1">
                  <c:v>61.600205848488557</c:v>
                </c:pt>
                <c:pt idx="2">
                  <c:v>18.335773642996983</c:v>
                </c:pt>
                <c:pt idx="3">
                  <c:v>60.616159889611524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80-4B5E-84C9-41D92BAA8A90}"/>
            </c:ext>
          </c:extLst>
        </c:ser>
        <c:gapWidth val="219"/>
        <c:overlap val="-27"/>
        <c:axId val="72925568"/>
        <c:axId val="72927104"/>
      </c:barChart>
      <c:catAx>
        <c:axId val="729255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2927104"/>
        <c:crosses val="autoZero"/>
        <c:auto val="1"/>
        <c:lblAlgn val="ctr"/>
        <c:lblOffset val="100"/>
      </c:catAx>
      <c:valAx>
        <c:axId val="7292710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72925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Feuil1!$C$41</c:f>
              <c:strCache>
                <c:ptCount val="1"/>
                <c:pt idx="0">
                  <c:v>CDI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Feuil1!$B$42:$B$45</c:f>
              <c:strCache>
                <c:ptCount val="4"/>
                <c:pt idx="0">
                  <c:v>Ensemble</c:v>
                </c:pt>
                <c:pt idx="1">
                  <c:v>Aucun diplôme</c:v>
                </c:pt>
                <c:pt idx="2">
                  <c:v>Diplôme moyen</c:v>
                </c:pt>
                <c:pt idx="3">
                  <c:v>Diplôme superieur</c:v>
                </c:pt>
              </c:strCache>
            </c:strRef>
          </c:cat>
          <c:val>
            <c:numRef>
              <c:f>Feuil1!$C$42:$C$45</c:f>
              <c:numCache>
                <c:formatCode>0.0</c:formatCode>
                <c:ptCount val="4"/>
                <c:pt idx="0">
                  <c:v>27.882734289200787</c:v>
                </c:pt>
                <c:pt idx="1">
                  <c:v>11.821094243110625</c:v>
                </c:pt>
                <c:pt idx="2">
                  <c:v>22.587112358187689</c:v>
                </c:pt>
                <c:pt idx="3">
                  <c:v>60.131829477674522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32-4B7F-BC62-074A5939175D}"/>
            </c:ext>
          </c:extLst>
        </c:ser>
        <c:ser>
          <c:idx val="1"/>
          <c:order val="1"/>
          <c:tx>
            <c:strRef>
              <c:f>Feuil1!$D$41</c:f>
              <c:strCache>
                <c:ptCount val="1"/>
                <c:pt idx="0">
                  <c:v>CDD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Feuil1!$B$42:$B$45</c:f>
              <c:strCache>
                <c:ptCount val="4"/>
                <c:pt idx="0">
                  <c:v>Ensemble</c:v>
                </c:pt>
                <c:pt idx="1">
                  <c:v>Aucun diplôme</c:v>
                </c:pt>
                <c:pt idx="2">
                  <c:v>Diplôme moyen</c:v>
                </c:pt>
                <c:pt idx="3">
                  <c:v>Diplôme superieur</c:v>
                </c:pt>
              </c:strCache>
            </c:strRef>
          </c:cat>
          <c:val>
            <c:numRef>
              <c:f>Feuil1!$D$42:$D$45</c:f>
              <c:numCache>
                <c:formatCode>0.0</c:formatCode>
                <c:ptCount val="4"/>
                <c:pt idx="0">
                  <c:v>14.824395246331612</c:v>
                </c:pt>
                <c:pt idx="1">
                  <c:v>9.7514041453993627</c:v>
                </c:pt>
                <c:pt idx="2">
                  <c:v>15.20840050989073</c:v>
                </c:pt>
                <c:pt idx="3">
                  <c:v>22.264876688019939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832-4B7F-BC62-074A5939175D}"/>
            </c:ext>
          </c:extLst>
        </c:ser>
        <c:ser>
          <c:idx val="2"/>
          <c:order val="2"/>
          <c:tx>
            <c:strRef>
              <c:f>Feuil1!$E$41</c:f>
              <c:strCache>
                <c:ptCount val="1"/>
                <c:pt idx="0">
                  <c:v>Contrat verbal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Feuil1!$B$42:$B$45</c:f>
              <c:strCache>
                <c:ptCount val="4"/>
                <c:pt idx="0">
                  <c:v>Ensemble</c:v>
                </c:pt>
                <c:pt idx="1">
                  <c:v>Aucun diplôme</c:v>
                </c:pt>
                <c:pt idx="2">
                  <c:v>Diplôme moyen</c:v>
                </c:pt>
                <c:pt idx="3">
                  <c:v>Diplôme superieur</c:v>
                </c:pt>
              </c:strCache>
            </c:strRef>
          </c:cat>
          <c:val>
            <c:numRef>
              <c:f>Feuil1!$E$42:$E$45</c:f>
              <c:numCache>
                <c:formatCode>0.0</c:formatCode>
                <c:ptCount val="4"/>
                <c:pt idx="0">
                  <c:v>6.055024144045114</c:v>
                </c:pt>
                <c:pt idx="1">
                  <c:v>7.2248459979998652</c:v>
                </c:pt>
                <c:pt idx="2">
                  <c:v>6.8263783540778684</c:v>
                </c:pt>
                <c:pt idx="3">
                  <c:v>3.1854142392241549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832-4B7F-BC62-074A5939175D}"/>
            </c:ext>
          </c:extLst>
        </c:ser>
        <c:ser>
          <c:idx val="3"/>
          <c:order val="3"/>
          <c:tx>
            <c:strRef>
              <c:f>Feuil1!$F$41</c:f>
              <c:strCache>
                <c:ptCount val="1"/>
                <c:pt idx="0">
                  <c:v>Aucun contrat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Feuil1!$B$42:$B$45</c:f>
              <c:strCache>
                <c:ptCount val="4"/>
                <c:pt idx="0">
                  <c:v>Ensemble</c:v>
                </c:pt>
                <c:pt idx="1">
                  <c:v>Aucun diplôme</c:v>
                </c:pt>
                <c:pt idx="2">
                  <c:v>Diplôme moyen</c:v>
                </c:pt>
                <c:pt idx="3">
                  <c:v>Diplôme superieur</c:v>
                </c:pt>
              </c:strCache>
            </c:strRef>
          </c:cat>
          <c:val>
            <c:numRef>
              <c:f>Feuil1!$F$42:$F$45</c:f>
              <c:numCache>
                <c:formatCode>0.0</c:formatCode>
                <c:ptCount val="4"/>
                <c:pt idx="0">
                  <c:v>51.237846320425582</c:v>
                </c:pt>
                <c:pt idx="1">
                  <c:v>71.20265561349018</c:v>
                </c:pt>
                <c:pt idx="2">
                  <c:v>55.378108777842144</c:v>
                </c:pt>
                <c:pt idx="3">
                  <c:v>14.417879595080224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832-4B7F-BC62-074A5939175D}"/>
            </c:ext>
          </c:extLst>
        </c:ser>
        <c:gapWidth val="182"/>
        <c:axId val="72964736"/>
        <c:axId val="72974720"/>
      </c:barChart>
      <c:catAx>
        <c:axId val="729647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2974720"/>
        <c:crosses val="autoZero"/>
        <c:auto val="1"/>
        <c:lblAlgn val="ctr"/>
        <c:lblOffset val="100"/>
      </c:catAx>
      <c:valAx>
        <c:axId val="72974720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72964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Feuil1!$C$57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7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Feuil1!$B$58:$B$65</c:f>
              <c:strCache>
                <c:ptCount val="8"/>
                <c:pt idx="0">
                  <c:v>Urbain</c:v>
                </c:pt>
                <c:pt idx="1">
                  <c:v>Rural</c:v>
                </c:pt>
                <c:pt idx="2">
                  <c:v>Féminin</c:v>
                </c:pt>
                <c:pt idx="3">
                  <c:v>Masculin</c:v>
                </c:pt>
                <c:pt idx="4">
                  <c:v>25-34 ans</c:v>
                </c:pt>
                <c:pt idx="5">
                  <c:v>35-44 ans</c:v>
                </c:pt>
                <c:pt idx="6">
                  <c:v>Aucun diplôme</c:v>
                </c:pt>
                <c:pt idx="7">
                  <c:v>National</c:v>
                </c:pt>
              </c:strCache>
            </c:strRef>
          </c:cat>
          <c:val>
            <c:numRef>
              <c:f>Feuil1!$C$58:$C$65</c:f>
              <c:numCache>
                <c:formatCode>General</c:formatCode>
                <c:ptCount val="8"/>
                <c:pt idx="0">
                  <c:v>8.8000000000000007</c:v>
                </c:pt>
                <c:pt idx="1">
                  <c:v>10</c:v>
                </c:pt>
                <c:pt idx="2">
                  <c:v>5.3</c:v>
                </c:pt>
                <c:pt idx="3">
                  <c:v>10.5</c:v>
                </c:pt>
                <c:pt idx="4">
                  <c:v>12.6</c:v>
                </c:pt>
                <c:pt idx="5">
                  <c:v>9.7000000000000011</c:v>
                </c:pt>
                <c:pt idx="6">
                  <c:v>9</c:v>
                </c:pt>
                <c:pt idx="7">
                  <c:v>9.3000000000000007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81-4980-B0D8-2C0F32301680}"/>
            </c:ext>
          </c:extLst>
        </c:ser>
        <c:ser>
          <c:idx val="1"/>
          <c:order val="1"/>
          <c:tx>
            <c:strRef>
              <c:f>Feuil1!$D$57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7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Feuil1!$B$58:$B$65</c:f>
              <c:strCache>
                <c:ptCount val="8"/>
                <c:pt idx="0">
                  <c:v>Urbain</c:v>
                </c:pt>
                <c:pt idx="1">
                  <c:v>Rural</c:v>
                </c:pt>
                <c:pt idx="2">
                  <c:v>Féminin</c:v>
                </c:pt>
                <c:pt idx="3">
                  <c:v>Masculin</c:v>
                </c:pt>
                <c:pt idx="4">
                  <c:v>25-34 ans</c:v>
                </c:pt>
                <c:pt idx="5">
                  <c:v>35-44 ans</c:v>
                </c:pt>
                <c:pt idx="6">
                  <c:v>Aucun diplôme</c:v>
                </c:pt>
                <c:pt idx="7">
                  <c:v>National</c:v>
                </c:pt>
              </c:strCache>
            </c:strRef>
          </c:cat>
          <c:val>
            <c:numRef>
              <c:f>Feuil1!$D$58:$D$65</c:f>
              <c:numCache>
                <c:formatCode>General</c:formatCode>
                <c:ptCount val="8"/>
                <c:pt idx="0">
                  <c:v>8.1</c:v>
                </c:pt>
                <c:pt idx="1">
                  <c:v>10.4</c:v>
                </c:pt>
                <c:pt idx="2">
                  <c:v>5.4</c:v>
                </c:pt>
                <c:pt idx="3">
                  <c:v>10</c:v>
                </c:pt>
                <c:pt idx="4">
                  <c:v>12.4</c:v>
                </c:pt>
                <c:pt idx="5">
                  <c:v>9</c:v>
                </c:pt>
                <c:pt idx="6">
                  <c:v>8.7000000000000011</c:v>
                </c:pt>
                <c:pt idx="7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81-4980-B0D8-2C0F32301680}"/>
            </c:ext>
          </c:extLst>
        </c:ser>
        <c:dLbls>
          <c:showVal val="1"/>
        </c:dLbls>
        <c:axId val="72996736"/>
        <c:axId val="72998272"/>
      </c:barChart>
      <c:catAx>
        <c:axId val="72996736"/>
        <c:scaling>
          <c:orientation val="minMax"/>
        </c:scaling>
        <c:axPos val="b"/>
        <c:numFmt formatCode="General" sourceLinked="0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fr-FR"/>
          </a:p>
        </c:txPr>
        <c:crossAx val="72998272"/>
        <c:crosses val="autoZero"/>
        <c:auto val="1"/>
        <c:lblAlgn val="ctr"/>
        <c:lblOffset val="100"/>
      </c:catAx>
      <c:valAx>
        <c:axId val="72998272"/>
        <c:scaling>
          <c:orientation val="minMax"/>
        </c:scaling>
        <c:delete val="1"/>
        <c:axPos val="l"/>
        <c:numFmt formatCode="General" sourceLinked="1"/>
        <c:tickLblPos val="none"/>
        <c:crossAx val="729967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fr-FR"/>
        </a:p>
      </c:txPr>
    </c:legend>
    <c:plotVisOnly val="1"/>
    <c:dispBlanksAs val="gap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C316B-5C94-4E2C-8281-B4A6BEB8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1841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 AAI</dc:creator>
  <cp:lastModifiedBy>HCP</cp:lastModifiedBy>
  <cp:revision>3</cp:revision>
  <cp:lastPrinted>2023-02-08T08:27:00Z</cp:lastPrinted>
  <dcterms:created xsi:type="dcterms:W3CDTF">2023-02-11T12:33:00Z</dcterms:created>
  <dcterms:modified xsi:type="dcterms:W3CDTF">2023-02-12T17:20:00Z</dcterms:modified>
</cp:coreProperties>
</file>