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NOTE D’INFORMATION DU HAUT-COMMISSARIAT AU PLAN RELATIVE </w:t>
      </w: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 LA SITUATION DU MARCHE DU TRAVAIL </w:t>
      </w:r>
    </w:p>
    <w:p w:rsidR="00167B85" w:rsidRPr="00101148"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AU </w:t>
      </w:r>
      <w:r w:rsidR="00A55FAE" w:rsidRPr="00101148">
        <w:rPr>
          <w:rFonts w:ascii="Book Antiqua" w:hAnsi="Book Antiqua" w:cstheme="majorHAnsi"/>
          <w:b/>
          <w:bCs/>
          <w:color w:val="4472C4" w:themeColor="accent1"/>
          <w:sz w:val="26"/>
          <w:szCs w:val="26"/>
        </w:rPr>
        <w:t>PREMIER TRIMESTRE</w:t>
      </w:r>
      <w:r w:rsidRPr="00101148">
        <w:rPr>
          <w:rFonts w:ascii="Book Antiqua" w:hAnsi="Book Antiqua" w:cstheme="majorHAnsi"/>
          <w:b/>
          <w:bCs/>
          <w:color w:val="4472C4" w:themeColor="accent1"/>
          <w:sz w:val="26"/>
          <w:szCs w:val="26"/>
        </w:rPr>
        <w:t xml:space="preserve"> DE 202</w:t>
      </w:r>
      <w:r w:rsidR="00CB1E1D" w:rsidRPr="00101148">
        <w:rPr>
          <w:rFonts w:ascii="Book Antiqua" w:hAnsi="Book Antiqua" w:cstheme="majorHAnsi"/>
          <w:b/>
          <w:bCs/>
          <w:color w:val="4472C4" w:themeColor="accent1"/>
          <w:sz w:val="26"/>
          <w:szCs w:val="26"/>
        </w:rPr>
        <w:t>3</w:t>
      </w:r>
    </w:p>
    <w:p w:rsidR="00A0224C" w:rsidRDefault="00101148" w:rsidP="0016181E">
      <w:pPr>
        <w:autoSpaceDE w:val="0"/>
        <w:autoSpaceDN w:val="0"/>
        <w:adjustRightInd w:val="0"/>
        <w:spacing w:before="120" w:after="120" w:line="240" w:lineRule="auto"/>
        <w:jc w:val="both"/>
        <w:rPr>
          <w:rFonts w:ascii="Book Antiqua" w:hAnsi="Book Antiqua"/>
          <w:color w:val="2F5496" w:themeColor="accent1" w:themeShade="BF"/>
          <w:sz w:val="24"/>
          <w:szCs w:val="24"/>
        </w:rPr>
      </w:pPr>
      <w:r>
        <w:rPr>
          <w:rFonts w:ascii="Book Antiqua" w:hAnsi="Book Antiqua"/>
          <w:color w:val="2F5496" w:themeColor="accent1" w:themeShade="BF"/>
          <w:sz w:val="24"/>
          <w:szCs w:val="24"/>
        </w:rPr>
        <w:t xml:space="preserve">  </w:t>
      </w:r>
    </w:p>
    <w:p w:rsidR="00972048" w:rsidRPr="00F72752" w:rsidRDefault="00167B85" w:rsidP="004C42DC">
      <w:pPr>
        <w:autoSpaceDE w:val="0"/>
        <w:autoSpaceDN w:val="0"/>
        <w:adjustRightInd w:val="0"/>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 xml:space="preserve">Entre le </w:t>
      </w:r>
      <w:r w:rsidR="00AB58EE" w:rsidRPr="00F72752">
        <w:rPr>
          <w:rFonts w:ascii="Book Antiqua" w:hAnsi="Book Antiqua"/>
          <w:color w:val="2F5496" w:themeColor="accent1" w:themeShade="BF"/>
        </w:rPr>
        <w:t>premier</w:t>
      </w:r>
      <w:r w:rsidRPr="00F72752">
        <w:rPr>
          <w:rFonts w:ascii="Book Antiqua" w:hAnsi="Book Antiqua"/>
          <w:color w:val="2F5496" w:themeColor="accent1" w:themeShade="BF"/>
        </w:rPr>
        <w:t xml:space="preserve"> trimestre de 20</w:t>
      </w:r>
      <w:r w:rsidR="00AB58EE" w:rsidRPr="00F72752">
        <w:rPr>
          <w:rFonts w:ascii="Book Antiqua" w:hAnsi="Book Antiqua"/>
          <w:color w:val="2F5496" w:themeColor="accent1" w:themeShade="BF"/>
        </w:rPr>
        <w:t>22</w:t>
      </w:r>
      <w:r w:rsidRPr="00F72752">
        <w:rPr>
          <w:rFonts w:ascii="Book Antiqua" w:hAnsi="Book Antiqua"/>
          <w:color w:val="2F5496" w:themeColor="accent1" w:themeShade="BF"/>
        </w:rPr>
        <w:t xml:space="preserve"> et la même période de 202</w:t>
      </w:r>
      <w:r w:rsidR="00AB58EE" w:rsidRPr="00F72752">
        <w:rPr>
          <w:rFonts w:ascii="Book Antiqua" w:hAnsi="Book Antiqua"/>
          <w:color w:val="2F5496" w:themeColor="accent1" w:themeShade="BF"/>
        </w:rPr>
        <w:t>3</w:t>
      </w:r>
      <w:r w:rsidRPr="00F72752">
        <w:rPr>
          <w:rFonts w:ascii="Book Antiqua" w:hAnsi="Book Antiqua"/>
          <w:color w:val="2F5496" w:themeColor="accent1" w:themeShade="BF"/>
        </w:rPr>
        <w:t xml:space="preserve">, l’économie </w:t>
      </w:r>
      <w:r w:rsidR="008D2A96" w:rsidRPr="00F72752">
        <w:rPr>
          <w:rFonts w:ascii="Book Antiqua" w:hAnsi="Book Antiqua"/>
          <w:color w:val="2F5496" w:themeColor="accent1" w:themeShade="BF"/>
        </w:rPr>
        <w:t>nationale</w:t>
      </w:r>
      <w:r w:rsidRPr="00F72752">
        <w:rPr>
          <w:rFonts w:ascii="Book Antiqua" w:hAnsi="Book Antiqua"/>
          <w:color w:val="2F5496" w:themeColor="accent1" w:themeShade="BF"/>
        </w:rPr>
        <w:t xml:space="preserve"> a perdu </w:t>
      </w:r>
      <w:r w:rsidR="00AB58EE" w:rsidRPr="00F72752">
        <w:rPr>
          <w:rFonts w:ascii="Book Antiqua" w:hAnsi="Book Antiqua"/>
          <w:color w:val="2F5496" w:themeColor="accent1" w:themeShade="BF"/>
        </w:rPr>
        <w:t>280</w:t>
      </w:r>
      <w:r w:rsidRPr="00F72752">
        <w:rPr>
          <w:rFonts w:ascii="Book Antiqua" w:hAnsi="Book Antiqua"/>
          <w:color w:val="2F5496" w:themeColor="accent1" w:themeShade="BF"/>
        </w:rPr>
        <w:t>.000 postes d’emploi</w:t>
      </w:r>
      <w:r w:rsidR="00686F85" w:rsidRPr="00F72752">
        <w:rPr>
          <w:rFonts w:ascii="Book Antiqua" w:hAnsi="Book Antiqua"/>
          <w:color w:val="2F5496" w:themeColor="accent1" w:themeShade="BF"/>
        </w:rPr>
        <w:t xml:space="preserve">, </w:t>
      </w:r>
      <w:r w:rsidR="00972048" w:rsidRPr="00F72752">
        <w:rPr>
          <w:rFonts w:ascii="Book Antiqua" w:hAnsi="Book Antiqua"/>
          <w:color w:val="2F5496" w:themeColor="accent1" w:themeShade="BF"/>
        </w:rPr>
        <w:t>26</w:t>
      </w:r>
      <w:r w:rsidR="00686F85" w:rsidRPr="00F72752">
        <w:rPr>
          <w:rFonts w:ascii="Book Antiqua" w:hAnsi="Book Antiqua"/>
          <w:color w:val="2F5496" w:themeColor="accent1" w:themeShade="BF"/>
        </w:rPr>
        <w:t>7</w:t>
      </w:r>
      <w:r w:rsidR="00972048" w:rsidRPr="00F72752">
        <w:rPr>
          <w:rFonts w:ascii="Book Antiqua" w:hAnsi="Book Antiqua"/>
          <w:color w:val="2F5496" w:themeColor="accent1" w:themeShade="BF"/>
        </w:rPr>
        <w:t>.000 non rémunéré</w:t>
      </w:r>
      <w:r w:rsidR="00940768" w:rsidRPr="00F72752">
        <w:rPr>
          <w:rFonts w:ascii="Book Antiqua" w:hAnsi="Book Antiqua"/>
          <w:color w:val="2F5496" w:themeColor="accent1" w:themeShade="BF"/>
        </w:rPr>
        <w:t>s</w:t>
      </w:r>
      <w:r w:rsidR="00972048" w:rsidRPr="00F72752">
        <w:rPr>
          <w:rFonts w:ascii="Book Antiqua" w:hAnsi="Book Antiqua"/>
          <w:color w:val="2F5496" w:themeColor="accent1" w:themeShade="BF"/>
        </w:rPr>
        <w:t xml:space="preserve"> et 13.000 rémunérés</w:t>
      </w:r>
      <w:r w:rsidR="00686F85" w:rsidRPr="00F72752">
        <w:rPr>
          <w:rFonts w:ascii="Book Antiqua" w:hAnsi="Book Antiqua"/>
          <w:color w:val="2F5496" w:themeColor="accent1" w:themeShade="BF"/>
        </w:rPr>
        <w:t xml:space="preserve">. Cette perte </w:t>
      </w:r>
      <w:r w:rsidR="00F56F27" w:rsidRPr="00F72752">
        <w:rPr>
          <w:rFonts w:ascii="Book Antiqua" w:hAnsi="Book Antiqua"/>
          <w:color w:val="2F5496" w:themeColor="accent1" w:themeShade="BF"/>
        </w:rPr>
        <w:t xml:space="preserve">est </w:t>
      </w:r>
      <w:r w:rsidR="004C42DC">
        <w:rPr>
          <w:rFonts w:ascii="Book Antiqua" w:hAnsi="Book Antiqua"/>
          <w:color w:val="2F5496" w:themeColor="accent1" w:themeShade="BF"/>
          <w:lang w:bidi="tzm-Arab-MA"/>
        </w:rPr>
        <w:t xml:space="preserve">due à </w:t>
      </w:r>
      <w:r w:rsidR="00F56F27" w:rsidRPr="00F72752">
        <w:rPr>
          <w:rFonts w:ascii="Book Antiqua" w:hAnsi="Book Antiqua"/>
          <w:color w:val="2F5496" w:themeColor="accent1" w:themeShade="BF"/>
        </w:rPr>
        <w:t xml:space="preserve">une baisse </w:t>
      </w:r>
      <w:r w:rsidR="00686F85" w:rsidRPr="00F72752">
        <w:rPr>
          <w:rFonts w:ascii="Book Antiqua" w:hAnsi="Book Antiqua"/>
          <w:color w:val="2F5496" w:themeColor="accent1" w:themeShade="BF"/>
        </w:rPr>
        <w:t>de</w:t>
      </w:r>
      <w:r w:rsidR="00940768" w:rsidRPr="00F72752">
        <w:rPr>
          <w:rFonts w:ascii="Book Antiqua" w:hAnsi="Book Antiqua"/>
          <w:color w:val="2F5496" w:themeColor="accent1" w:themeShade="BF"/>
        </w:rPr>
        <w:t xml:space="preserve"> </w:t>
      </w:r>
      <w:r w:rsidR="00AB58EE" w:rsidRPr="00F72752">
        <w:rPr>
          <w:rFonts w:ascii="Book Antiqua" w:hAnsi="Book Antiqua" w:cs="Times New Roman"/>
          <w:color w:val="2F5496" w:themeColor="accent1" w:themeShade="BF"/>
        </w:rPr>
        <w:t>22</w:t>
      </w:r>
      <w:r w:rsidR="00314F7F" w:rsidRPr="00F72752">
        <w:rPr>
          <w:rFonts w:ascii="Book Antiqua" w:hAnsi="Book Antiqua" w:cs="Times New Roman"/>
          <w:color w:val="2F5496" w:themeColor="accent1" w:themeShade="BF"/>
        </w:rPr>
        <w:t>9</w:t>
      </w:r>
      <w:r w:rsidRPr="00F72752">
        <w:rPr>
          <w:rFonts w:ascii="Book Antiqua" w:hAnsi="Book Antiqua" w:cs="Times New Roman"/>
          <w:color w:val="2F5496" w:themeColor="accent1" w:themeShade="BF"/>
        </w:rPr>
        <w:t xml:space="preserve">.000 </w:t>
      </w:r>
      <w:r w:rsidR="00686F85" w:rsidRPr="00F72752">
        <w:rPr>
          <w:rFonts w:ascii="Book Antiqua" w:hAnsi="Book Antiqua" w:cs="Times New Roman"/>
          <w:color w:val="2F5496" w:themeColor="accent1" w:themeShade="BF"/>
        </w:rPr>
        <w:t>postes au</w:t>
      </w:r>
      <w:r w:rsidR="00AC6FF4" w:rsidRPr="00F72752">
        <w:rPr>
          <w:rFonts w:ascii="Book Antiqua" w:hAnsi="Book Antiqua" w:cs="Times New Roman"/>
          <w:color w:val="2F5496" w:themeColor="accent1" w:themeShade="BF"/>
        </w:rPr>
        <w:t xml:space="preserve"> </w:t>
      </w:r>
      <w:r w:rsidR="00686F85" w:rsidRPr="00F72752">
        <w:rPr>
          <w:rFonts w:ascii="Book Antiqua" w:hAnsi="Book Antiqua"/>
          <w:color w:val="2F5496" w:themeColor="accent1" w:themeShade="BF"/>
        </w:rPr>
        <w:t>milieu rural</w:t>
      </w:r>
      <w:r w:rsidR="00940768" w:rsidRPr="00F72752">
        <w:rPr>
          <w:rFonts w:ascii="Book Antiqua" w:hAnsi="Book Antiqua"/>
          <w:color w:val="2F5496" w:themeColor="accent1" w:themeShade="BF"/>
        </w:rPr>
        <w:t xml:space="preserve"> </w:t>
      </w:r>
      <w:r w:rsidRPr="00F72752">
        <w:rPr>
          <w:rFonts w:ascii="Book Antiqua" w:hAnsi="Book Antiqua"/>
          <w:color w:val="2F5496" w:themeColor="accent1" w:themeShade="BF"/>
        </w:rPr>
        <w:t xml:space="preserve">et </w:t>
      </w:r>
      <w:r w:rsidR="00686F85" w:rsidRPr="00F72752">
        <w:rPr>
          <w:rFonts w:ascii="Book Antiqua" w:hAnsi="Book Antiqua" w:cs="Times New Roman"/>
          <w:color w:val="2F5496" w:themeColor="accent1" w:themeShade="BF"/>
        </w:rPr>
        <w:t xml:space="preserve">51.000 au milieu </w:t>
      </w:r>
      <w:r w:rsidR="00AB58EE" w:rsidRPr="00F72752">
        <w:rPr>
          <w:rFonts w:ascii="Book Antiqua" w:hAnsi="Book Antiqua"/>
          <w:color w:val="2F5496" w:themeColor="accent1" w:themeShade="BF"/>
        </w:rPr>
        <w:t>urbain</w:t>
      </w:r>
      <w:r w:rsidR="00686F85" w:rsidRPr="00F72752">
        <w:rPr>
          <w:rFonts w:ascii="Book Antiqua" w:hAnsi="Book Antiqua"/>
          <w:color w:val="2F5496" w:themeColor="accent1" w:themeShade="BF"/>
        </w:rPr>
        <w:t>.</w:t>
      </w:r>
    </w:p>
    <w:p w:rsidR="00167B85" w:rsidRPr="00F72752" w:rsidRDefault="001037D8" w:rsidP="00916A10">
      <w:pPr>
        <w:autoSpaceDE w:val="0"/>
        <w:autoSpaceDN w:val="0"/>
        <w:adjustRightInd w:val="0"/>
        <w:spacing w:before="120" w:after="120" w:line="240" w:lineRule="auto"/>
        <w:jc w:val="both"/>
        <w:rPr>
          <w:rFonts w:ascii="Book Antiqua" w:hAnsi="Book Antiqua"/>
          <w:color w:val="2F5496" w:themeColor="accent1" w:themeShade="BF"/>
        </w:rPr>
      </w:pPr>
      <w:r w:rsidRPr="00F72752">
        <w:rPr>
          <w:rFonts w:ascii="Book Antiqua" w:hAnsi="Book Antiqua" w:cs="Times New Roman"/>
          <w:color w:val="2F5496" w:themeColor="accent1" w:themeShade="BF"/>
        </w:rPr>
        <w:t xml:space="preserve">Par secteur, les </w:t>
      </w:r>
      <w:r w:rsidR="00AB58EE" w:rsidRPr="00F72752">
        <w:rPr>
          <w:rFonts w:ascii="Book Antiqua" w:hAnsi="Book Antiqua" w:cs="Times New Roman"/>
          <w:color w:val="2F5496" w:themeColor="accent1" w:themeShade="BF"/>
        </w:rPr>
        <w:t>BTP</w:t>
      </w:r>
      <w:r w:rsidR="00461C49" w:rsidRPr="00F72752">
        <w:rPr>
          <w:rFonts w:ascii="Book Antiqua" w:hAnsi="Book Antiqua" w:cs="Times New Roman"/>
          <w:color w:val="2F5496" w:themeColor="accent1" w:themeShade="BF"/>
        </w:rPr>
        <w:t xml:space="preserve"> </w:t>
      </w:r>
      <w:r w:rsidRPr="00F72752">
        <w:rPr>
          <w:rFonts w:ascii="Book Antiqua" w:hAnsi="Book Antiqua" w:cs="Times New Roman"/>
          <w:color w:val="2F5496" w:themeColor="accent1" w:themeShade="BF"/>
        </w:rPr>
        <w:t>ont</w:t>
      </w:r>
      <w:r w:rsidR="00461C49" w:rsidRPr="00F72752">
        <w:rPr>
          <w:rFonts w:ascii="Book Antiqua" w:hAnsi="Book Antiqua" w:cs="Times New Roman"/>
          <w:color w:val="2F5496" w:themeColor="accent1" w:themeShade="BF"/>
        </w:rPr>
        <w:t xml:space="preserve"> connu </w:t>
      </w:r>
      <w:r w:rsidR="00AB58EE" w:rsidRPr="00F72752">
        <w:rPr>
          <w:rFonts w:ascii="Book Antiqua" w:hAnsi="Book Antiqua" w:cs="Times New Roman"/>
          <w:color w:val="2F5496" w:themeColor="accent1" w:themeShade="BF"/>
        </w:rPr>
        <w:t>une cr</w:t>
      </w:r>
      <w:r w:rsidR="00A86633" w:rsidRPr="00F72752">
        <w:rPr>
          <w:rFonts w:ascii="Book Antiqua" w:hAnsi="Book Antiqua" w:cs="Times New Roman"/>
          <w:color w:val="2F5496" w:themeColor="accent1" w:themeShade="BF"/>
        </w:rPr>
        <w:t>é</w:t>
      </w:r>
      <w:r w:rsidR="00AB58EE" w:rsidRPr="00F72752">
        <w:rPr>
          <w:rFonts w:ascii="Book Antiqua" w:hAnsi="Book Antiqua" w:cs="Times New Roman"/>
          <w:color w:val="2F5496" w:themeColor="accent1" w:themeShade="BF"/>
        </w:rPr>
        <w:t>ation de 28.000 postes</w:t>
      </w:r>
      <w:r w:rsidR="00683E13" w:rsidRPr="00F72752">
        <w:rPr>
          <w:rFonts w:ascii="Book Antiqua" w:hAnsi="Book Antiqua" w:cs="Times New Roman"/>
          <w:color w:val="2F5496" w:themeColor="accent1" w:themeShade="BF"/>
        </w:rPr>
        <w:t xml:space="preserve">, </w:t>
      </w:r>
      <w:r w:rsidR="00972048" w:rsidRPr="00F72752">
        <w:rPr>
          <w:rFonts w:ascii="Book Antiqua" w:hAnsi="Book Antiqua" w:cs="Times New Roman"/>
          <w:color w:val="2F5496" w:themeColor="accent1" w:themeShade="BF"/>
        </w:rPr>
        <w:t xml:space="preserve"> contre une perte de</w:t>
      </w:r>
      <w:r w:rsidR="00940768" w:rsidRPr="00F72752">
        <w:rPr>
          <w:rFonts w:ascii="Book Antiqua" w:hAnsi="Book Antiqua" w:cs="Times New Roman"/>
          <w:color w:val="2F5496" w:themeColor="accent1" w:themeShade="BF"/>
        </w:rPr>
        <w:t xml:space="preserve"> </w:t>
      </w:r>
      <w:r w:rsidR="00AB58EE" w:rsidRPr="00F72752">
        <w:rPr>
          <w:rFonts w:ascii="Book Antiqua" w:hAnsi="Book Antiqua"/>
          <w:color w:val="2F5496" w:themeColor="accent1" w:themeShade="BF"/>
        </w:rPr>
        <w:t>24</w:t>
      </w:r>
      <w:r w:rsidR="00167B85" w:rsidRPr="00F72752">
        <w:rPr>
          <w:rFonts w:ascii="Book Antiqua" w:hAnsi="Book Antiqua"/>
          <w:color w:val="2F5496" w:themeColor="accent1" w:themeShade="BF"/>
        </w:rPr>
        <w:t>7.000 postes dans l’"</w:t>
      </w:r>
      <w:r w:rsidR="00A64BE0" w:rsidRPr="00F72752">
        <w:rPr>
          <w:rFonts w:ascii="Book Antiqua" w:hAnsi="Book Antiqua"/>
          <w:color w:val="2F5496" w:themeColor="accent1" w:themeShade="BF"/>
        </w:rPr>
        <w:t xml:space="preserve">agriculture, forêt et pêche" et de </w:t>
      </w:r>
      <w:r w:rsidR="00A86633" w:rsidRPr="00F72752">
        <w:rPr>
          <w:rFonts w:ascii="Book Antiqua" w:hAnsi="Book Antiqua"/>
          <w:color w:val="2F5496" w:themeColor="accent1" w:themeShade="BF"/>
        </w:rPr>
        <w:t>56</w:t>
      </w:r>
      <w:r w:rsidR="00A64BE0" w:rsidRPr="00F72752">
        <w:rPr>
          <w:rFonts w:ascii="Book Antiqua" w:hAnsi="Book Antiqua"/>
          <w:color w:val="2F5496" w:themeColor="accent1" w:themeShade="BF"/>
        </w:rPr>
        <w:t>.000 dans les "services". Le secteur</w:t>
      </w:r>
      <w:r w:rsidR="0091405C" w:rsidRPr="00F72752">
        <w:rPr>
          <w:rFonts w:ascii="Book Antiqua" w:hAnsi="Book Antiqua"/>
          <w:color w:val="2F5496" w:themeColor="accent1" w:themeShade="BF"/>
        </w:rPr>
        <w:t xml:space="preserve"> de </w:t>
      </w:r>
      <w:r w:rsidR="00A64BE0" w:rsidRPr="00F72752">
        <w:rPr>
          <w:rFonts w:ascii="Book Antiqua" w:hAnsi="Book Antiqua"/>
          <w:color w:val="2F5496" w:themeColor="accent1" w:themeShade="BF"/>
        </w:rPr>
        <w:t>l’"industrie</w:t>
      </w:r>
      <w:r w:rsidR="00D84689" w:rsidRPr="00F72752">
        <w:rPr>
          <w:rFonts w:ascii="Book Antiqua" w:hAnsi="Book Antiqua"/>
          <w:color w:val="2F5496" w:themeColor="accent1" w:themeShade="BF"/>
        </w:rPr>
        <w:t>"</w:t>
      </w:r>
      <w:r w:rsidR="00683E13" w:rsidRPr="00F72752">
        <w:rPr>
          <w:rFonts w:ascii="Book Antiqua" w:hAnsi="Book Antiqua"/>
          <w:color w:val="2F5496" w:themeColor="accent1" w:themeShade="BF"/>
        </w:rPr>
        <w:t xml:space="preserve"> a</w:t>
      </w:r>
      <w:r w:rsidR="0091405C" w:rsidRPr="00F72752">
        <w:rPr>
          <w:rFonts w:ascii="Book Antiqua" w:hAnsi="Book Antiqua"/>
          <w:color w:val="2F5496" w:themeColor="accent1" w:themeShade="BF"/>
        </w:rPr>
        <w:t xml:space="preserve"> </w:t>
      </w:r>
      <w:r w:rsidR="00A64BE0" w:rsidRPr="00F72752">
        <w:rPr>
          <w:rFonts w:ascii="Book Antiqua" w:hAnsi="Book Antiqua"/>
          <w:color w:val="2F5496" w:themeColor="accent1" w:themeShade="BF"/>
        </w:rPr>
        <w:t xml:space="preserve">perdu </w:t>
      </w:r>
      <w:r w:rsidR="00A86633" w:rsidRPr="00F72752">
        <w:rPr>
          <w:rFonts w:ascii="Book Antiqua" w:hAnsi="Book Antiqua"/>
          <w:color w:val="2F5496" w:themeColor="accent1" w:themeShade="BF"/>
        </w:rPr>
        <w:t>10</w:t>
      </w:r>
      <w:r w:rsidR="00916A10">
        <w:rPr>
          <w:rFonts w:ascii="Book Antiqua" w:hAnsi="Book Antiqua"/>
          <w:color w:val="2F5496" w:themeColor="accent1" w:themeShade="BF"/>
        </w:rPr>
        <w:t xml:space="preserve">.000 postes, suite à la </w:t>
      </w:r>
      <w:r w:rsidR="007C6B26" w:rsidRPr="00F72752">
        <w:rPr>
          <w:rFonts w:ascii="Book Antiqua" w:hAnsi="Book Antiqua"/>
          <w:color w:val="2F5496" w:themeColor="accent1" w:themeShade="BF"/>
        </w:rPr>
        <w:t>création de 28.000 dans les activités industrielles</w:t>
      </w:r>
      <w:r w:rsidR="009674D0">
        <w:rPr>
          <w:rStyle w:val="Appelnotedebasdep"/>
          <w:rFonts w:ascii="Book Antiqua" w:hAnsi="Book Antiqua"/>
          <w:color w:val="2F5496" w:themeColor="accent1" w:themeShade="BF"/>
        </w:rPr>
        <w:footnoteReference w:id="1"/>
      </w:r>
      <w:r w:rsidR="00940768" w:rsidRPr="00F72752">
        <w:rPr>
          <w:rFonts w:ascii="Book Antiqua" w:hAnsi="Book Antiqua"/>
          <w:color w:val="2F5496" w:themeColor="accent1" w:themeShade="BF"/>
        </w:rPr>
        <w:t xml:space="preserve"> </w:t>
      </w:r>
      <w:r w:rsidR="00972048" w:rsidRPr="00F72752">
        <w:rPr>
          <w:rFonts w:ascii="Book Antiqua" w:hAnsi="Book Antiqua"/>
          <w:color w:val="2F5496" w:themeColor="accent1" w:themeShade="BF"/>
        </w:rPr>
        <w:t xml:space="preserve">et </w:t>
      </w:r>
      <w:r w:rsidR="00916A10">
        <w:rPr>
          <w:rFonts w:ascii="Book Antiqua" w:hAnsi="Book Antiqua"/>
          <w:color w:val="2F5496" w:themeColor="accent1" w:themeShade="BF"/>
        </w:rPr>
        <w:t xml:space="preserve">à la </w:t>
      </w:r>
      <w:r w:rsidR="007C6B26" w:rsidRPr="00F72752">
        <w:rPr>
          <w:rFonts w:ascii="Book Antiqua" w:hAnsi="Book Antiqua"/>
          <w:color w:val="2F5496" w:themeColor="accent1" w:themeShade="BF"/>
        </w:rPr>
        <w:t>perte de 38.000 dans les activités artisanales</w:t>
      </w:r>
      <w:r w:rsidR="0091405C" w:rsidRPr="00F72752">
        <w:rPr>
          <w:rFonts w:ascii="Book Antiqua" w:hAnsi="Book Antiqua"/>
          <w:color w:val="2F5496" w:themeColor="accent1" w:themeShade="BF"/>
        </w:rPr>
        <w:t xml:space="preserve"> ou assimil</w:t>
      </w:r>
      <w:r w:rsidRPr="00F72752">
        <w:rPr>
          <w:rFonts w:ascii="Book Antiqua" w:hAnsi="Book Antiqua"/>
          <w:color w:val="2F5496" w:themeColor="accent1" w:themeShade="BF"/>
        </w:rPr>
        <w:t>é</w:t>
      </w:r>
      <w:r w:rsidR="00F56F27" w:rsidRPr="00F72752">
        <w:rPr>
          <w:rFonts w:ascii="Book Antiqua" w:hAnsi="Book Antiqua"/>
          <w:color w:val="2F5496" w:themeColor="accent1" w:themeShade="BF"/>
        </w:rPr>
        <w:t>e</w:t>
      </w:r>
      <w:r w:rsidRPr="00F72752">
        <w:rPr>
          <w:rFonts w:ascii="Book Antiqua" w:hAnsi="Book Antiqua"/>
          <w:color w:val="2F5496" w:themeColor="accent1" w:themeShade="BF"/>
        </w:rPr>
        <w:t>s</w:t>
      </w:r>
      <w:r w:rsidR="007C6B26" w:rsidRPr="00F72752">
        <w:rPr>
          <w:rFonts w:ascii="Book Antiqua" w:hAnsi="Book Antiqua"/>
          <w:color w:val="2F5496" w:themeColor="accent1" w:themeShade="BF"/>
        </w:rPr>
        <w:t>.</w:t>
      </w:r>
    </w:p>
    <w:p w:rsidR="00167B85" w:rsidRPr="00F72752" w:rsidRDefault="002F4BF8" w:rsidP="00A64BE0">
      <w:pPr>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A</w:t>
      </w:r>
      <w:r w:rsidR="00167B85" w:rsidRPr="00F72752">
        <w:rPr>
          <w:rFonts w:ascii="Book Antiqua" w:hAnsi="Book Antiqua"/>
          <w:color w:val="2F5496" w:themeColor="accent1" w:themeShade="BF"/>
        </w:rPr>
        <w:t>vec une hausse de</w:t>
      </w:r>
      <w:r w:rsidR="00940768" w:rsidRPr="00F72752">
        <w:rPr>
          <w:rFonts w:ascii="Book Antiqua" w:hAnsi="Book Antiqua"/>
          <w:color w:val="2F5496" w:themeColor="accent1" w:themeShade="BF"/>
        </w:rPr>
        <w:t xml:space="preserve"> </w:t>
      </w:r>
      <w:r w:rsidR="00A86633" w:rsidRPr="00F72752">
        <w:rPr>
          <w:rFonts w:ascii="Book Antiqua" w:hAnsi="Book Antiqua"/>
          <w:color w:val="2F5496" w:themeColor="accent1" w:themeShade="BF"/>
        </w:rPr>
        <w:t>83.000 personnes, 67.000 en milieu urbain et 16</w:t>
      </w:r>
      <w:r w:rsidR="00167B85" w:rsidRPr="00F72752">
        <w:rPr>
          <w:rFonts w:ascii="Book Antiqua" w:hAnsi="Book Antiqua"/>
          <w:color w:val="2F5496" w:themeColor="accent1" w:themeShade="BF"/>
        </w:rPr>
        <w:t>.000 en milieu rural, le</w:t>
      </w:r>
      <w:r w:rsidR="00A86633" w:rsidRPr="00F72752">
        <w:rPr>
          <w:rFonts w:ascii="Book Antiqua" w:hAnsi="Book Antiqua"/>
          <w:color w:val="2F5496" w:themeColor="accent1" w:themeShade="BF"/>
        </w:rPr>
        <w:t xml:space="preserve"> volume d</w:t>
      </w:r>
      <w:r w:rsidR="00972048" w:rsidRPr="00F72752">
        <w:rPr>
          <w:rFonts w:ascii="Book Antiqua" w:hAnsi="Book Antiqua"/>
          <w:color w:val="2F5496" w:themeColor="accent1" w:themeShade="BF"/>
        </w:rPr>
        <w:t>u</w:t>
      </w:r>
      <w:r w:rsidR="00A86633" w:rsidRPr="00F72752">
        <w:rPr>
          <w:rFonts w:ascii="Book Antiqua" w:hAnsi="Book Antiqua"/>
          <w:color w:val="2F5496" w:themeColor="accent1" w:themeShade="BF"/>
        </w:rPr>
        <w:t xml:space="preserve"> chômage a atteint 1.549</w:t>
      </w:r>
      <w:r w:rsidR="00167B85" w:rsidRPr="00F72752">
        <w:rPr>
          <w:rFonts w:ascii="Book Antiqua" w:hAnsi="Book Antiqua"/>
          <w:color w:val="2F5496" w:themeColor="accent1" w:themeShade="BF"/>
        </w:rPr>
        <w:t>.000 personnes</w:t>
      </w:r>
      <w:r w:rsidR="001037D8" w:rsidRPr="00F72752">
        <w:rPr>
          <w:rFonts w:ascii="Book Antiqua" w:hAnsi="Book Antiqua"/>
          <w:color w:val="2F5496" w:themeColor="accent1" w:themeShade="BF"/>
        </w:rPr>
        <w:t>,</w:t>
      </w:r>
      <w:r w:rsidR="00167B85" w:rsidRPr="00F72752">
        <w:rPr>
          <w:rFonts w:ascii="Book Antiqua" w:hAnsi="Book Antiqua"/>
          <w:color w:val="2F5496" w:themeColor="accent1" w:themeShade="BF"/>
        </w:rPr>
        <w:t xml:space="preserve"> au niveau national</w:t>
      </w:r>
      <w:r w:rsidR="001037D8" w:rsidRPr="00F72752">
        <w:rPr>
          <w:rFonts w:ascii="Book Antiqua" w:hAnsi="Book Antiqua"/>
          <w:color w:val="2F5496" w:themeColor="accent1" w:themeShade="BF"/>
        </w:rPr>
        <w:t xml:space="preserve">, contre 1.466.000 </w:t>
      </w:r>
      <w:r w:rsidR="00A64BE0" w:rsidRPr="00F72752">
        <w:rPr>
          <w:rFonts w:ascii="Book Antiqua" w:hAnsi="Book Antiqua"/>
          <w:color w:val="2F5496" w:themeColor="accent1" w:themeShade="BF"/>
        </w:rPr>
        <w:t>au cours de la même période de 2022</w:t>
      </w:r>
      <w:r w:rsidR="001037D8" w:rsidRPr="00F72752">
        <w:rPr>
          <w:rFonts w:ascii="Book Antiqua" w:hAnsi="Book Antiqua"/>
          <w:color w:val="2F5496" w:themeColor="accent1" w:themeShade="BF"/>
        </w:rPr>
        <w:t>.</w:t>
      </w:r>
    </w:p>
    <w:p w:rsidR="00167B85" w:rsidRPr="00F72752" w:rsidRDefault="00167B85" w:rsidP="00F72752">
      <w:pPr>
        <w:autoSpaceDE w:val="0"/>
        <w:autoSpaceDN w:val="0"/>
        <w:adjustRightInd w:val="0"/>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Le taux</w:t>
      </w:r>
      <w:r w:rsidR="00A86633" w:rsidRPr="00F72752">
        <w:rPr>
          <w:rFonts w:ascii="Book Antiqua" w:hAnsi="Book Antiqua"/>
          <w:color w:val="2F5496" w:themeColor="accent1" w:themeShade="BF"/>
        </w:rPr>
        <w:t xml:space="preserve"> de chômage est ainsi passé de 12,1% à 12,9</w:t>
      </w:r>
      <w:r w:rsidRPr="00F72752">
        <w:rPr>
          <w:rFonts w:ascii="Book Antiqua" w:hAnsi="Book Antiqua"/>
          <w:color w:val="2F5496" w:themeColor="accent1" w:themeShade="BF"/>
        </w:rPr>
        <w:t>%</w:t>
      </w:r>
      <w:r w:rsidR="00871778" w:rsidRPr="00F72752">
        <w:rPr>
          <w:rFonts w:ascii="Book Antiqua" w:hAnsi="Book Antiqua"/>
          <w:color w:val="2F5496" w:themeColor="accent1" w:themeShade="BF"/>
        </w:rPr>
        <w:t xml:space="preserve"> au niveau national</w:t>
      </w:r>
      <w:r w:rsidR="00A86633" w:rsidRPr="00F72752">
        <w:rPr>
          <w:rFonts w:ascii="Book Antiqua" w:hAnsi="Book Antiqua"/>
          <w:color w:val="2F5496" w:themeColor="accent1" w:themeShade="BF"/>
        </w:rPr>
        <w:t>, de 16,3% à 17,1% en milieu urbain et de 5,1% à 5,7</w:t>
      </w:r>
      <w:r w:rsidRPr="00F72752">
        <w:rPr>
          <w:rFonts w:ascii="Book Antiqua" w:hAnsi="Book Antiqua"/>
          <w:color w:val="2F5496" w:themeColor="accent1" w:themeShade="BF"/>
        </w:rPr>
        <w:t xml:space="preserve">% en milieu rural. </w:t>
      </w:r>
      <w:r w:rsidR="00972048" w:rsidRPr="00F72752">
        <w:rPr>
          <w:rFonts w:ascii="Book Antiqua" w:hAnsi="Book Antiqua"/>
          <w:color w:val="2F5496" w:themeColor="accent1" w:themeShade="BF"/>
        </w:rPr>
        <w:t>Ce taux</w:t>
      </w:r>
      <w:r w:rsidR="004805D0">
        <w:rPr>
          <w:rFonts w:ascii="Book Antiqua" w:hAnsi="Book Antiqua"/>
          <w:color w:val="2F5496" w:themeColor="accent1" w:themeShade="BF"/>
        </w:rPr>
        <w:t xml:space="preserve"> </w:t>
      </w:r>
      <w:r w:rsidR="00F66777" w:rsidRPr="00F72752">
        <w:rPr>
          <w:rFonts w:ascii="Book Antiqua" w:hAnsi="Book Antiqua"/>
          <w:color w:val="2F5496" w:themeColor="accent1" w:themeShade="BF"/>
        </w:rPr>
        <w:t>reste</w:t>
      </w:r>
      <w:r w:rsidR="004805D0">
        <w:rPr>
          <w:rFonts w:ascii="Book Antiqua" w:hAnsi="Book Antiqua"/>
          <w:color w:val="2F5496" w:themeColor="accent1" w:themeShade="BF"/>
        </w:rPr>
        <w:t xml:space="preserve"> </w:t>
      </w:r>
      <w:r w:rsidRPr="00F72752">
        <w:rPr>
          <w:rFonts w:ascii="Book Antiqua" w:hAnsi="Book Antiqua"/>
          <w:color w:val="2F5496" w:themeColor="accent1" w:themeShade="BF"/>
        </w:rPr>
        <w:t>plus élevé parmi les jeunes â</w:t>
      </w:r>
      <w:r w:rsidR="00A86633" w:rsidRPr="00F72752">
        <w:rPr>
          <w:rFonts w:ascii="Book Antiqua" w:hAnsi="Book Antiqua"/>
          <w:color w:val="2F5496" w:themeColor="accent1" w:themeShade="BF"/>
        </w:rPr>
        <w:t>gés de 15</w:t>
      </w:r>
      <w:r w:rsidR="00F72752">
        <w:rPr>
          <w:rFonts w:ascii="Book Antiqua" w:hAnsi="Book Antiqua"/>
          <w:color w:val="2F5496" w:themeColor="accent1" w:themeShade="BF"/>
        </w:rPr>
        <w:t xml:space="preserve"> </w:t>
      </w:r>
      <w:r w:rsidR="00A86633" w:rsidRPr="00F72752">
        <w:rPr>
          <w:rFonts w:ascii="Book Antiqua" w:hAnsi="Book Antiqua"/>
          <w:color w:val="2F5496" w:themeColor="accent1" w:themeShade="BF"/>
        </w:rPr>
        <w:t>à 24 ans (35,3%), les diplômés (19,8%) et les femmes (18,1</w:t>
      </w:r>
      <w:r w:rsidRPr="00F72752">
        <w:rPr>
          <w:rFonts w:ascii="Book Antiqua" w:hAnsi="Book Antiqua"/>
          <w:color w:val="2F5496" w:themeColor="accent1" w:themeShade="BF"/>
        </w:rPr>
        <w:t>%).</w:t>
      </w:r>
    </w:p>
    <w:p w:rsidR="00167B85" w:rsidRPr="00442956" w:rsidRDefault="00167B85" w:rsidP="004805D0">
      <w:pPr>
        <w:autoSpaceDE w:val="0"/>
        <w:autoSpaceDN w:val="0"/>
        <w:adjustRightInd w:val="0"/>
        <w:spacing w:before="120" w:after="120" w:line="240" w:lineRule="auto"/>
        <w:jc w:val="both"/>
        <w:rPr>
          <w:color w:val="2F5496" w:themeColor="accent1" w:themeShade="BF"/>
          <w:sz w:val="32"/>
          <w:szCs w:val="32"/>
        </w:rPr>
      </w:pPr>
      <w:r w:rsidRPr="00F72752">
        <w:rPr>
          <w:rFonts w:ascii="Book Antiqua" w:hAnsi="Book Antiqua"/>
          <w:color w:val="2F5496" w:themeColor="accent1" w:themeShade="BF"/>
        </w:rPr>
        <w:t>La population active occupée en situation de sous-emploi</w:t>
      </w:r>
      <w:r w:rsidR="00A64BE0" w:rsidRPr="00F72752">
        <w:rPr>
          <w:rFonts w:ascii="Book Antiqua" w:hAnsi="Book Antiqua"/>
          <w:color w:val="2F5496" w:themeColor="accent1" w:themeShade="BF"/>
        </w:rPr>
        <w:t xml:space="preserve">, en termes de </w:t>
      </w:r>
      <w:r w:rsidRPr="00F72752">
        <w:rPr>
          <w:rFonts w:ascii="Book Antiqua" w:hAnsi="Book Antiqua"/>
          <w:color w:val="2F5496" w:themeColor="accent1" w:themeShade="BF"/>
        </w:rPr>
        <w:t>nombre d’heures travaillées</w:t>
      </w:r>
      <w:r w:rsidR="00A64BE0" w:rsidRPr="00F72752">
        <w:rPr>
          <w:rFonts w:ascii="Book Antiqua" w:hAnsi="Book Antiqua"/>
          <w:color w:val="2F5496" w:themeColor="accent1" w:themeShade="BF"/>
        </w:rPr>
        <w:t>,</w:t>
      </w:r>
      <w:r w:rsidRPr="00F72752">
        <w:rPr>
          <w:rFonts w:ascii="Book Antiqua" w:hAnsi="Book Antiqua"/>
          <w:color w:val="2F5496" w:themeColor="accent1" w:themeShade="BF"/>
        </w:rPr>
        <w:t xml:space="preserve"> a atteint</w:t>
      </w:r>
      <w:r w:rsidR="00A86633" w:rsidRPr="00F72752">
        <w:rPr>
          <w:rFonts w:ascii="Book Antiqua" w:hAnsi="Book Antiqua"/>
          <w:color w:val="2F5496" w:themeColor="accent1" w:themeShade="BF"/>
        </w:rPr>
        <w:t> </w:t>
      </w:r>
      <w:r w:rsidR="006A1A4A" w:rsidRPr="00F72752">
        <w:rPr>
          <w:rFonts w:ascii="Book Antiqua" w:hAnsi="Book Antiqua"/>
          <w:color w:val="2F5496" w:themeColor="accent1" w:themeShade="BF"/>
        </w:rPr>
        <w:t>513</w:t>
      </w:r>
      <w:r w:rsidRPr="00F72752">
        <w:rPr>
          <w:rFonts w:ascii="Book Antiqua" w:hAnsi="Book Antiqua"/>
          <w:color w:val="2F5496" w:themeColor="accent1" w:themeShade="BF"/>
        </w:rPr>
        <w:t>.</w:t>
      </w:r>
      <w:r w:rsidR="00A86633" w:rsidRPr="00F72752">
        <w:rPr>
          <w:rFonts w:ascii="Book Antiqua" w:hAnsi="Book Antiqua"/>
          <w:color w:val="2F5496" w:themeColor="accent1" w:themeShade="BF"/>
        </w:rPr>
        <w:t>000 personnes, avec un taux de 4,9</w:t>
      </w:r>
      <w:r w:rsidRPr="00F72752">
        <w:rPr>
          <w:rFonts w:ascii="Book Antiqua" w:hAnsi="Book Antiqua"/>
          <w:color w:val="2F5496" w:themeColor="accent1" w:themeShade="BF"/>
        </w:rPr>
        <w:t>%. Celle en situation de sous-emploi</w:t>
      </w:r>
      <w:r w:rsidR="00A64BE0" w:rsidRPr="00F72752">
        <w:rPr>
          <w:rFonts w:ascii="Book Antiqua" w:hAnsi="Book Antiqua"/>
          <w:color w:val="2F5496" w:themeColor="accent1" w:themeShade="BF"/>
        </w:rPr>
        <w:t>, en termes</w:t>
      </w:r>
      <w:r w:rsidRPr="00F72752">
        <w:rPr>
          <w:rFonts w:ascii="Book Antiqua" w:hAnsi="Book Antiqua"/>
          <w:color w:val="2F5496" w:themeColor="accent1" w:themeShade="BF"/>
        </w:rPr>
        <w:t xml:space="preserve"> </w:t>
      </w:r>
      <w:r w:rsidR="004805D0">
        <w:rPr>
          <w:rFonts w:ascii="Book Antiqua" w:hAnsi="Book Antiqua"/>
          <w:color w:val="2F5496" w:themeColor="accent1" w:themeShade="BF"/>
        </w:rPr>
        <w:t>d</w:t>
      </w:r>
      <w:r w:rsidRPr="00F72752">
        <w:rPr>
          <w:rFonts w:ascii="Book Antiqua" w:hAnsi="Book Antiqua"/>
          <w:color w:val="2F5496" w:themeColor="accent1" w:themeShade="BF"/>
        </w:rPr>
        <w:t xml:space="preserve">’insuffisance du revenu ou </w:t>
      </w:r>
      <w:r w:rsidR="001037D8" w:rsidRPr="00F72752">
        <w:rPr>
          <w:rFonts w:ascii="Book Antiqua" w:hAnsi="Book Antiqua"/>
          <w:color w:val="2F5496" w:themeColor="accent1" w:themeShade="BF"/>
        </w:rPr>
        <w:t>d</w:t>
      </w:r>
      <w:r w:rsidRPr="00F72752">
        <w:rPr>
          <w:rFonts w:ascii="Book Antiqua" w:hAnsi="Book Antiqua"/>
          <w:color w:val="2F5496" w:themeColor="accent1" w:themeShade="BF"/>
        </w:rPr>
        <w:t>’inadéquation entre forma</w:t>
      </w:r>
      <w:r w:rsidR="00A86633" w:rsidRPr="00F72752">
        <w:rPr>
          <w:rFonts w:ascii="Book Antiqua" w:hAnsi="Book Antiqua"/>
          <w:color w:val="2F5496" w:themeColor="accent1" w:themeShade="BF"/>
        </w:rPr>
        <w:t>tion et emploi exercé</w:t>
      </w:r>
      <w:r w:rsidR="00A64BE0" w:rsidRPr="00F72752">
        <w:rPr>
          <w:rFonts w:ascii="Book Antiqua" w:hAnsi="Book Antiqua"/>
          <w:color w:val="2F5496" w:themeColor="accent1" w:themeShade="BF"/>
        </w:rPr>
        <w:t>,</w:t>
      </w:r>
      <w:r w:rsidR="00A86633" w:rsidRPr="00F72752">
        <w:rPr>
          <w:rFonts w:ascii="Book Antiqua" w:hAnsi="Book Antiqua"/>
          <w:color w:val="2F5496" w:themeColor="accent1" w:themeShade="BF"/>
        </w:rPr>
        <w:t xml:space="preserve"> est de </w:t>
      </w:r>
      <w:r w:rsidR="006A1A4A" w:rsidRPr="00F72752">
        <w:rPr>
          <w:rFonts w:ascii="Book Antiqua" w:hAnsi="Book Antiqua"/>
          <w:color w:val="2F5496" w:themeColor="accent1" w:themeShade="BF"/>
        </w:rPr>
        <w:t>562</w:t>
      </w:r>
      <w:r w:rsidRPr="00F72752">
        <w:rPr>
          <w:rFonts w:ascii="Book Antiqua" w:hAnsi="Book Antiqua"/>
          <w:color w:val="2F5496" w:themeColor="accent1" w:themeShade="BF"/>
        </w:rPr>
        <w:t>.000</w:t>
      </w:r>
      <w:r w:rsidR="00A86633" w:rsidRPr="00F72752">
        <w:rPr>
          <w:rFonts w:ascii="Book Antiqua" w:hAnsi="Book Antiqua"/>
          <w:color w:val="2F5496" w:themeColor="accent1" w:themeShade="BF"/>
        </w:rPr>
        <w:t xml:space="preserve"> personnes (5,4</w:t>
      </w:r>
      <w:r w:rsidRPr="00F72752">
        <w:rPr>
          <w:rFonts w:ascii="Book Antiqua" w:hAnsi="Book Antiqua"/>
          <w:color w:val="2F5496" w:themeColor="accent1" w:themeShade="BF"/>
        </w:rPr>
        <w:t xml:space="preserve">%). </w:t>
      </w:r>
      <w:r w:rsidR="001037D8" w:rsidRPr="00F72752">
        <w:rPr>
          <w:rFonts w:ascii="Book Antiqua" w:hAnsi="Book Antiqua"/>
          <w:color w:val="2F5496" w:themeColor="accent1" w:themeShade="BF"/>
        </w:rPr>
        <w:t>Au total</w:t>
      </w:r>
      <w:r w:rsidRPr="00F72752">
        <w:rPr>
          <w:rFonts w:ascii="Book Antiqua" w:hAnsi="Book Antiqua"/>
          <w:color w:val="2F5496" w:themeColor="accent1" w:themeShade="BF"/>
        </w:rPr>
        <w:t>, le volume du sous-emploi, dans ses</w:t>
      </w:r>
      <w:r w:rsidR="00A86633" w:rsidRPr="00F72752">
        <w:rPr>
          <w:rFonts w:ascii="Book Antiqua" w:hAnsi="Book Antiqua"/>
          <w:color w:val="2F5496" w:themeColor="accent1" w:themeShade="BF"/>
        </w:rPr>
        <w:t xml:space="preserve"> deux composantes, a atteint 1.075</w:t>
      </w:r>
      <w:r w:rsidRPr="00F72752">
        <w:rPr>
          <w:rFonts w:ascii="Book Antiqua" w:hAnsi="Book Antiqua"/>
          <w:color w:val="2F5496" w:themeColor="accent1" w:themeShade="BF"/>
        </w:rPr>
        <w:t>.000 personnes.</w:t>
      </w:r>
      <w:r w:rsidR="00940768" w:rsidRPr="00F72752">
        <w:rPr>
          <w:rFonts w:ascii="Book Antiqua" w:hAnsi="Book Antiqua"/>
          <w:color w:val="2F5496" w:themeColor="accent1" w:themeShade="BF"/>
        </w:rPr>
        <w:t xml:space="preserve"> </w:t>
      </w:r>
      <w:r w:rsidRPr="00F72752">
        <w:rPr>
          <w:rFonts w:ascii="Book Antiqua" w:hAnsi="Book Antiqua"/>
          <w:color w:val="2F5496" w:themeColor="accent1" w:themeShade="BF"/>
        </w:rPr>
        <w:t>Le taux global de sous-emploi est passé de 9</w:t>
      </w:r>
      <w:r w:rsidR="00A86633" w:rsidRPr="00F72752">
        <w:rPr>
          <w:rFonts w:ascii="Book Antiqua" w:hAnsi="Book Antiqua"/>
          <w:color w:val="2F5496" w:themeColor="accent1" w:themeShade="BF"/>
        </w:rPr>
        <w:t>,2</w:t>
      </w:r>
      <w:r w:rsidRPr="00F72752">
        <w:rPr>
          <w:rFonts w:ascii="Book Antiqua" w:hAnsi="Book Antiqua"/>
          <w:color w:val="2F5496" w:themeColor="accent1" w:themeShade="BF"/>
        </w:rPr>
        <w:t>% à 1</w:t>
      </w:r>
      <w:r w:rsidR="00A86633" w:rsidRPr="00F72752">
        <w:rPr>
          <w:rFonts w:ascii="Book Antiqua" w:hAnsi="Book Antiqua"/>
          <w:color w:val="2F5496" w:themeColor="accent1" w:themeShade="BF"/>
        </w:rPr>
        <w:t>0,3%</w:t>
      </w:r>
      <w:r w:rsidR="00940768" w:rsidRPr="00F72752">
        <w:rPr>
          <w:rFonts w:ascii="Book Antiqua" w:hAnsi="Book Antiqua"/>
          <w:color w:val="2F5496" w:themeColor="accent1" w:themeShade="BF"/>
        </w:rPr>
        <w:t xml:space="preserve"> </w:t>
      </w:r>
      <w:r w:rsidR="00A86633" w:rsidRPr="00F72752">
        <w:rPr>
          <w:rFonts w:ascii="Book Antiqua" w:hAnsi="Book Antiqua"/>
          <w:color w:val="2F5496" w:themeColor="accent1" w:themeShade="BF"/>
        </w:rPr>
        <w:t>au niveau national, de 8,3% à 9,1</w:t>
      </w:r>
      <w:r w:rsidRPr="00F72752">
        <w:rPr>
          <w:rFonts w:ascii="Book Antiqua" w:hAnsi="Book Antiqua"/>
          <w:color w:val="2F5496" w:themeColor="accent1" w:themeShade="BF"/>
        </w:rPr>
        <w:t>% e</w:t>
      </w:r>
      <w:r w:rsidR="00A86633" w:rsidRPr="00F72752">
        <w:rPr>
          <w:rFonts w:ascii="Book Antiqua" w:hAnsi="Book Antiqua"/>
          <w:color w:val="2F5496" w:themeColor="accent1" w:themeShade="BF"/>
        </w:rPr>
        <w:t>n milieu</w:t>
      </w:r>
      <w:r w:rsidR="00A86633" w:rsidRPr="00442956">
        <w:rPr>
          <w:rFonts w:ascii="Book Antiqua" w:hAnsi="Book Antiqua"/>
          <w:color w:val="2F5496" w:themeColor="accent1" w:themeShade="BF"/>
        </w:rPr>
        <w:t xml:space="preserve"> urbain et de 10,6% à 12</w:t>
      </w:r>
      <w:r w:rsidRPr="00442956">
        <w:rPr>
          <w:rFonts w:ascii="Book Antiqua" w:hAnsi="Book Antiqua"/>
          <w:color w:val="2F5496" w:themeColor="accent1" w:themeShade="BF"/>
        </w:rPr>
        <w:t>,1% en milieu rural.</w:t>
      </w:r>
    </w:p>
    <w:p w:rsidR="00E94CFB" w:rsidRPr="00442956" w:rsidRDefault="00E94CFB" w:rsidP="0022296C">
      <w:pPr>
        <w:spacing w:line="276" w:lineRule="auto"/>
        <w:rPr>
          <w:rFonts w:ascii="Book Antiqua" w:eastAsiaTheme="majorEastAsia" w:hAnsi="Book Antiqua" w:cstheme="majorHAnsi"/>
          <w:b/>
          <w:bCs/>
          <w:color w:val="C00000"/>
          <w:spacing w:val="-10"/>
          <w:kern w:val="28"/>
        </w:rPr>
      </w:pPr>
    </w:p>
    <w:p w:rsidR="00EB5A99" w:rsidRPr="004264E0" w:rsidRDefault="00EB5A99" w:rsidP="00EB5A99">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lastRenderedPageBreak/>
        <w:t xml:space="preserve">I. </w:t>
      </w:r>
      <w:r w:rsidRPr="004264E0">
        <w:rPr>
          <w:rFonts w:ascii="Book Antiqua" w:hAnsi="Book Antiqua" w:cstheme="majorHAnsi"/>
          <w:b/>
          <w:bCs/>
          <w:color w:val="1F3864" w:themeColor="accent1" w:themeShade="80"/>
          <w:spacing w:val="-10"/>
          <w:kern w:val="28"/>
          <w:sz w:val="24"/>
          <w:szCs w:val="24"/>
        </w:rPr>
        <w:t xml:space="preserve">Activité et </w:t>
      </w:r>
      <w:r>
        <w:rPr>
          <w:rFonts w:ascii="Book Antiqua" w:hAnsi="Book Antiqua" w:cstheme="majorHAnsi"/>
          <w:b/>
          <w:bCs/>
          <w:color w:val="1F3864" w:themeColor="accent1" w:themeShade="80"/>
          <w:spacing w:val="-10"/>
          <w:kern w:val="28"/>
          <w:sz w:val="24"/>
          <w:szCs w:val="24"/>
        </w:rPr>
        <w:t>e</w:t>
      </w:r>
      <w:r w:rsidRPr="004264E0">
        <w:rPr>
          <w:rFonts w:ascii="Book Antiqua" w:hAnsi="Book Antiqua" w:cstheme="majorHAnsi"/>
          <w:b/>
          <w:bCs/>
          <w:color w:val="1F3864" w:themeColor="accent1" w:themeShade="80"/>
          <w:spacing w:val="-10"/>
          <w:kern w:val="28"/>
          <w:sz w:val="24"/>
          <w:szCs w:val="24"/>
        </w:rPr>
        <w:t>mploi</w:t>
      </w:r>
    </w:p>
    <w:p w:rsidR="00EB5A99" w:rsidRPr="00725167" w:rsidRDefault="00EB5A99" w:rsidP="00EB5A99">
      <w:pPr>
        <w:rPr>
          <w:rFonts w:ascii="Book Antiqua" w:eastAsiaTheme="majorEastAsia" w:hAnsi="Book Antiqua" w:cstheme="majorHAnsi"/>
          <w:b/>
          <w:bCs/>
          <w:i/>
          <w:iCs/>
          <w:color w:val="2E74B5" w:themeColor="accent5" w:themeShade="BF"/>
          <w:spacing w:val="-10"/>
          <w:kern w:val="28"/>
          <w:sz w:val="24"/>
          <w:szCs w:val="24"/>
        </w:rPr>
      </w:pPr>
      <w:r w:rsidRPr="00725167">
        <w:rPr>
          <w:rFonts w:ascii="Book Antiqua" w:eastAsiaTheme="majorEastAsia" w:hAnsi="Book Antiqua" w:cstheme="majorHAnsi"/>
          <w:b/>
          <w:bCs/>
          <w:i/>
          <w:iCs/>
          <w:color w:val="2E74B5" w:themeColor="accent5" w:themeShade="BF"/>
          <w:spacing w:val="-10"/>
          <w:kern w:val="28"/>
          <w:sz w:val="24"/>
          <w:szCs w:val="24"/>
        </w:rPr>
        <w:t>Repli des taux d'activité et d'emploi</w:t>
      </w:r>
    </w:p>
    <w:p w:rsidR="00EB5A99" w:rsidRPr="00745A50" w:rsidRDefault="00EB5A99" w:rsidP="00EB5A99">
      <w:pPr>
        <w:spacing w:before="100" w:beforeAutospacing="1" w:after="100" w:afterAutospacing="1" w:line="276" w:lineRule="auto"/>
        <w:jc w:val="both"/>
        <w:rPr>
          <w:rFonts w:ascii="Book Antiqua" w:hAnsi="Book Antiqua" w:cs="Times New Roman"/>
          <w:sz w:val="24"/>
          <w:szCs w:val="24"/>
        </w:rPr>
      </w:pPr>
      <w:r w:rsidRPr="00745A50">
        <w:rPr>
          <w:rFonts w:ascii="Book Antiqua" w:hAnsi="Book Antiqua" w:cs="Times New Roman"/>
          <w:sz w:val="24"/>
          <w:szCs w:val="24"/>
        </w:rPr>
        <w:t xml:space="preserve">Au </w:t>
      </w:r>
      <w:r>
        <w:rPr>
          <w:rFonts w:ascii="Book Antiqua" w:hAnsi="Book Antiqua" w:cs="Times New Roman"/>
          <w:sz w:val="24"/>
          <w:szCs w:val="24"/>
        </w:rPr>
        <w:t>premier</w:t>
      </w:r>
      <w:r w:rsidRPr="00745A50">
        <w:rPr>
          <w:rFonts w:ascii="Book Antiqua" w:hAnsi="Book Antiqua" w:cs="Times New Roman"/>
          <w:sz w:val="24"/>
          <w:szCs w:val="24"/>
        </w:rPr>
        <w:t xml:space="preserve"> trimestre de 202</w:t>
      </w:r>
      <w:r>
        <w:rPr>
          <w:rFonts w:ascii="Book Antiqua" w:hAnsi="Book Antiqua" w:cs="Times New Roman"/>
          <w:sz w:val="24"/>
          <w:szCs w:val="24"/>
        </w:rPr>
        <w:t>3</w:t>
      </w:r>
      <w:r w:rsidRPr="00745A50">
        <w:rPr>
          <w:rFonts w:ascii="Book Antiqua" w:hAnsi="Book Antiqua" w:cs="Times New Roman"/>
          <w:sz w:val="24"/>
          <w:szCs w:val="24"/>
        </w:rPr>
        <w:t>, la situation du marché d</w:t>
      </w:r>
      <w:r>
        <w:rPr>
          <w:rFonts w:ascii="Book Antiqua" w:hAnsi="Book Antiqua" w:cs="Times New Roman"/>
          <w:sz w:val="24"/>
          <w:szCs w:val="24"/>
        </w:rPr>
        <w:t>u</w:t>
      </w:r>
      <w:r w:rsidRPr="00745A50">
        <w:rPr>
          <w:rFonts w:ascii="Book Antiqua" w:hAnsi="Book Antiqua" w:cs="Times New Roman"/>
          <w:sz w:val="24"/>
          <w:szCs w:val="24"/>
        </w:rPr>
        <w:t xml:space="preserve"> travail a été marquée par la baisse des taux d’activité et d’emploi. La population en âge d’activité (15 ans ou plus) s’est accrue</w:t>
      </w:r>
      <w:r>
        <w:rPr>
          <w:rFonts w:ascii="Book Antiqua" w:hAnsi="Book Antiqua" w:cs="Times New Roman"/>
          <w:sz w:val="24"/>
          <w:szCs w:val="24"/>
        </w:rPr>
        <w:t xml:space="preserve"> de </w:t>
      </w:r>
      <w:r w:rsidRPr="00F364C3">
        <w:rPr>
          <w:rFonts w:ascii="Book Antiqua" w:hAnsi="Book Antiqua" w:cs="Times New Roman"/>
          <w:sz w:val="24"/>
          <w:szCs w:val="24"/>
        </w:rPr>
        <w:t>1,</w:t>
      </w:r>
      <w:r>
        <w:rPr>
          <w:rFonts w:ascii="Book Antiqua" w:hAnsi="Book Antiqua" w:cs="Times New Roman"/>
          <w:sz w:val="24"/>
          <w:szCs w:val="24"/>
        </w:rPr>
        <w:t>4</w:t>
      </w:r>
      <w:r w:rsidRPr="00F364C3">
        <w:rPr>
          <w:rFonts w:ascii="Book Antiqua" w:hAnsi="Book Antiqua" w:cs="Times New Roman"/>
          <w:sz w:val="24"/>
          <w:szCs w:val="24"/>
        </w:rPr>
        <w:t>%,</w:t>
      </w:r>
      <w:r w:rsidRPr="00745A50">
        <w:rPr>
          <w:rFonts w:ascii="Book Antiqua" w:hAnsi="Book Antiqua" w:cs="Times New Roman"/>
          <w:sz w:val="24"/>
          <w:szCs w:val="24"/>
        </w:rPr>
        <w:t xml:space="preserve"> par rapport au </w:t>
      </w:r>
      <w:r>
        <w:rPr>
          <w:rFonts w:ascii="Book Antiqua" w:hAnsi="Book Antiqua" w:cs="Times New Roman"/>
          <w:sz w:val="24"/>
          <w:szCs w:val="24"/>
        </w:rPr>
        <w:t>premier</w:t>
      </w:r>
      <w:r w:rsidRPr="00745A50">
        <w:rPr>
          <w:rFonts w:ascii="Book Antiqua" w:hAnsi="Book Antiqua" w:cs="Times New Roman"/>
          <w:sz w:val="24"/>
          <w:szCs w:val="24"/>
        </w:rPr>
        <w:t xml:space="preserve"> trimestre de </w:t>
      </w:r>
      <w:r>
        <w:rPr>
          <w:rFonts w:ascii="Book Antiqua" w:hAnsi="Book Antiqua" w:cs="Times New Roman"/>
          <w:sz w:val="24"/>
          <w:szCs w:val="24"/>
        </w:rPr>
        <w:t xml:space="preserve">2022, </w:t>
      </w:r>
      <w:r w:rsidRPr="00745A50">
        <w:rPr>
          <w:rFonts w:ascii="Book Antiqua" w:hAnsi="Book Antiqua" w:cs="Times New Roman"/>
          <w:sz w:val="24"/>
          <w:szCs w:val="24"/>
        </w:rPr>
        <w:t xml:space="preserve">contre une régression de la population active </w:t>
      </w:r>
      <w:r>
        <w:rPr>
          <w:rFonts w:ascii="Book Antiqua" w:hAnsi="Book Antiqua" w:cs="Times New Roman"/>
          <w:sz w:val="24"/>
          <w:szCs w:val="24"/>
        </w:rPr>
        <w:t>de 1,6</w:t>
      </w:r>
      <w:r w:rsidRPr="00745A50">
        <w:rPr>
          <w:rFonts w:ascii="Book Antiqua" w:hAnsi="Book Antiqua" w:cs="Times New Roman"/>
          <w:sz w:val="24"/>
          <w:szCs w:val="24"/>
        </w:rPr>
        <w:t>%. Le taux d’activité a ainsi reculé de 4</w:t>
      </w:r>
      <w:r>
        <w:rPr>
          <w:rFonts w:ascii="Book Antiqua" w:hAnsi="Book Antiqua" w:cs="Times New Roman"/>
          <w:sz w:val="24"/>
          <w:szCs w:val="24"/>
        </w:rPr>
        <w:t>4</w:t>
      </w:r>
      <w:r w:rsidRPr="00745A50">
        <w:rPr>
          <w:rFonts w:ascii="Book Antiqua" w:hAnsi="Book Antiqua" w:cs="Times New Roman"/>
          <w:sz w:val="24"/>
          <w:szCs w:val="24"/>
        </w:rPr>
        <w:t>,</w:t>
      </w:r>
      <w:r>
        <w:rPr>
          <w:rFonts w:ascii="Book Antiqua" w:hAnsi="Book Antiqua" w:cs="Times New Roman"/>
          <w:sz w:val="24"/>
          <w:szCs w:val="24"/>
        </w:rPr>
        <w:t>5</w:t>
      </w:r>
      <w:r w:rsidRPr="00745A50">
        <w:rPr>
          <w:rFonts w:ascii="Book Antiqua" w:hAnsi="Book Antiqua" w:cs="Times New Roman"/>
          <w:sz w:val="24"/>
          <w:szCs w:val="24"/>
        </w:rPr>
        <w:t>% à 4</w:t>
      </w:r>
      <w:r>
        <w:rPr>
          <w:rFonts w:ascii="Book Antiqua" w:hAnsi="Book Antiqua" w:cs="Times New Roman"/>
          <w:sz w:val="24"/>
          <w:szCs w:val="24"/>
        </w:rPr>
        <w:t>3</w:t>
      </w:r>
      <w:r w:rsidRPr="00745A50">
        <w:rPr>
          <w:rFonts w:ascii="Book Antiqua" w:hAnsi="Book Antiqua" w:cs="Times New Roman"/>
          <w:sz w:val="24"/>
          <w:szCs w:val="24"/>
        </w:rPr>
        <w:t>,</w:t>
      </w:r>
      <w:r>
        <w:rPr>
          <w:rFonts w:ascii="Book Antiqua" w:hAnsi="Book Antiqua" w:cs="Times New Roman"/>
          <w:sz w:val="24"/>
          <w:szCs w:val="24"/>
        </w:rPr>
        <w:t>1</w:t>
      </w:r>
      <w:r w:rsidRPr="00745A50">
        <w:rPr>
          <w:rFonts w:ascii="Book Antiqua" w:hAnsi="Book Antiqua" w:cs="Times New Roman"/>
          <w:sz w:val="24"/>
          <w:szCs w:val="24"/>
        </w:rPr>
        <w:t>% entre les deux périodes</w:t>
      </w:r>
      <w:r>
        <w:rPr>
          <w:rFonts w:ascii="Book Antiqua" w:hAnsi="Book Antiqua" w:cs="Times New Roman"/>
          <w:sz w:val="24"/>
          <w:szCs w:val="24"/>
        </w:rPr>
        <w:t>, de</w:t>
      </w:r>
      <w:r w:rsidRPr="00745A50">
        <w:rPr>
          <w:rFonts w:ascii="Book Antiqua" w:hAnsi="Book Antiqua" w:cs="Times New Roman"/>
          <w:sz w:val="24"/>
          <w:szCs w:val="24"/>
        </w:rPr>
        <w:t xml:space="preserve"> 41,</w:t>
      </w:r>
      <w:r>
        <w:rPr>
          <w:rFonts w:ascii="Book Antiqua" w:hAnsi="Book Antiqua" w:cs="Times New Roman"/>
          <w:sz w:val="24"/>
          <w:szCs w:val="24"/>
        </w:rPr>
        <w:t>9</w:t>
      </w:r>
      <w:r w:rsidRPr="00745A50">
        <w:rPr>
          <w:rFonts w:ascii="Book Antiqua" w:hAnsi="Book Antiqua" w:cs="Times New Roman"/>
          <w:sz w:val="24"/>
          <w:szCs w:val="24"/>
        </w:rPr>
        <w:t>% à 4</w:t>
      </w:r>
      <w:r>
        <w:rPr>
          <w:rFonts w:ascii="Book Antiqua" w:hAnsi="Book Antiqua" w:cs="Times New Roman"/>
          <w:sz w:val="24"/>
          <w:szCs w:val="24"/>
        </w:rPr>
        <w:t>1</w:t>
      </w:r>
      <w:r w:rsidRPr="00745A50">
        <w:rPr>
          <w:rFonts w:ascii="Book Antiqua" w:hAnsi="Book Antiqua" w:cs="Times New Roman"/>
          <w:sz w:val="24"/>
          <w:szCs w:val="24"/>
        </w:rPr>
        <w:t xml:space="preserve">,2% en milieu urbain et de </w:t>
      </w:r>
      <w:r>
        <w:rPr>
          <w:rFonts w:ascii="Book Antiqua" w:hAnsi="Book Antiqua" w:cs="Times New Roman"/>
          <w:sz w:val="24"/>
          <w:szCs w:val="24"/>
        </w:rPr>
        <w:t>49</w:t>
      </w:r>
      <w:r w:rsidRPr="00745A50">
        <w:rPr>
          <w:rFonts w:ascii="Book Antiqua" w:hAnsi="Book Antiqua" w:cs="Times New Roman"/>
          <w:sz w:val="24"/>
          <w:szCs w:val="24"/>
        </w:rPr>
        <w:t>,</w:t>
      </w:r>
      <w:r>
        <w:rPr>
          <w:rFonts w:ascii="Book Antiqua" w:hAnsi="Book Antiqua" w:cs="Times New Roman"/>
          <w:sz w:val="24"/>
          <w:szCs w:val="24"/>
        </w:rPr>
        <w:t>3% à 47% en milieu rural.</w:t>
      </w:r>
    </w:p>
    <w:p w:rsidR="00EB5A99" w:rsidRPr="00745A50" w:rsidRDefault="00EB5A99" w:rsidP="00EB5A99">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Le </w:t>
      </w:r>
      <w:r w:rsidRPr="00745A50">
        <w:rPr>
          <w:rFonts w:ascii="Book Antiqua" w:hAnsi="Book Antiqua" w:cs="Times New Roman"/>
          <w:sz w:val="24"/>
          <w:szCs w:val="24"/>
        </w:rPr>
        <w:t>taux d’emploi</w:t>
      </w:r>
      <w:r w:rsidR="00940768">
        <w:rPr>
          <w:rFonts w:ascii="Book Antiqua" w:hAnsi="Book Antiqua" w:cs="Times New Roman"/>
          <w:sz w:val="24"/>
          <w:szCs w:val="24"/>
        </w:rPr>
        <w:t xml:space="preserve"> </w:t>
      </w:r>
      <w:r w:rsidRPr="00745A50">
        <w:rPr>
          <w:rFonts w:ascii="Book Antiqua" w:hAnsi="Book Antiqua" w:cs="Times New Roman"/>
          <w:sz w:val="24"/>
          <w:szCs w:val="24"/>
        </w:rPr>
        <w:t>a</w:t>
      </w:r>
      <w:r w:rsidR="00940768">
        <w:rPr>
          <w:rFonts w:ascii="Book Antiqua" w:hAnsi="Book Antiqua" w:cs="Times New Roman"/>
          <w:sz w:val="24"/>
          <w:szCs w:val="24"/>
        </w:rPr>
        <w:t xml:space="preserve"> </w:t>
      </w:r>
      <w:r w:rsidRPr="00745A50">
        <w:rPr>
          <w:rFonts w:ascii="Book Antiqua" w:hAnsi="Book Antiqua" w:cs="Times New Roman"/>
          <w:sz w:val="24"/>
          <w:szCs w:val="24"/>
        </w:rPr>
        <w:t>connu</w:t>
      </w:r>
      <w:r>
        <w:rPr>
          <w:rFonts w:ascii="Book Antiqua" w:hAnsi="Book Antiqua" w:cs="Times New Roman"/>
          <w:sz w:val="24"/>
          <w:szCs w:val="24"/>
        </w:rPr>
        <w:t>, de son côté,</w:t>
      </w:r>
      <w:r w:rsidRPr="00745A50">
        <w:rPr>
          <w:rFonts w:ascii="Book Antiqua" w:hAnsi="Book Antiqua" w:cs="Times New Roman"/>
          <w:sz w:val="24"/>
          <w:szCs w:val="24"/>
        </w:rPr>
        <w:t xml:space="preserve"> une baisse</w:t>
      </w:r>
      <w:r w:rsidR="004805D0">
        <w:rPr>
          <w:rFonts w:ascii="Book Antiqua" w:hAnsi="Book Antiqua" w:cs="Times New Roman"/>
          <w:sz w:val="24"/>
          <w:szCs w:val="24"/>
        </w:rPr>
        <w:t xml:space="preserve"> </w:t>
      </w:r>
      <w:r w:rsidRPr="00745A50">
        <w:rPr>
          <w:rFonts w:ascii="Book Antiqua" w:hAnsi="Book Antiqua" w:cs="Times New Roman"/>
          <w:sz w:val="24"/>
          <w:szCs w:val="24"/>
        </w:rPr>
        <w:t xml:space="preserve">de </w:t>
      </w:r>
      <w:r>
        <w:rPr>
          <w:rFonts w:ascii="Book Antiqua" w:hAnsi="Book Antiqua" w:cs="Times New Roman"/>
          <w:sz w:val="24"/>
          <w:szCs w:val="24"/>
        </w:rPr>
        <w:t>39</w:t>
      </w:r>
      <w:r w:rsidRPr="00745A50">
        <w:rPr>
          <w:rFonts w:ascii="Book Antiqua" w:hAnsi="Book Antiqua" w:cs="Times New Roman"/>
          <w:sz w:val="24"/>
          <w:szCs w:val="24"/>
        </w:rPr>
        <w:t>,1% à 3</w:t>
      </w:r>
      <w:r>
        <w:rPr>
          <w:rFonts w:ascii="Book Antiqua" w:hAnsi="Book Antiqua" w:cs="Times New Roman"/>
          <w:sz w:val="24"/>
          <w:szCs w:val="24"/>
        </w:rPr>
        <w:t>7</w:t>
      </w:r>
      <w:r w:rsidRPr="00745A50">
        <w:rPr>
          <w:rFonts w:ascii="Book Antiqua" w:hAnsi="Book Antiqua" w:cs="Times New Roman"/>
          <w:sz w:val="24"/>
          <w:szCs w:val="24"/>
        </w:rPr>
        <w:t>,</w:t>
      </w:r>
      <w:r>
        <w:rPr>
          <w:rFonts w:ascii="Book Antiqua" w:hAnsi="Book Antiqua" w:cs="Times New Roman"/>
          <w:sz w:val="24"/>
          <w:szCs w:val="24"/>
        </w:rPr>
        <w:t>6</w:t>
      </w:r>
      <w:r w:rsidRPr="00745A50">
        <w:rPr>
          <w:rFonts w:ascii="Book Antiqua" w:hAnsi="Book Antiqua" w:cs="Times New Roman"/>
          <w:sz w:val="24"/>
          <w:szCs w:val="24"/>
        </w:rPr>
        <w:t>%, au niveau national (-</w:t>
      </w:r>
      <w:r>
        <w:rPr>
          <w:rFonts w:ascii="Book Antiqua" w:hAnsi="Book Antiqua" w:cs="Times New Roman"/>
          <w:sz w:val="24"/>
          <w:szCs w:val="24"/>
        </w:rPr>
        <w:t>1</w:t>
      </w:r>
      <w:r w:rsidRPr="00745A50">
        <w:rPr>
          <w:rFonts w:ascii="Book Antiqua" w:hAnsi="Book Antiqua" w:cs="Times New Roman"/>
          <w:sz w:val="24"/>
          <w:szCs w:val="24"/>
        </w:rPr>
        <w:t>,</w:t>
      </w:r>
      <w:r>
        <w:rPr>
          <w:rFonts w:ascii="Book Antiqua" w:hAnsi="Book Antiqua" w:cs="Times New Roman"/>
          <w:sz w:val="24"/>
          <w:szCs w:val="24"/>
        </w:rPr>
        <w:t>5 point</w:t>
      </w:r>
      <w:r w:rsidRPr="00745A50">
        <w:rPr>
          <w:rFonts w:ascii="Book Antiqua" w:hAnsi="Book Antiqua" w:cs="Times New Roman"/>
          <w:sz w:val="24"/>
          <w:szCs w:val="24"/>
        </w:rPr>
        <w:t>). Il a recul</w:t>
      </w:r>
      <w:r>
        <w:rPr>
          <w:rFonts w:ascii="Book Antiqua" w:hAnsi="Book Antiqua" w:cs="Times New Roman"/>
          <w:sz w:val="24"/>
          <w:szCs w:val="24"/>
        </w:rPr>
        <w:t xml:space="preserve">é de 46,8% à 44,3% en milieu rural, </w:t>
      </w:r>
      <w:r w:rsidRPr="00745A50">
        <w:rPr>
          <w:rFonts w:ascii="Book Antiqua" w:hAnsi="Book Antiqua" w:cs="Times New Roman"/>
          <w:sz w:val="24"/>
          <w:szCs w:val="24"/>
        </w:rPr>
        <w:t>de 3</w:t>
      </w:r>
      <w:r>
        <w:rPr>
          <w:rFonts w:ascii="Book Antiqua" w:hAnsi="Book Antiqua" w:cs="Times New Roman"/>
          <w:sz w:val="24"/>
          <w:szCs w:val="24"/>
        </w:rPr>
        <w:t>5</w:t>
      </w:r>
      <w:r w:rsidRPr="00745A50">
        <w:rPr>
          <w:rFonts w:ascii="Book Antiqua" w:hAnsi="Book Antiqua" w:cs="Times New Roman"/>
          <w:sz w:val="24"/>
          <w:szCs w:val="24"/>
        </w:rPr>
        <w:t>,</w:t>
      </w:r>
      <w:r>
        <w:rPr>
          <w:rFonts w:ascii="Book Antiqua" w:hAnsi="Book Antiqua" w:cs="Times New Roman"/>
          <w:sz w:val="24"/>
          <w:szCs w:val="24"/>
        </w:rPr>
        <w:t>1</w:t>
      </w:r>
      <w:r w:rsidRPr="00745A50">
        <w:rPr>
          <w:rFonts w:ascii="Book Antiqua" w:hAnsi="Book Antiqua" w:cs="Times New Roman"/>
          <w:sz w:val="24"/>
          <w:szCs w:val="24"/>
        </w:rPr>
        <w:t>% à 3</w:t>
      </w:r>
      <w:r>
        <w:rPr>
          <w:rFonts w:ascii="Book Antiqua" w:hAnsi="Book Antiqua" w:cs="Times New Roman"/>
          <w:sz w:val="24"/>
          <w:szCs w:val="24"/>
        </w:rPr>
        <w:t>4</w:t>
      </w:r>
      <w:r w:rsidRPr="00745A50">
        <w:rPr>
          <w:rFonts w:ascii="Book Antiqua" w:hAnsi="Book Antiqua" w:cs="Times New Roman"/>
          <w:sz w:val="24"/>
          <w:szCs w:val="24"/>
        </w:rPr>
        <w:t>,</w:t>
      </w:r>
      <w:r>
        <w:rPr>
          <w:rFonts w:ascii="Book Antiqua" w:hAnsi="Book Antiqua" w:cs="Times New Roman"/>
          <w:sz w:val="24"/>
          <w:szCs w:val="24"/>
        </w:rPr>
        <w:t>1</w:t>
      </w:r>
      <w:r w:rsidRPr="00745A50">
        <w:rPr>
          <w:rFonts w:ascii="Book Antiqua" w:hAnsi="Book Antiqua" w:cs="Times New Roman"/>
          <w:sz w:val="24"/>
          <w:szCs w:val="24"/>
        </w:rPr>
        <w:t>% en</w:t>
      </w:r>
      <w:r w:rsidR="004805D0">
        <w:rPr>
          <w:rFonts w:ascii="Book Antiqua" w:hAnsi="Book Antiqua" w:cs="Times New Roman"/>
          <w:sz w:val="24"/>
          <w:szCs w:val="24"/>
        </w:rPr>
        <w:t xml:space="preserve"> </w:t>
      </w:r>
      <w:r w:rsidRPr="00745A50">
        <w:rPr>
          <w:rFonts w:ascii="Book Antiqua" w:hAnsi="Book Antiqua" w:cs="Times New Roman"/>
          <w:sz w:val="24"/>
          <w:szCs w:val="24"/>
        </w:rPr>
        <w:t>milieu urbain</w:t>
      </w:r>
      <w:r>
        <w:rPr>
          <w:rFonts w:ascii="Book Antiqua" w:hAnsi="Book Antiqua" w:cs="Times New Roman"/>
          <w:sz w:val="24"/>
          <w:szCs w:val="24"/>
        </w:rPr>
        <w:t xml:space="preserve">, </w:t>
      </w:r>
      <w:r w:rsidRPr="00745A50">
        <w:rPr>
          <w:rFonts w:ascii="Book Antiqua" w:hAnsi="Book Antiqua" w:cs="Times New Roman"/>
          <w:sz w:val="24"/>
          <w:szCs w:val="24"/>
        </w:rPr>
        <w:t>de 6</w:t>
      </w:r>
      <w:r>
        <w:rPr>
          <w:rFonts w:ascii="Book Antiqua" w:hAnsi="Book Antiqua" w:cs="Times New Roman"/>
          <w:sz w:val="24"/>
          <w:szCs w:val="24"/>
        </w:rPr>
        <w:t>2</w:t>
      </w:r>
      <w:r w:rsidRPr="00745A50">
        <w:rPr>
          <w:rFonts w:ascii="Book Antiqua" w:hAnsi="Book Antiqua" w:cs="Times New Roman"/>
          <w:sz w:val="24"/>
          <w:szCs w:val="24"/>
        </w:rPr>
        <w:t>,</w:t>
      </w:r>
      <w:r>
        <w:rPr>
          <w:rFonts w:ascii="Book Antiqua" w:hAnsi="Book Antiqua" w:cs="Times New Roman"/>
          <w:sz w:val="24"/>
          <w:szCs w:val="24"/>
        </w:rPr>
        <w:t>3</w:t>
      </w:r>
      <w:r w:rsidRPr="00745A50">
        <w:rPr>
          <w:rFonts w:ascii="Book Antiqua" w:hAnsi="Book Antiqua" w:cs="Times New Roman"/>
          <w:sz w:val="24"/>
          <w:szCs w:val="24"/>
        </w:rPr>
        <w:t>% à 6</w:t>
      </w:r>
      <w:r>
        <w:rPr>
          <w:rFonts w:ascii="Book Antiqua" w:hAnsi="Book Antiqua" w:cs="Times New Roman"/>
          <w:sz w:val="24"/>
          <w:szCs w:val="24"/>
        </w:rPr>
        <w:t>0</w:t>
      </w:r>
      <w:r w:rsidRPr="00745A50">
        <w:rPr>
          <w:rFonts w:ascii="Book Antiqua" w:hAnsi="Book Antiqua" w:cs="Times New Roman"/>
          <w:sz w:val="24"/>
          <w:szCs w:val="24"/>
        </w:rPr>
        <w:t>,</w:t>
      </w:r>
      <w:r>
        <w:rPr>
          <w:rFonts w:ascii="Book Antiqua" w:hAnsi="Book Antiqua" w:cs="Times New Roman"/>
          <w:sz w:val="24"/>
          <w:szCs w:val="24"/>
        </w:rPr>
        <w:t>3</w:t>
      </w:r>
      <w:r w:rsidRPr="00745A50">
        <w:rPr>
          <w:rFonts w:ascii="Book Antiqua" w:hAnsi="Book Antiqua" w:cs="Times New Roman"/>
          <w:sz w:val="24"/>
          <w:szCs w:val="24"/>
        </w:rPr>
        <w:t>%parmi les hommes</w:t>
      </w:r>
      <w:r>
        <w:rPr>
          <w:rFonts w:ascii="Book Antiqua" w:hAnsi="Book Antiqua" w:cs="Times New Roman"/>
          <w:sz w:val="24"/>
          <w:szCs w:val="24"/>
        </w:rPr>
        <w:t xml:space="preserve"> (-2 </w:t>
      </w:r>
      <w:r w:rsidRPr="00745A50">
        <w:rPr>
          <w:rFonts w:ascii="Book Antiqua" w:hAnsi="Book Antiqua" w:cs="Times New Roman"/>
          <w:sz w:val="24"/>
          <w:szCs w:val="24"/>
        </w:rPr>
        <w:t>points</w:t>
      </w:r>
      <w:r>
        <w:rPr>
          <w:rFonts w:ascii="Book Antiqua" w:hAnsi="Book Antiqua" w:cs="Times New Roman"/>
          <w:sz w:val="24"/>
          <w:szCs w:val="24"/>
        </w:rPr>
        <w:t xml:space="preserve">) et </w:t>
      </w:r>
      <w:r w:rsidRPr="00745A50">
        <w:rPr>
          <w:rFonts w:ascii="Book Antiqua" w:hAnsi="Book Antiqua" w:cs="Times New Roman"/>
          <w:sz w:val="24"/>
          <w:szCs w:val="24"/>
        </w:rPr>
        <w:t>de 1</w:t>
      </w:r>
      <w:r>
        <w:rPr>
          <w:rFonts w:ascii="Book Antiqua" w:hAnsi="Book Antiqua" w:cs="Times New Roman"/>
          <w:sz w:val="24"/>
          <w:szCs w:val="24"/>
        </w:rPr>
        <w:t>6</w:t>
      </w:r>
      <w:r w:rsidRPr="00745A50">
        <w:rPr>
          <w:rFonts w:ascii="Book Antiqua" w:hAnsi="Book Antiqua" w:cs="Times New Roman"/>
          <w:sz w:val="24"/>
          <w:szCs w:val="24"/>
        </w:rPr>
        <w:t>,</w:t>
      </w:r>
      <w:r>
        <w:rPr>
          <w:rFonts w:ascii="Book Antiqua" w:hAnsi="Book Antiqua" w:cs="Times New Roman"/>
          <w:sz w:val="24"/>
          <w:szCs w:val="24"/>
        </w:rPr>
        <w:t>6</w:t>
      </w:r>
      <w:r w:rsidRPr="00745A50">
        <w:rPr>
          <w:rFonts w:ascii="Book Antiqua" w:hAnsi="Book Antiqua" w:cs="Times New Roman"/>
          <w:sz w:val="24"/>
          <w:szCs w:val="24"/>
        </w:rPr>
        <w:t>%</w:t>
      </w:r>
      <w:r w:rsidR="00916A10">
        <w:rPr>
          <w:rFonts w:ascii="Book Antiqua" w:hAnsi="Book Antiqua" w:cs="Times New Roman"/>
          <w:sz w:val="24"/>
          <w:szCs w:val="24"/>
        </w:rPr>
        <w:t xml:space="preserve"> </w:t>
      </w:r>
      <w:r w:rsidRPr="00745A50">
        <w:rPr>
          <w:rFonts w:ascii="Book Antiqua" w:hAnsi="Book Antiqua" w:cs="Times New Roman"/>
          <w:sz w:val="24"/>
          <w:szCs w:val="24"/>
        </w:rPr>
        <w:t>à</w:t>
      </w:r>
      <w:r w:rsidR="00916A10">
        <w:rPr>
          <w:rFonts w:ascii="Book Antiqua" w:hAnsi="Book Antiqua" w:cs="Times New Roman"/>
          <w:sz w:val="24"/>
          <w:szCs w:val="24"/>
        </w:rPr>
        <w:t xml:space="preserve"> </w:t>
      </w:r>
      <w:r w:rsidRPr="00745A50">
        <w:rPr>
          <w:rFonts w:ascii="Book Antiqua" w:hAnsi="Book Antiqua" w:cs="Times New Roman"/>
          <w:sz w:val="24"/>
          <w:szCs w:val="24"/>
        </w:rPr>
        <w:t>1</w:t>
      </w:r>
      <w:r>
        <w:rPr>
          <w:rFonts w:ascii="Book Antiqua" w:hAnsi="Book Antiqua" w:cs="Times New Roman"/>
          <w:sz w:val="24"/>
          <w:szCs w:val="24"/>
        </w:rPr>
        <w:t>5</w:t>
      </w:r>
      <w:r w:rsidRPr="00745A50">
        <w:rPr>
          <w:rFonts w:ascii="Book Antiqua" w:hAnsi="Book Antiqua" w:cs="Times New Roman"/>
          <w:sz w:val="24"/>
          <w:szCs w:val="24"/>
        </w:rPr>
        <w:t>,5%</w:t>
      </w:r>
      <w:r w:rsidR="00916A10">
        <w:rPr>
          <w:rFonts w:ascii="Book Antiqua" w:hAnsi="Book Antiqua" w:cs="Times New Roman"/>
          <w:sz w:val="24"/>
          <w:szCs w:val="24"/>
        </w:rPr>
        <w:t xml:space="preserve"> </w:t>
      </w:r>
      <w:r w:rsidRPr="00745A50">
        <w:rPr>
          <w:rFonts w:ascii="Book Antiqua" w:hAnsi="Book Antiqua" w:cs="Times New Roman"/>
          <w:sz w:val="24"/>
          <w:szCs w:val="24"/>
        </w:rPr>
        <w:t>parmi les femmes</w:t>
      </w:r>
      <w:r>
        <w:rPr>
          <w:rFonts w:ascii="Book Antiqua" w:hAnsi="Book Antiqua" w:cs="Times New Roman"/>
          <w:sz w:val="24"/>
          <w:szCs w:val="24"/>
        </w:rPr>
        <w:t xml:space="preserve"> (-1,1 point).</w:t>
      </w:r>
    </w:p>
    <w:p w:rsidR="00EB5A99" w:rsidRPr="00725167" w:rsidRDefault="00EB5A99" w:rsidP="00EB5A99">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sidRPr="00725167">
        <w:rPr>
          <w:rFonts w:ascii="Book Antiqua" w:eastAsiaTheme="majorEastAsia" w:hAnsi="Book Antiqua" w:cstheme="majorHAnsi"/>
          <w:b/>
          <w:bCs/>
          <w:i/>
          <w:iCs/>
          <w:color w:val="2E74B5" w:themeColor="accent5" w:themeShade="BF"/>
          <w:spacing w:val="-10"/>
          <w:kern w:val="28"/>
          <w:sz w:val="24"/>
          <w:szCs w:val="24"/>
        </w:rPr>
        <w:t>Une forte baisse de l’emploi, principalement en milieu rural</w:t>
      </w:r>
    </w:p>
    <w:p w:rsidR="00EB5A99" w:rsidRPr="002B17F8" w:rsidRDefault="00EB5A99" w:rsidP="00314F7F">
      <w:pPr>
        <w:autoSpaceDE w:val="0"/>
        <w:autoSpaceDN w:val="0"/>
        <w:adjustRightInd w:val="0"/>
        <w:spacing w:before="120" w:after="120" w:line="276" w:lineRule="auto"/>
        <w:jc w:val="both"/>
        <w:rPr>
          <w:rFonts w:ascii="Book Antiqua" w:eastAsia="Book Antiqua" w:hAnsi="Book Antiqua" w:cs="Book Antiqua"/>
          <w:b/>
          <w:sz w:val="20"/>
          <w:szCs w:val="20"/>
        </w:rPr>
      </w:pPr>
      <w:r>
        <w:rPr>
          <w:rFonts w:ascii="Book Antiqua" w:hAnsi="Book Antiqua" w:cs="Times New Roman"/>
          <w:sz w:val="24"/>
          <w:szCs w:val="24"/>
        </w:rPr>
        <w:t>L</w:t>
      </w:r>
      <w:r w:rsidRPr="00745A50">
        <w:rPr>
          <w:rFonts w:ascii="Book Antiqua" w:hAnsi="Book Antiqua" w:cs="Times New Roman"/>
          <w:sz w:val="24"/>
          <w:szCs w:val="24"/>
        </w:rPr>
        <w:t xml:space="preserve">e volume de l’emploi a baissé </w:t>
      </w:r>
      <w:r w:rsidRPr="00940768">
        <w:rPr>
          <w:rFonts w:ascii="Book Antiqua" w:hAnsi="Book Antiqua" w:cs="Times New Roman"/>
          <w:sz w:val="24"/>
          <w:szCs w:val="24"/>
        </w:rPr>
        <w:t>de 280.000 postes, résultant d’une perte de 22</w:t>
      </w:r>
      <w:r w:rsidR="00314F7F" w:rsidRPr="00940768">
        <w:rPr>
          <w:rFonts w:ascii="Book Antiqua" w:hAnsi="Book Antiqua" w:cs="Times New Roman"/>
          <w:sz w:val="24"/>
          <w:szCs w:val="24"/>
        </w:rPr>
        <w:t>9</w:t>
      </w:r>
      <w:r w:rsidRPr="00940768">
        <w:rPr>
          <w:rFonts w:ascii="Book Antiqua" w:hAnsi="Book Antiqua" w:cs="Times New Roman"/>
          <w:sz w:val="24"/>
          <w:szCs w:val="24"/>
        </w:rPr>
        <w:t>.000 en milieu rural et de 5</w:t>
      </w:r>
      <w:r w:rsidR="00314F7F" w:rsidRPr="00940768">
        <w:rPr>
          <w:rFonts w:ascii="Book Antiqua" w:hAnsi="Book Antiqua" w:cs="Times New Roman"/>
          <w:sz w:val="24"/>
          <w:szCs w:val="24"/>
        </w:rPr>
        <w:t>1</w:t>
      </w:r>
      <w:r w:rsidRPr="00940768">
        <w:rPr>
          <w:rFonts w:ascii="Book Antiqua" w:hAnsi="Book Antiqua" w:cs="Times New Roman"/>
          <w:sz w:val="24"/>
          <w:szCs w:val="24"/>
        </w:rPr>
        <w:t>.000 en milieu</w:t>
      </w:r>
      <w:r w:rsidR="004805D0">
        <w:rPr>
          <w:rFonts w:ascii="Book Antiqua" w:hAnsi="Book Antiqua" w:cs="Times New Roman"/>
          <w:sz w:val="24"/>
          <w:szCs w:val="24"/>
        </w:rPr>
        <w:t xml:space="preserve"> </w:t>
      </w:r>
      <w:r w:rsidRPr="00940768">
        <w:rPr>
          <w:rFonts w:ascii="Book Antiqua" w:hAnsi="Book Antiqua" w:cs="Times New Roman"/>
          <w:sz w:val="24"/>
          <w:szCs w:val="24"/>
        </w:rPr>
        <w:t>urbain.</w:t>
      </w:r>
      <w:r w:rsidR="004805D0">
        <w:rPr>
          <w:rFonts w:ascii="Book Antiqua" w:hAnsi="Book Antiqua" w:cs="Times New Roman"/>
          <w:sz w:val="24"/>
          <w:szCs w:val="24"/>
        </w:rPr>
        <w:t xml:space="preserve"> </w:t>
      </w:r>
      <w:r w:rsidRPr="00940768">
        <w:rPr>
          <w:rFonts w:ascii="Book Antiqua" w:eastAsia="Book Antiqua" w:hAnsi="Book Antiqua" w:cs="Book Antiqua"/>
          <w:sz w:val="24"/>
          <w:szCs w:val="24"/>
        </w:rPr>
        <w:t xml:space="preserve">Par type d’emploi, </w:t>
      </w:r>
      <w:r w:rsidRPr="00940768">
        <w:rPr>
          <w:rFonts w:ascii="Book Antiqua" w:hAnsi="Book Antiqua" w:cs="Times New Roman"/>
          <w:sz w:val="24"/>
          <w:szCs w:val="24"/>
        </w:rPr>
        <w:t>1</w:t>
      </w:r>
      <w:r w:rsidR="00461C49" w:rsidRPr="00940768">
        <w:rPr>
          <w:rFonts w:ascii="Book Antiqua" w:hAnsi="Book Antiqua" w:cs="Times New Roman"/>
          <w:sz w:val="24"/>
          <w:szCs w:val="24"/>
        </w:rPr>
        <w:t>3</w:t>
      </w:r>
      <w:r w:rsidRPr="00940768">
        <w:rPr>
          <w:rFonts w:ascii="Book Antiqua" w:hAnsi="Book Antiqua" w:cs="Times New Roman"/>
          <w:sz w:val="24"/>
          <w:szCs w:val="24"/>
        </w:rPr>
        <w:t>.000 emplois rémunérés</w:t>
      </w:r>
      <w:r w:rsidR="004805D0">
        <w:rPr>
          <w:rFonts w:ascii="Book Antiqua" w:hAnsi="Book Antiqua" w:cs="Times New Roman"/>
          <w:sz w:val="24"/>
          <w:szCs w:val="24"/>
        </w:rPr>
        <w:t xml:space="preserve"> </w:t>
      </w:r>
      <w:r w:rsidRPr="00940768">
        <w:rPr>
          <w:rFonts w:ascii="Book Antiqua" w:hAnsi="Book Antiqua" w:cs="Times New Roman"/>
          <w:sz w:val="24"/>
          <w:szCs w:val="24"/>
        </w:rPr>
        <w:t xml:space="preserve">ont été perdus au niveau national, suite à une perte de </w:t>
      </w:r>
      <w:r w:rsidR="00461C49" w:rsidRPr="00940768">
        <w:rPr>
          <w:rFonts w:ascii="Book Antiqua" w:hAnsi="Book Antiqua" w:cs="Times New Roman"/>
          <w:sz w:val="24"/>
          <w:szCs w:val="24"/>
        </w:rPr>
        <w:t>41</w:t>
      </w:r>
      <w:r w:rsidRPr="00940768">
        <w:rPr>
          <w:rFonts w:ascii="Book Antiqua" w:hAnsi="Book Antiqua" w:cs="Times New Roman"/>
          <w:sz w:val="24"/>
          <w:szCs w:val="24"/>
        </w:rPr>
        <w:t>.000 postes en milieu urbain et une création de 28.000 en milieu rural. L’emploi non rémunéré a connu, de son côté, une perte de 26</w:t>
      </w:r>
      <w:r w:rsidR="00686F85" w:rsidRPr="00940768">
        <w:rPr>
          <w:rFonts w:ascii="Book Antiqua" w:hAnsi="Book Antiqua" w:cs="Times New Roman"/>
          <w:sz w:val="24"/>
          <w:szCs w:val="24"/>
        </w:rPr>
        <w:t>7</w:t>
      </w:r>
      <w:r w:rsidRPr="00940768">
        <w:rPr>
          <w:rFonts w:ascii="Book Antiqua" w:hAnsi="Book Antiqua" w:cs="Times New Roman"/>
          <w:sz w:val="24"/>
          <w:szCs w:val="24"/>
        </w:rPr>
        <w:t>.000 postes, conséquence d’une perte de 11.000 emplois en zones urbaines et de 25</w:t>
      </w:r>
      <w:r w:rsidR="00686F85" w:rsidRPr="00940768">
        <w:rPr>
          <w:rFonts w:ascii="Book Antiqua" w:hAnsi="Book Antiqua" w:cs="Times New Roman"/>
          <w:sz w:val="24"/>
          <w:szCs w:val="24"/>
        </w:rPr>
        <w:t>6</w:t>
      </w:r>
      <w:r w:rsidRPr="00940768">
        <w:rPr>
          <w:rFonts w:ascii="Book Antiqua" w:hAnsi="Book Antiqua" w:cs="Times New Roman"/>
          <w:sz w:val="24"/>
          <w:szCs w:val="24"/>
        </w:rPr>
        <w:t>.000 en zones</w:t>
      </w:r>
      <w:r w:rsidRPr="002B17F8">
        <w:rPr>
          <w:rFonts w:ascii="Book Antiqua" w:hAnsi="Book Antiqua" w:cs="Times New Roman"/>
          <w:sz w:val="24"/>
          <w:szCs w:val="24"/>
        </w:rPr>
        <w:t xml:space="preserve"> rurales.</w:t>
      </w:r>
    </w:p>
    <w:p w:rsidR="00EB5A99" w:rsidRPr="00F920F8" w:rsidRDefault="00462C5C" w:rsidP="00EB5A99">
      <w:pPr>
        <w:spacing w:before="240" w:after="240" w:line="312" w:lineRule="auto"/>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t>Emplois</w:t>
      </w:r>
      <w:r w:rsidR="00EB5A99" w:rsidRPr="00F920F8">
        <w:rPr>
          <w:rFonts w:ascii="Book Antiqua" w:eastAsiaTheme="majorEastAsia" w:hAnsi="Book Antiqua" w:cstheme="majorHAnsi"/>
          <w:b/>
          <w:bCs/>
          <w:i/>
          <w:iCs/>
          <w:color w:val="2E74B5" w:themeColor="accent5" w:themeShade="BF"/>
          <w:spacing w:val="-10"/>
          <w:kern w:val="28"/>
          <w:sz w:val="24"/>
          <w:szCs w:val="24"/>
        </w:rPr>
        <w:t xml:space="preserve"> sectoriel</w:t>
      </w:r>
      <w:r>
        <w:rPr>
          <w:rFonts w:ascii="Book Antiqua" w:eastAsiaTheme="majorEastAsia" w:hAnsi="Book Antiqua" w:cstheme="majorHAnsi"/>
          <w:b/>
          <w:bCs/>
          <w:i/>
          <w:iCs/>
          <w:color w:val="2E74B5" w:themeColor="accent5" w:themeShade="BF"/>
          <w:spacing w:val="-10"/>
          <w:kern w:val="28"/>
          <w:sz w:val="24"/>
          <w:szCs w:val="24"/>
        </w:rPr>
        <w:t>s</w:t>
      </w:r>
    </w:p>
    <w:p w:rsidR="00EB5A99" w:rsidRPr="00745A50" w:rsidRDefault="00EB5A99" w:rsidP="00EB5A99">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E</w:t>
      </w:r>
      <w:r w:rsidRPr="002D324E">
        <w:rPr>
          <w:rFonts w:ascii="Book Antiqua" w:hAnsi="Book Antiqua" w:cs="Times New Roman"/>
          <w:sz w:val="24"/>
          <w:szCs w:val="24"/>
        </w:rPr>
        <w:t xml:space="preserve">ntre le </w:t>
      </w:r>
      <w:r>
        <w:rPr>
          <w:rFonts w:ascii="Book Antiqua" w:hAnsi="Book Antiqua" w:cs="Times New Roman"/>
          <w:sz w:val="24"/>
          <w:szCs w:val="24"/>
        </w:rPr>
        <w:t>premier</w:t>
      </w:r>
      <w:r w:rsidRPr="002D324E">
        <w:rPr>
          <w:rFonts w:ascii="Book Antiqua" w:hAnsi="Book Antiqua" w:cs="Times New Roman"/>
          <w:sz w:val="24"/>
          <w:szCs w:val="24"/>
        </w:rPr>
        <w:t xml:space="preserve"> trimestre de </w:t>
      </w:r>
      <w:r>
        <w:rPr>
          <w:rFonts w:ascii="Book Antiqua" w:hAnsi="Book Antiqua" w:cs="Times New Roman"/>
          <w:sz w:val="24"/>
          <w:szCs w:val="24"/>
        </w:rPr>
        <w:t>2022 et la même période de 2023, l</w:t>
      </w:r>
      <w:r w:rsidRPr="002D324E">
        <w:rPr>
          <w:rFonts w:ascii="Book Antiqua" w:hAnsi="Book Antiqua" w:cs="Times New Roman"/>
          <w:sz w:val="24"/>
          <w:szCs w:val="24"/>
        </w:rPr>
        <w:t>e secteur de l’</w:t>
      </w:r>
      <w:r w:rsidRPr="00745A50">
        <w:rPr>
          <w:rFonts w:ascii="Book Antiqua" w:hAnsi="Book Antiqua" w:cs="Times New Roman"/>
          <w:sz w:val="24"/>
          <w:szCs w:val="24"/>
        </w:rPr>
        <w:t>"agriculture forêt et pêche"</w:t>
      </w:r>
      <w:r w:rsidRPr="002D324E">
        <w:rPr>
          <w:rFonts w:ascii="Book Antiqua" w:hAnsi="Book Antiqua" w:cs="Times New Roman"/>
          <w:sz w:val="24"/>
          <w:szCs w:val="24"/>
        </w:rPr>
        <w:t xml:space="preserve">, a </w:t>
      </w:r>
      <w:r>
        <w:rPr>
          <w:rFonts w:ascii="Book Antiqua" w:hAnsi="Book Antiqua" w:cs="Times New Roman"/>
          <w:sz w:val="24"/>
          <w:szCs w:val="24"/>
        </w:rPr>
        <w:t>perdu 247</w:t>
      </w:r>
      <w:r w:rsidRPr="002D324E">
        <w:rPr>
          <w:rFonts w:ascii="Book Antiqua" w:hAnsi="Book Antiqua" w:cs="Times New Roman"/>
          <w:sz w:val="24"/>
          <w:szCs w:val="24"/>
        </w:rPr>
        <w:t>.000 postes</w:t>
      </w:r>
      <w:r>
        <w:rPr>
          <w:rFonts w:ascii="Book Antiqua" w:hAnsi="Book Antiqua" w:cs="Times New Roman"/>
          <w:sz w:val="24"/>
          <w:szCs w:val="24"/>
        </w:rPr>
        <w:t xml:space="preserve"> d’emploi, </w:t>
      </w:r>
      <w:r w:rsidRPr="007C6B26">
        <w:rPr>
          <w:rFonts w:ascii="Book Antiqua" w:hAnsi="Book Antiqua" w:cs="Times New Roman"/>
          <w:sz w:val="24"/>
          <w:szCs w:val="24"/>
        </w:rPr>
        <w:t>ce qui correspond à une baisse de 8% du volume de l'emploi dans ce secteur.</w:t>
      </w:r>
    </w:p>
    <w:p w:rsidR="00EB5A99" w:rsidRDefault="00EB5A99" w:rsidP="004D3E03">
      <w:pPr>
        <w:autoSpaceDE w:val="0"/>
        <w:autoSpaceDN w:val="0"/>
        <w:adjustRightInd w:val="0"/>
        <w:spacing w:before="120" w:after="120" w:line="276" w:lineRule="auto"/>
        <w:jc w:val="both"/>
        <w:rPr>
          <w:rFonts w:ascii="Book Antiqua" w:hAnsi="Book Antiqua" w:cs="Times New Roman"/>
          <w:sz w:val="24"/>
          <w:szCs w:val="24"/>
        </w:rPr>
      </w:pPr>
      <w:r w:rsidRPr="00000609">
        <w:rPr>
          <w:rFonts w:ascii="Book Antiqua" w:hAnsi="Book Antiqua" w:cs="Times New Roman"/>
          <w:sz w:val="24"/>
          <w:szCs w:val="24"/>
        </w:rPr>
        <w:t xml:space="preserve">Le secteur de l’"industrie " a perdu 10.000 postes d'emploi (-1%), </w:t>
      </w:r>
      <w:r w:rsidRPr="00000609">
        <w:rPr>
          <w:rFonts w:ascii="Book Antiqua" w:eastAsia="Book Antiqua" w:hAnsi="Book Antiqua" w:cs="Book Antiqua"/>
          <w:sz w:val="24"/>
          <w:szCs w:val="24"/>
        </w:rPr>
        <w:t xml:space="preserve">résultat d’une perte de </w:t>
      </w:r>
      <w:r w:rsidRPr="00000609">
        <w:rPr>
          <w:rFonts w:ascii="Book Antiqua" w:hAnsi="Book Antiqua" w:cs="Times New Roman"/>
          <w:sz w:val="24"/>
          <w:szCs w:val="24"/>
        </w:rPr>
        <w:t>23.000 en milieu urbain contre une création de 13.000 en milieu rural.</w:t>
      </w:r>
      <w:r w:rsidR="00ED5410" w:rsidRPr="00000609">
        <w:rPr>
          <w:rFonts w:ascii="Book Antiqua" w:hAnsi="Book Antiqua" w:cs="Times New Roman"/>
          <w:sz w:val="24"/>
          <w:szCs w:val="24"/>
        </w:rPr>
        <w:t xml:space="preserve"> Cette perte est de 38.000 dans les activités artisanal</w:t>
      </w:r>
      <w:r w:rsidR="004D3E03" w:rsidRPr="00000609">
        <w:rPr>
          <w:rFonts w:ascii="Book Antiqua" w:hAnsi="Book Antiqua" w:cs="Times New Roman"/>
          <w:sz w:val="24"/>
          <w:szCs w:val="24"/>
        </w:rPr>
        <w:t>es</w:t>
      </w:r>
      <w:r w:rsidR="004D3E03" w:rsidRPr="00000609">
        <w:rPr>
          <w:rStyle w:val="Appelnotedebasdep"/>
          <w:rFonts w:ascii="Book Antiqua" w:hAnsi="Book Antiqua" w:cs="Times New Roman"/>
          <w:sz w:val="24"/>
          <w:szCs w:val="24"/>
        </w:rPr>
        <w:footnoteReference w:id="2"/>
      </w:r>
      <w:r w:rsidR="00940768">
        <w:rPr>
          <w:rFonts w:ascii="Book Antiqua" w:hAnsi="Book Antiqua" w:cs="Times New Roman"/>
          <w:sz w:val="24"/>
          <w:szCs w:val="24"/>
        </w:rPr>
        <w:t xml:space="preserve"> </w:t>
      </w:r>
      <w:r w:rsidR="00233E1A" w:rsidRPr="00462C5C">
        <w:rPr>
          <w:rFonts w:ascii="Book Antiqua" w:hAnsi="Book Antiqua" w:cs="Times New Roman"/>
          <w:sz w:val="24"/>
          <w:szCs w:val="24"/>
        </w:rPr>
        <w:t xml:space="preserve">contre une </w:t>
      </w:r>
      <w:r w:rsidR="00ED5410" w:rsidRPr="00462C5C">
        <w:rPr>
          <w:rFonts w:ascii="Book Antiqua" w:hAnsi="Book Antiqua" w:cs="Times New Roman"/>
          <w:sz w:val="24"/>
          <w:szCs w:val="24"/>
        </w:rPr>
        <w:t>création de 28.000 dans les activités</w:t>
      </w:r>
      <w:r w:rsidR="00ED5410" w:rsidRPr="00000609">
        <w:rPr>
          <w:rFonts w:ascii="Book Antiqua" w:hAnsi="Book Antiqua" w:cs="Times New Roman"/>
          <w:sz w:val="24"/>
          <w:szCs w:val="24"/>
        </w:rPr>
        <w:t xml:space="preserve"> industriel</w:t>
      </w:r>
      <w:r w:rsidR="004D3E03" w:rsidRPr="00000609">
        <w:rPr>
          <w:rFonts w:ascii="Book Antiqua" w:hAnsi="Book Antiqua" w:cs="Times New Roman"/>
          <w:sz w:val="24"/>
          <w:szCs w:val="24"/>
        </w:rPr>
        <w:t>les</w:t>
      </w:r>
      <w:r w:rsidR="00ED5410" w:rsidRPr="00000609">
        <w:rPr>
          <w:rFonts w:ascii="Book Antiqua" w:hAnsi="Book Antiqua" w:cs="Times New Roman"/>
          <w:sz w:val="24"/>
          <w:szCs w:val="24"/>
        </w:rPr>
        <w:t>.</w:t>
      </w:r>
    </w:p>
    <w:p w:rsidR="00EB5A99" w:rsidRPr="00745A50" w:rsidRDefault="00EB5A99" w:rsidP="00EB5A99">
      <w:pPr>
        <w:autoSpaceDE w:val="0"/>
        <w:autoSpaceDN w:val="0"/>
        <w:adjustRightInd w:val="0"/>
        <w:spacing w:before="120" w:after="120" w:line="276" w:lineRule="auto"/>
        <w:jc w:val="both"/>
        <w:rPr>
          <w:rFonts w:ascii="Book Antiqua" w:hAnsi="Book Antiqua" w:cs="Times New Roman"/>
          <w:sz w:val="24"/>
          <w:szCs w:val="24"/>
        </w:rPr>
      </w:pPr>
      <w:r w:rsidRPr="002D324E">
        <w:rPr>
          <w:rFonts w:ascii="Book Antiqua" w:hAnsi="Book Antiqua" w:cs="Times New Roman"/>
          <w:sz w:val="24"/>
          <w:szCs w:val="24"/>
        </w:rPr>
        <w:t xml:space="preserve">De son côté, le secteur des </w:t>
      </w:r>
      <w:r w:rsidRPr="00167B85">
        <w:rPr>
          <w:rFonts w:ascii="Book Antiqua" w:hAnsi="Book Antiqua" w:cs="Times New Roman"/>
          <w:sz w:val="24"/>
          <w:szCs w:val="24"/>
        </w:rPr>
        <w:t>"services"</w:t>
      </w:r>
      <w:r>
        <w:rPr>
          <w:rFonts w:ascii="Book Antiqua" w:hAnsi="Book Antiqua" w:cs="Times New Roman"/>
          <w:sz w:val="24"/>
          <w:szCs w:val="24"/>
        </w:rPr>
        <w:t xml:space="preserve"> a perdu 56.000 postes d'emploi (-1%)</w:t>
      </w:r>
      <w:r w:rsidRPr="002D324E">
        <w:rPr>
          <w:rFonts w:ascii="Book Antiqua" w:hAnsi="Book Antiqua" w:cs="Times New Roman"/>
          <w:sz w:val="24"/>
          <w:szCs w:val="24"/>
        </w:rPr>
        <w:t xml:space="preserve">, </w:t>
      </w:r>
      <w:r>
        <w:rPr>
          <w:rFonts w:ascii="Book Antiqua" w:hAnsi="Book Antiqua" w:cs="Times New Roman"/>
          <w:sz w:val="24"/>
          <w:szCs w:val="24"/>
        </w:rPr>
        <w:t xml:space="preserve">suite </w:t>
      </w:r>
      <w:r w:rsidR="00462C5C">
        <w:rPr>
          <w:rFonts w:ascii="Book Antiqua" w:hAnsi="Book Antiqua" w:cs="Times New Roman"/>
          <w:sz w:val="24"/>
          <w:szCs w:val="24"/>
        </w:rPr>
        <w:t xml:space="preserve">à </w:t>
      </w:r>
      <w:r>
        <w:rPr>
          <w:rFonts w:ascii="Book Antiqua" w:hAnsi="Book Antiqua" w:cs="Times New Roman"/>
          <w:sz w:val="24"/>
          <w:szCs w:val="24"/>
        </w:rPr>
        <w:t xml:space="preserve">une baisse de 17.000 en milieu urbain et de 39.000 en milieu rural. </w:t>
      </w:r>
    </w:p>
    <w:p w:rsidR="00EB5A99" w:rsidRPr="001A6978" w:rsidRDefault="00EB5A99" w:rsidP="00EB5A99">
      <w:pPr>
        <w:spacing w:before="240" w:after="240" w:line="312" w:lineRule="auto"/>
        <w:jc w:val="both"/>
        <w:rPr>
          <w:rFonts w:ascii="Book Antiqua" w:eastAsia="Book Antiqua" w:hAnsi="Book Antiqua" w:cs="Book Antiqua"/>
          <w:sz w:val="24"/>
          <w:szCs w:val="24"/>
        </w:rPr>
      </w:pPr>
      <w:r w:rsidRPr="000F5C69">
        <w:rPr>
          <w:rFonts w:ascii="Book Antiqua" w:eastAsia="Book Antiqua" w:hAnsi="Book Antiqua" w:cs="Book Antiqua"/>
          <w:sz w:val="24"/>
          <w:szCs w:val="24"/>
        </w:rPr>
        <w:t>Le secteur des BTP a créé 2</w:t>
      </w:r>
      <w:r>
        <w:rPr>
          <w:rFonts w:ascii="Book Antiqua" w:eastAsia="Book Antiqua" w:hAnsi="Book Antiqua" w:cs="Book Antiqua"/>
          <w:sz w:val="24"/>
          <w:szCs w:val="24"/>
        </w:rPr>
        <w:t>8</w:t>
      </w:r>
      <w:r w:rsidRPr="000F5C69">
        <w:rPr>
          <w:rFonts w:ascii="Book Antiqua" w:eastAsia="Book Antiqua" w:hAnsi="Book Antiqua" w:cs="Book Antiqua"/>
          <w:sz w:val="24"/>
          <w:szCs w:val="24"/>
        </w:rPr>
        <w:t xml:space="preserve">.000 postes d’emploi, résultat d’une création </w:t>
      </w:r>
      <w:r>
        <w:rPr>
          <w:rFonts w:ascii="Book Antiqua" w:eastAsia="Book Antiqua" w:hAnsi="Book Antiqua" w:cs="Book Antiqua"/>
          <w:sz w:val="24"/>
          <w:szCs w:val="24"/>
        </w:rPr>
        <w:t>de 50.000 en milieu rural et une perte de 22.000</w:t>
      </w:r>
      <w:r w:rsidRPr="000F5C69">
        <w:rPr>
          <w:rFonts w:ascii="Book Antiqua" w:eastAsia="Book Antiqua" w:hAnsi="Book Antiqua" w:cs="Book Antiqua"/>
          <w:sz w:val="24"/>
          <w:szCs w:val="24"/>
        </w:rPr>
        <w:t xml:space="preserve"> en milieu</w:t>
      </w:r>
      <w:r>
        <w:rPr>
          <w:rFonts w:ascii="Book Antiqua" w:eastAsia="Book Antiqua" w:hAnsi="Book Antiqua" w:cs="Book Antiqua"/>
          <w:sz w:val="24"/>
          <w:szCs w:val="24"/>
        </w:rPr>
        <w:t xml:space="preserve"> urbain</w:t>
      </w:r>
      <w:r w:rsidRPr="002D5607">
        <w:rPr>
          <w:rFonts w:ascii="Book Antiqua" w:eastAsia="Book Antiqua" w:hAnsi="Book Antiqua" w:cs="Book Antiqua"/>
          <w:sz w:val="24"/>
          <w:szCs w:val="24"/>
        </w:rPr>
        <w:t>, enregistrant une hausse de 2% du volume d’emploi dans ce secteur.</w:t>
      </w:r>
    </w:p>
    <w:p w:rsidR="00EB5A99" w:rsidRPr="002D324E" w:rsidRDefault="00EB5A99" w:rsidP="00461C49">
      <w:pPr>
        <w:spacing w:before="100" w:beforeAutospacing="1" w:after="100" w:afterAutospacing="1" w:line="276" w:lineRule="auto"/>
        <w:ind w:left="180"/>
        <w:jc w:val="center"/>
        <w:rPr>
          <w:rFonts w:ascii="Book Antiqua" w:hAnsi="Book Antiqua" w:cstheme="majorHAnsi"/>
          <w:sz w:val="24"/>
          <w:szCs w:val="24"/>
        </w:rPr>
      </w:pPr>
      <w:r w:rsidRPr="0016011E">
        <w:rPr>
          <w:rFonts w:ascii="Book Antiqua" w:eastAsia="Times New Roman" w:hAnsi="Book Antiqua" w:cstheme="majorHAnsi"/>
          <w:b/>
          <w:bCs/>
          <w:color w:val="000000"/>
          <w:sz w:val="20"/>
          <w:szCs w:val="20"/>
        </w:rPr>
        <w:lastRenderedPageBreak/>
        <w:t xml:space="preserve">Figure </w:t>
      </w:r>
      <w:r w:rsidR="00461C49">
        <w:rPr>
          <w:rFonts w:ascii="Book Antiqua" w:eastAsia="Times New Roman" w:hAnsi="Book Antiqua" w:cstheme="majorHAnsi"/>
          <w:b/>
          <w:bCs/>
          <w:color w:val="000000"/>
          <w:sz w:val="20"/>
          <w:szCs w:val="20"/>
        </w:rPr>
        <w:t>1</w:t>
      </w:r>
      <w:r w:rsidR="00FB4D04">
        <w:rPr>
          <w:rFonts w:ascii="Book Antiqua" w:eastAsia="Times New Roman" w:hAnsi="Book Antiqua" w:cstheme="majorHAnsi"/>
          <w:b/>
          <w:bCs/>
          <w:color w:val="000000"/>
          <w:sz w:val="20"/>
          <w:szCs w:val="20"/>
        </w:rPr>
        <w:t xml:space="preserve">. </w:t>
      </w:r>
      <w:r w:rsidR="00461C49">
        <w:rPr>
          <w:rFonts w:ascii="Book Antiqua" w:eastAsia="Times New Roman" w:hAnsi="Book Antiqua" w:cstheme="majorHAnsi"/>
          <w:b/>
          <w:bCs/>
          <w:color w:val="000000"/>
          <w:sz w:val="20"/>
          <w:szCs w:val="20"/>
        </w:rPr>
        <w:t>Variation</w:t>
      </w:r>
      <w:r w:rsidRPr="0016011E">
        <w:rPr>
          <w:rFonts w:ascii="Book Antiqua" w:eastAsia="Times New Roman" w:hAnsi="Book Antiqua" w:cstheme="majorHAnsi"/>
          <w:b/>
          <w:bCs/>
          <w:color w:val="000000"/>
          <w:sz w:val="20"/>
          <w:szCs w:val="20"/>
        </w:rPr>
        <w:t xml:space="preserve"> nette d</w:t>
      </w:r>
      <w:r>
        <w:rPr>
          <w:rFonts w:ascii="Book Antiqua" w:eastAsia="Times New Roman" w:hAnsi="Book Antiqua" w:cstheme="majorHAnsi"/>
          <w:b/>
          <w:bCs/>
          <w:color w:val="000000"/>
          <w:sz w:val="20"/>
          <w:szCs w:val="20"/>
        </w:rPr>
        <w:t>e postes d</w:t>
      </w:r>
      <w:r w:rsidRPr="0016011E">
        <w:rPr>
          <w:rFonts w:ascii="Book Antiqua" w:eastAsia="Times New Roman" w:hAnsi="Book Antiqua" w:cstheme="majorHAnsi"/>
          <w:b/>
          <w:bCs/>
          <w:color w:val="000000"/>
          <w:sz w:val="20"/>
          <w:szCs w:val="20"/>
        </w:rPr>
        <w:t xml:space="preserve">’emploi entre </w:t>
      </w:r>
      <w:r>
        <w:rPr>
          <w:rFonts w:ascii="Book Antiqua" w:eastAsia="Times New Roman" w:hAnsi="Book Antiqua" w:cstheme="majorHAnsi"/>
          <w:b/>
          <w:bCs/>
          <w:color w:val="000000"/>
          <w:sz w:val="20"/>
          <w:szCs w:val="20"/>
        </w:rPr>
        <w:t>le premier trimestre</w:t>
      </w:r>
      <w:r w:rsidRPr="0016011E">
        <w:rPr>
          <w:rFonts w:ascii="Book Antiqua" w:eastAsia="Times New Roman" w:hAnsi="Book Antiqua" w:cstheme="majorHAnsi"/>
          <w:b/>
          <w:bCs/>
          <w:color w:val="000000"/>
          <w:sz w:val="20"/>
          <w:szCs w:val="20"/>
        </w:rPr>
        <w:t xml:space="preserve"> de </w:t>
      </w:r>
      <w:r>
        <w:rPr>
          <w:rFonts w:ascii="Book Antiqua" w:eastAsia="Times New Roman" w:hAnsi="Book Antiqua" w:cstheme="majorHAnsi"/>
          <w:b/>
          <w:bCs/>
          <w:color w:val="000000"/>
          <w:sz w:val="20"/>
          <w:szCs w:val="20"/>
        </w:rPr>
        <w:t>2022</w:t>
      </w:r>
      <w:r w:rsidRPr="0016011E">
        <w:rPr>
          <w:rFonts w:ascii="Book Antiqua" w:eastAsia="Times New Roman" w:hAnsi="Book Antiqua" w:cstheme="majorHAnsi"/>
          <w:b/>
          <w:bCs/>
          <w:color w:val="000000"/>
          <w:sz w:val="20"/>
          <w:szCs w:val="20"/>
        </w:rPr>
        <w:t xml:space="preserve"> et</w:t>
      </w:r>
      <w:r>
        <w:rPr>
          <w:rFonts w:ascii="Book Antiqua" w:eastAsia="Times New Roman" w:hAnsi="Book Antiqua" w:cstheme="majorHAnsi"/>
          <w:b/>
          <w:bCs/>
          <w:color w:val="000000"/>
          <w:sz w:val="20"/>
          <w:szCs w:val="20"/>
        </w:rPr>
        <w:t xml:space="preserve"> celui de 2023 </w:t>
      </w:r>
      <w:r w:rsidRPr="0016011E">
        <w:rPr>
          <w:rFonts w:ascii="Book Antiqua" w:eastAsia="Times New Roman" w:hAnsi="Book Antiqua" w:cstheme="majorHAnsi"/>
          <w:b/>
          <w:bCs/>
          <w:color w:val="000000"/>
          <w:sz w:val="20"/>
          <w:szCs w:val="20"/>
        </w:rPr>
        <w:t>selon</w:t>
      </w:r>
      <w:r w:rsidR="00461C49">
        <w:rPr>
          <w:rFonts w:ascii="Book Antiqua" w:eastAsia="Times New Roman" w:hAnsi="Book Antiqua" w:cstheme="majorHAnsi"/>
          <w:b/>
          <w:bCs/>
          <w:color w:val="000000"/>
          <w:sz w:val="20"/>
          <w:szCs w:val="20"/>
        </w:rPr>
        <w:t xml:space="preserve"> les secteurs d’activité économique et </w:t>
      </w:r>
      <w:r w:rsidRPr="0016011E">
        <w:rPr>
          <w:rFonts w:ascii="Book Antiqua" w:eastAsia="Times New Roman" w:hAnsi="Book Antiqua" w:cstheme="majorHAnsi"/>
          <w:b/>
          <w:bCs/>
          <w:color w:val="000000"/>
          <w:sz w:val="20"/>
          <w:szCs w:val="20"/>
        </w:rPr>
        <w:t>le milieu de résidence</w:t>
      </w:r>
      <w:r>
        <w:rPr>
          <w:rStyle w:val="Appelnotedebasdep"/>
          <w:rFonts w:ascii="Book Antiqua" w:eastAsia="Times New Roman" w:hAnsi="Book Antiqua" w:cstheme="majorHAnsi"/>
          <w:b/>
          <w:bCs/>
          <w:color w:val="000000"/>
          <w:sz w:val="20"/>
          <w:szCs w:val="20"/>
        </w:rPr>
        <w:footnoteReference w:id="3"/>
      </w:r>
    </w:p>
    <w:p w:rsidR="00EB5A99" w:rsidRDefault="00EB5A99" w:rsidP="00EB5A99">
      <w:pPr>
        <w:pStyle w:val="MMTopic2"/>
        <w:numPr>
          <w:ilvl w:val="0"/>
          <w:numId w:val="0"/>
        </w:numPr>
        <w:spacing w:line="276" w:lineRule="auto"/>
        <w:jc w:val="both"/>
        <w:rPr>
          <w:rFonts w:ascii="Book Antiqua" w:hAnsi="Book Antiqua" w:cstheme="majorHAnsi"/>
          <w:b/>
          <w:bCs/>
          <w:color w:val="2E74B5" w:themeColor="accent5" w:themeShade="BF"/>
          <w:spacing w:val="-10"/>
          <w:kern w:val="28"/>
          <w:sz w:val="24"/>
          <w:szCs w:val="24"/>
        </w:rPr>
      </w:pPr>
      <w:r w:rsidRPr="004524C2">
        <w:rPr>
          <w:rFonts w:ascii="Book Antiqua" w:hAnsi="Book Antiqua" w:cstheme="majorHAnsi"/>
          <w:b/>
          <w:bCs/>
          <w:noProof/>
          <w:color w:val="2E74B5" w:themeColor="accent5" w:themeShade="BF"/>
          <w:spacing w:val="-10"/>
          <w:kern w:val="28"/>
          <w:sz w:val="24"/>
          <w:szCs w:val="24"/>
          <w:lang w:eastAsia="fr-FR"/>
        </w:rPr>
        <w:drawing>
          <wp:inline distT="0" distB="0" distL="0" distR="0">
            <wp:extent cx="6051550" cy="3530600"/>
            <wp:effectExtent l="0" t="0" r="6350" b="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5A99" w:rsidRDefault="00EB5A99" w:rsidP="00EB5A99">
      <w:pPr>
        <w:autoSpaceDE w:val="0"/>
        <w:autoSpaceDN w:val="0"/>
        <w:adjustRightInd w:val="0"/>
        <w:spacing w:line="276" w:lineRule="auto"/>
        <w:jc w:val="center"/>
        <w:rPr>
          <w:rFonts w:ascii="Book Antiqua" w:hAnsi="Book Antiqua" w:cs="Times New Roman"/>
          <w:b/>
          <w:bCs/>
          <w:sz w:val="20"/>
          <w:szCs w:val="20"/>
        </w:rPr>
      </w:pPr>
    </w:p>
    <w:p w:rsidR="002F4BF8" w:rsidRPr="00286060" w:rsidRDefault="002F4BF8"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286060">
        <w:rPr>
          <w:rFonts w:ascii="Book Antiqua" w:hAnsi="Book Antiqua" w:cstheme="majorHAnsi"/>
          <w:b/>
          <w:bCs/>
          <w:color w:val="1F3864" w:themeColor="accent1" w:themeShade="80"/>
          <w:spacing w:val="-10"/>
          <w:kern w:val="28"/>
          <w:sz w:val="24"/>
          <w:szCs w:val="24"/>
        </w:rPr>
        <w:t>II. Chômage et sous-emploi</w:t>
      </w:r>
    </w:p>
    <w:p w:rsidR="00286060" w:rsidRPr="007015E0" w:rsidRDefault="00DF2FF2"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r>
        <w:rPr>
          <w:rFonts w:ascii="Book Antiqua" w:hAnsi="Book Antiqua" w:cstheme="majorHAnsi"/>
          <w:b/>
          <w:bCs/>
          <w:i/>
          <w:iCs/>
          <w:color w:val="2E74B5" w:themeColor="accent5" w:themeShade="BF"/>
          <w:spacing w:val="-10"/>
          <w:kern w:val="28"/>
          <w:sz w:val="24"/>
          <w:szCs w:val="24"/>
        </w:rPr>
        <w:t>Hausse du volume de chômage</w:t>
      </w:r>
    </w:p>
    <w:p w:rsidR="00940768" w:rsidRDefault="00940768" w:rsidP="00C82EFA">
      <w:pPr>
        <w:spacing w:before="40" w:line="276" w:lineRule="auto"/>
        <w:jc w:val="both"/>
        <w:rPr>
          <w:rFonts w:ascii="Book Antiqua" w:hAnsi="Book Antiqua" w:cs="Times New Roman"/>
          <w:sz w:val="24"/>
          <w:szCs w:val="24"/>
        </w:rPr>
      </w:pPr>
    </w:p>
    <w:p w:rsidR="00286060" w:rsidRPr="00B34C0B" w:rsidRDefault="00286060" w:rsidP="00C82EFA">
      <w:pPr>
        <w:spacing w:before="40" w:line="276" w:lineRule="auto"/>
        <w:jc w:val="both"/>
        <w:rPr>
          <w:rFonts w:ascii="Book Antiqua" w:hAnsi="Book Antiqua" w:cs="Times New Roman"/>
          <w:sz w:val="24"/>
          <w:szCs w:val="24"/>
        </w:rPr>
      </w:pPr>
      <w:r w:rsidRPr="00EB5A99">
        <w:rPr>
          <w:rFonts w:ascii="Book Antiqua" w:hAnsi="Book Antiqua" w:cs="Times New Roman"/>
          <w:sz w:val="24"/>
          <w:szCs w:val="24"/>
        </w:rPr>
        <w:t>Le nombre de chômeurs a augment</w:t>
      </w:r>
      <w:r w:rsidR="00DF2FF2" w:rsidRPr="00EB5A99">
        <w:rPr>
          <w:rFonts w:ascii="Book Antiqua" w:hAnsi="Book Antiqua" w:cs="Times New Roman"/>
          <w:sz w:val="24"/>
          <w:szCs w:val="24"/>
        </w:rPr>
        <w:t>é de 83.000 personnes entre le premier trimestre de l’année 2022 et celui de 2023</w:t>
      </w:r>
      <w:r w:rsidRPr="00EB5A99">
        <w:rPr>
          <w:rFonts w:ascii="Book Antiqua" w:hAnsi="Book Antiqua" w:cs="Times New Roman"/>
          <w:sz w:val="24"/>
          <w:szCs w:val="24"/>
        </w:rPr>
        <w:t xml:space="preserve">, passant de </w:t>
      </w:r>
      <w:r w:rsidR="00DF2FF2" w:rsidRPr="00EB5A99">
        <w:rPr>
          <w:rFonts w:ascii="Book Antiqua" w:hAnsi="Book Antiqua" w:cs="Times New Roman"/>
          <w:sz w:val="24"/>
          <w:szCs w:val="24"/>
        </w:rPr>
        <w:t>1.466.000 à 1.549</w:t>
      </w:r>
      <w:r w:rsidRPr="00EB5A99">
        <w:rPr>
          <w:rFonts w:ascii="Book Antiqua" w:hAnsi="Book Antiqua" w:cs="Times New Roman"/>
          <w:sz w:val="24"/>
          <w:szCs w:val="24"/>
        </w:rPr>
        <w:t>.000 chômeurs, ce qui cor</w:t>
      </w:r>
      <w:r w:rsidR="00DF2FF2" w:rsidRPr="00EB5A99">
        <w:rPr>
          <w:rFonts w:ascii="Book Antiqua" w:hAnsi="Book Antiqua" w:cs="Times New Roman"/>
          <w:sz w:val="24"/>
          <w:szCs w:val="24"/>
        </w:rPr>
        <w:t xml:space="preserve">respond à une augmentation de </w:t>
      </w:r>
      <w:r w:rsidRPr="00EB5A99">
        <w:rPr>
          <w:rFonts w:ascii="Book Antiqua" w:hAnsi="Book Antiqua" w:cs="Times New Roman"/>
          <w:sz w:val="24"/>
          <w:szCs w:val="24"/>
        </w:rPr>
        <w:t>6</w:t>
      </w:r>
      <w:r w:rsidRPr="00B34C0B">
        <w:rPr>
          <w:rFonts w:ascii="Book Antiqua" w:hAnsi="Book Antiqua" w:cs="Times New Roman"/>
          <w:sz w:val="24"/>
          <w:szCs w:val="24"/>
        </w:rPr>
        <w:t>%.</w:t>
      </w:r>
      <w:r w:rsidR="008759D1" w:rsidRPr="00B34C0B">
        <w:rPr>
          <w:rFonts w:ascii="Book Antiqua" w:hAnsi="Book Antiqua" w:cs="Times New Roman"/>
          <w:sz w:val="24"/>
          <w:szCs w:val="24"/>
        </w:rPr>
        <w:t xml:space="preserve"> Cette hausse est le </w:t>
      </w:r>
      <w:r w:rsidRPr="00462C5C">
        <w:rPr>
          <w:rFonts w:ascii="Book Antiqua" w:hAnsi="Book Antiqua" w:cs="Times New Roman"/>
          <w:sz w:val="24"/>
          <w:szCs w:val="24"/>
        </w:rPr>
        <w:t>rés</w:t>
      </w:r>
      <w:r w:rsidR="00DF2FF2" w:rsidRPr="00462C5C">
        <w:rPr>
          <w:rFonts w:ascii="Book Antiqua" w:hAnsi="Book Antiqua" w:cs="Times New Roman"/>
          <w:sz w:val="24"/>
          <w:szCs w:val="24"/>
        </w:rPr>
        <w:t>ulta</w:t>
      </w:r>
      <w:r w:rsidR="00C82EFA" w:rsidRPr="00462C5C">
        <w:rPr>
          <w:rFonts w:ascii="Book Antiqua" w:hAnsi="Book Antiqua" w:cs="Times New Roman"/>
          <w:sz w:val="24"/>
          <w:szCs w:val="24"/>
        </w:rPr>
        <w:t>t</w:t>
      </w:r>
      <w:r w:rsidR="00DF2FF2" w:rsidRPr="00B34C0B">
        <w:rPr>
          <w:rFonts w:ascii="Book Antiqua" w:hAnsi="Book Antiqua" w:cs="Times New Roman"/>
          <w:sz w:val="24"/>
          <w:szCs w:val="24"/>
        </w:rPr>
        <w:t xml:space="preserve"> d’une augmentation de </w:t>
      </w:r>
      <w:r w:rsidR="00314F7F" w:rsidRPr="00B34C0B">
        <w:rPr>
          <w:rFonts w:ascii="Book Antiqua" w:hAnsi="Book Antiqua" w:cs="Times New Roman"/>
          <w:sz w:val="24"/>
          <w:szCs w:val="24"/>
        </w:rPr>
        <w:t>67</w:t>
      </w:r>
      <w:r w:rsidRPr="00B34C0B">
        <w:rPr>
          <w:rFonts w:ascii="Book Antiqua" w:hAnsi="Book Antiqua" w:cs="Times New Roman"/>
          <w:sz w:val="24"/>
          <w:szCs w:val="24"/>
        </w:rPr>
        <w:t>.000 chômeurs en</w:t>
      </w:r>
      <w:r w:rsidR="00314F7F" w:rsidRPr="00B34C0B">
        <w:rPr>
          <w:rFonts w:ascii="Book Antiqua" w:hAnsi="Book Antiqua" w:cs="Times New Roman"/>
          <w:sz w:val="24"/>
          <w:szCs w:val="24"/>
        </w:rPr>
        <w:t xml:space="preserve"> milieu urbain et de 1</w:t>
      </w:r>
      <w:r w:rsidR="00DF2FF2" w:rsidRPr="00B34C0B">
        <w:rPr>
          <w:rFonts w:ascii="Book Antiqua" w:hAnsi="Book Antiqua" w:cs="Times New Roman"/>
          <w:sz w:val="24"/>
          <w:szCs w:val="24"/>
        </w:rPr>
        <w:t>6</w:t>
      </w:r>
      <w:r w:rsidRPr="00B34C0B">
        <w:rPr>
          <w:rFonts w:ascii="Book Antiqua" w:hAnsi="Book Antiqua" w:cs="Times New Roman"/>
          <w:sz w:val="24"/>
          <w:szCs w:val="24"/>
        </w:rPr>
        <w:t>.000 en milieu rural</w:t>
      </w:r>
      <w:r w:rsidR="00DF2FF2" w:rsidRPr="00B34C0B">
        <w:rPr>
          <w:rFonts w:ascii="Book Antiqua" w:hAnsi="Book Antiqua" w:cs="Times New Roman"/>
          <w:sz w:val="24"/>
          <w:szCs w:val="24"/>
        </w:rPr>
        <w:t>.</w:t>
      </w:r>
    </w:p>
    <w:p w:rsidR="006E3A6E" w:rsidRDefault="00E00FAF" w:rsidP="00314F7F">
      <w:pPr>
        <w:spacing w:line="240" w:lineRule="auto"/>
        <w:jc w:val="both"/>
        <w:rPr>
          <w:rFonts w:ascii="Book Antiqua" w:hAnsi="Book Antiqua" w:cs="Times New Roman"/>
          <w:sz w:val="24"/>
          <w:szCs w:val="24"/>
        </w:rPr>
      </w:pPr>
      <w:r w:rsidRPr="00B34C0B">
        <w:rPr>
          <w:rFonts w:ascii="Book Antiqua" w:hAnsi="Book Antiqua" w:cs="Times New Roman"/>
          <w:sz w:val="24"/>
          <w:szCs w:val="24"/>
        </w:rPr>
        <w:t>L</w:t>
      </w:r>
      <w:r w:rsidR="00647547" w:rsidRPr="00B34C0B">
        <w:rPr>
          <w:rFonts w:ascii="Book Antiqua" w:hAnsi="Book Antiqua" w:cs="Times New Roman"/>
          <w:sz w:val="24"/>
          <w:szCs w:val="24"/>
        </w:rPr>
        <w:t xml:space="preserve">e taux de chômage s’est </w:t>
      </w:r>
      <w:r w:rsidR="008759D1" w:rsidRPr="00B34C0B">
        <w:rPr>
          <w:rFonts w:ascii="Book Antiqua" w:hAnsi="Book Antiqua" w:cs="Times New Roman"/>
          <w:sz w:val="24"/>
          <w:szCs w:val="24"/>
        </w:rPr>
        <w:t xml:space="preserve">ainsi </w:t>
      </w:r>
      <w:r w:rsidR="00647547" w:rsidRPr="00B34C0B">
        <w:rPr>
          <w:rFonts w:ascii="Book Antiqua" w:hAnsi="Book Antiqua" w:cs="Times New Roman"/>
          <w:sz w:val="24"/>
          <w:szCs w:val="24"/>
        </w:rPr>
        <w:t xml:space="preserve">accru de </w:t>
      </w:r>
      <w:r w:rsidR="00DF2FF2" w:rsidRPr="00B34C0B">
        <w:rPr>
          <w:rFonts w:ascii="Book Antiqua" w:hAnsi="Book Antiqua" w:cs="Times New Roman"/>
          <w:sz w:val="24"/>
          <w:szCs w:val="24"/>
        </w:rPr>
        <w:t>0,</w:t>
      </w:r>
      <w:r w:rsidR="00314F7F" w:rsidRPr="00B34C0B">
        <w:rPr>
          <w:rFonts w:ascii="Book Antiqua" w:hAnsi="Book Antiqua" w:cs="Times New Roman"/>
          <w:sz w:val="24"/>
          <w:szCs w:val="24"/>
        </w:rPr>
        <w:t>8</w:t>
      </w:r>
      <w:r w:rsidR="00940768">
        <w:rPr>
          <w:rFonts w:ascii="Book Antiqua" w:hAnsi="Book Antiqua" w:cs="Times New Roman"/>
          <w:sz w:val="24"/>
          <w:szCs w:val="24"/>
        </w:rPr>
        <w:t xml:space="preserve"> </w:t>
      </w:r>
      <w:r w:rsidR="00647547" w:rsidRPr="00B34C0B">
        <w:rPr>
          <w:rFonts w:ascii="Book Antiqua" w:hAnsi="Book Antiqua" w:cs="Times New Roman"/>
          <w:sz w:val="24"/>
          <w:szCs w:val="24"/>
        </w:rPr>
        <w:t xml:space="preserve">point </w:t>
      </w:r>
      <w:r w:rsidR="00F877CA" w:rsidRPr="00B34C0B">
        <w:rPr>
          <w:rFonts w:ascii="Book Antiqua" w:hAnsi="Book Antiqua" w:cs="Times New Roman"/>
          <w:sz w:val="24"/>
          <w:szCs w:val="24"/>
        </w:rPr>
        <w:t>e</w:t>
      </w:r>
      <w:r w:rsidR="00780682" w:rsidRPr="00B34C0B">
        <w:rPr>
          <w:rFonts w:ascii="Book Antiqua" w:hAnsi="Book Antiqua" w:cs="Times New Roman"/>
          <w:sz w:val="24"/>
          <w:szCs w:val="24"/>
        </w:rPr>
        <w:t xml:space="preserve">ntre les </w:t>
      </w:r>
      <w:r w:rsidR="004D3E03" w:rsidRPr="00B34C0B">
        <w:rPr>
          <w:rFonts w:ascii="Book Antiqua" w:hAnsi="Book Antiqua" w:cs="Times New Roman"/>
          <w:sz w:val="24"/>
          <w:szCs w:val="24"/>
        </w:rPr>
        <w:t>premiers</w:t>
      </w:r>
      <w:r w:rsidR="00780682" w:rsidRPr="00EB5A99">
        <w:rPr>
          <w:rFonts w:ascii="Book Antiqua" w:hAnsi="Book Antiqua" w:cs="Times New Roman"/>
          <w:sz w:val="24"/>
          <w:szCs w:val="24"/>
        </w:rPr>
        <w:t xml:space="preserve"> trimestres de 20</w:t>
      </w:r>
      <w:r w:rsidR="00DF2FF2" w:rsidRPr="00EB5A99">
        <w:rPr>
          <w:rFonts w:ascii="Book Antiqua" w:hAnsi="Book Antiqua" w:cs="Times New Roman"/>
          <w:sz w:val="24"/>
          <w:szCs w:val="24"/>
        </w:rPr>
        <w:t>22</w:t>
      </w:r>
      <w:r w:rsidR="00780682" w:rsidRPr="00EB5A99">
        <w:rPr>
          <w:rFonts w:ascii="Book Antiqua" w:hAnsi="Book Antiqua" w:cs="Times New Roman"/>
          <w:sz w:val="24"/>
          <w:szCs w:val="24"/>
        </w:rPr>
        <w:t xml:space="preserve"> et de 202</w:t>
      </w:r>
      <w:r w:rsidR="00DF2FF2" w:rsidRPr="00EB5A99">
        <w:rPr>
          <w:rFonts w:ascii="Book Antiqua" w:hAnsi="Book Antiqua" w:cs="Times New Roman"/>
          <w:sz w:val="24"/>
          <w:szCs w:val="24"/>
        </w:rPr>
        <w:t>3</w:t>
      </w:r>
      <w:r w:rsidR="00647547" w:rsidRPr="00EB5A99">
        <w:rPr>
          <w:rFonts w:ascii="Book Antiqua" w:hAnsi="Book Antiqua" w:cs="Times New Roman"/>
          <w:sz w:val="24"/>
          <w:szCs w:val="24"/>
        </w:rPr>
        <w:t xml:space="preserve">, passant de </w:t>
      </w:r>
      <w:r w:rsidR="00DF2FF2" w:rsidRPr="00EB5A99">
        <w:rPr>
          <w:rFonts w:ascii="Book Antiqua" w:hAnsi="Book Antiqua" w:cs="Times New Roman"/>
          <w:sz w:val="24"/>
          <w:szCs w:val="24"/>
        </w:rPr>
        <w:t>12</w:t>
      </w:r>
      <w:r w:rsidR="00647547" w:rsidRPr="00EB5A99">
        <w:rPr>
          <w:rFonts w:ascii="Book Antiqua" w:hAnsi="Book Antiqua" w:cs="Times New Roman"/>
          <w:sz w:val="24"/>
          <w:szCs w:val="24"/>
        </w:rPr>
        <w:t>,1% à 12,</w:t>
      </w:r>
      <w:r w:rsidR="00DF2FF2" w:rsidRPr="00EB5A99">
        <w:rPr>
          <w:rFonts w:ascii="Book Antiqua" w:hAnsi="Book Antiqua" w:cs="Times New Roman"/>
          <w:sz w:val="24"/>
          <w:szCs w:val="24"/>
        </w:rPr>
        <w:t>9%, de 16,3% à 17,1% en milieu urbain et de 5,1% à 5,7% en milieu rural.</w:t>
      </w:r>
    </w:p>
    <w:p w:rsidR="00BD026B" w:rsidRDefault="00DC5BEF" w:rsidP="006255A6">
      <w:pPr>
        <w:spacing w:line="276" w:lineRule="auto"/>
        <w:jc w:val="both"/>
        <w:rPr>
          <w:rFonts w:ascii="Book Antiqua" w:hAnsi="Book Antiqua" w:cs="Times New Roman"/>
          <w:sz w:val="24"/>
          <w:szCs w:val="24"/>
        </w:rPr>
      </w:pPr>
      <w:r w:rsidRPr="00EB5A99">
        <w:rPr>
          <w:rFonts w:ascii="Book Antiqua" w:hAnsi="Book Antiqua" w:cs="Times New Roman"/>
          <w:sz w:val="24"/>
          <w:szCs w:val="24"/>
        </w:rPr>
        <w:t xml:space="preserve">Il a également enregistré une hausse </w:t>
      </w:r>
      <w:r w:rsidR="00DF2FF2" w:rsidRPr="00EB5A99">
        <w:rPr>
          <w:rFonts w:ascii="Book Antiqua" w:hAnsi="Book Antiqua" w:cs="Times New Roman"/>
          <w:sz w:val="24"/>
          <w:szCs w:val="24"/>
        </w:rPr>
        <w:t xml:space="preserve">aussi bien </w:t>
      </w:r>
      <w:r w:rsidRPr="00EB5A99">
        <w:rPr>
          <w:rFonts w:ascii="Book Antiqua" w:hAnsi="Book Antiqua" w:cs="Times New Roman"/>
          <w:sz w:val="24"/>
          <w:szCs w:val="24"/>
        </w:rPr>
        <w:t xml:space="preserve">parmi les hommes, de </w:t>
      </w:r>
      <w:r w:rsidR="00DF2FF2" w:rsidRPr="00EB5A99">
        <w:rPr>
          <w:rFonts w:ascii="Book Antiqua" w:hAnsi="Book Antiqua" w:cs="Times New Roman"/>
          <w:sz w:val="24"/>
          <w:szCs w:val="24"/>
        </w:rPr>
        <w:t>10,5% à 11,5</w:t>
      </w:r>
      <w:r w:rsidRPr="00EB5A99">
        <w:rPr>
          <w:rFonts w:ascii="Book Antiqua" w:hAnsi="Book Antiqua" w:cs="Times New Roman"/>
          <w:sz w:val="24"/>
          <w:szCs w:val="24"/>
        </w:rPr>
        <w:t xml:space="preserve">% </w:t>
      </w:r>
      <w:r w:rsidR="00DF2FF2" w:rsidRPr="00EB5A99">
        <w:rPr>
          <w:rFonts w:ascii="Book Antiqua" w:hAnsi="Book Antiqua" w:cs="Times New Roman"/>
          <w:sz w:val="24"/>
          <w:szCs w:val="24"/>
        </w:rPr>
        <w:t>que parmi les femmes, de 17,3% à 18,1</w:t>
      </w:r>
      <w:r w:rsidRPr="00EB5A99">
        <w:rPr>
          <w:rFonts w:ascii="Book Antiqua" w:hAnsi="Book Antiqua" w:cs="Times New Roman"/>
          <w:sz w:val="24"/>
          <w:szCs w:val="24"/>
        </w:rPr>
        <w:t xml:space="preserve">%. </w:t>
      </w:r>
      <w:r w:rsidR="001631E7" w:rsidRPr="00EB5A99">
        <w:rPr>
          <w:rFonts w:ascii="Book Antiqua" w:hAnsi="Book Antiqua" w:cs="Times New Roman"/>
          <w:sz w:val="24"/>
          <w:szCs w:val="24"/>
        </w:rPr>
        <w:t>Il a connu une forte hausse</w:t>
      </w:r>
      <w:r w:rsidR="004805D0">
        <w:rPr>
          <w:rFonts w:ascii="Book Antiqua" w:hAnsi="Book Antiqua" w:cs="Times New Roman"/>
          <w:sz w:val="24"/>
          <w:szCs w:val="24"/>
        </w:rPr>
        <w:t xml:space="preserve"> </w:t>
      </w:r>
      <w:r w:rsidR="001631E7" w:rsidRPr="00EB5A99">
        <w:rPr>
          <w:rFonts w:ascii="Book Antiqua" w:hAnsi="Book Antiqua" w:cs="Times New Roman"/>
          <w:sz w:val="24"/>
          <w:szCs w:val="24"/>
        </w:rPr>
        <w:t>de</w:t>
      </w:r>
      <w:r w:rsidR="004805D0">
        <w:rPr>
          <w:rFonts w:ascii="Book Antiqua" w:hAnsi="Book Antiqua" w:cs="Times New Roman"/>
          <w:sz w:val="24"/>
          <w:szCs w:val="24"/>
        </w:rPr>
        <w:t xml:space="preserve"> </w:t>
      </w:r>
      <w:r w:rsidR="001631E7" w:rsidRPr="00EB5A99">
        <w:rPr>
          <w:rFonts w:ascii="Book Antiqua" w:hAnsi="Book Antiqua" w:cs="Times New Roman"/>
          <w:sz w:val="24"/>
          <w:szCs w:val="24"/>
        </w:rPr>
        <w:t>1,</w:t>
      </w:r>
      <w:r w:rsidR="00DF2FF2" w:rsidRPr="00EB5A99">
        <w:rPr>
          <w:rFonts w:ascii="Book Antiqua" w:hAnsi="Book Antiqua" w:cs="Times New Roman"/>
          <w:sz w:val="24"/>
          <w:szCs w:val="24"/>
        </w:rPr>
        <w:t>9</w:t>
      </w:r>
      <w:r w:rsidR="001631E7" w:rsidRPr="00EB5A99">
        <w:rPr>
          <w:rFonts w:ascii="Book Antiqua" w:hAnsi="Book Antiqua" w:cs="Times New Roman"/>
          <w:sz w:val="24"/>
          <w:szCs w:val="24"/>
        </w:rPr>
        <w:t xml:space="preserve"> point parmi les jeunes âgés de 15 à 24 ans</w:t>
      </w:r>
      <w:r w:rsidR="00196401" w:rsidRPr="00EB5A99">
        <w:rPr>
          <w:rFonts w:ascii="Book Antiqua" w:hAnsi="Book Antiqua" w:cs="Times New Roman"/>
          <w:sz w:val="24"/>
          <w:szCs w:val="24"/>
        </w:rPr>
        <w:t xml:space="preserve">, passant de 33,4% à 35,3% et parmi </w:t>
      </w:r>
      <w:r w:rsidR="00196401" w:rsidRPr="00B34C0B">
        <w:rPr>
          <w:rFonts w:ascii="Book Antiqua" w:hAnsi="Book Antiqua" w:cs="Times New Roman"/>
          <w:sz w:val="24"/>
          <w:szCs w:val="24"/>
        </w:rPr>
        <w:t xml:space="preserve">les </w:t>
      </w:r>
      <w:r w:rsidR="006255A6" w:rsidRPr="00B34C0B">
        <w:rPr>
          <w:rFonts w:ascii="Book Antiqua" w:hAnsi="Book Antiqua" w:cs="Times New Roman"/>
          <w:sz w:val="24"/>
          <w:szCs w:val="24"/>
        </w:rPr>
        <w:t>personnes</w:t>
      </w:r>
      <w:r w:rsidR="00196401" w:rsidRPr="00B34C0B">
        <w:rPr>
          <w:rFonts w:ascii="Book Antiqua" w:hAnsi="Book Antiqua" w:cs="Times New Roman"/>
          <w:sz w:val="24"/>
          <w:szCs w:val="24"/>
        </w:rPr>
        <w:t xml:space="preserve"> âgé</w:t>
      </w:r>
      <w:r w:rsidR="004805D0">
        <w:rPr>
          <w:rFonts w:ascii="Book Antiqua" w:hAnsi="Book Antiqua" w:cs="Times New Roman"/>
          <w:sz w:val="24"/>
          <w:szCs w:val="24"/>
        </w:rPr>
        <w:t>e</w:t>
      </w:r>
      <w:r w:rsidR="00196401" w:rsidRPr="00B34C0B">
        <w:rPr>
          <w:rFonts w:ascii="Book Antiqua" w:hAnsi="Book Antiqua" w:cs="Times New Roman"/>
          <w:sz w:val="24"/>
          <w:szCs w:val="24"/>
        </w:rPr>
        <w:t>s de 25 à 35 ans, de 19,2% à 20,9%</w:t>
      </w:r>
      <w:r w:rsidR="006255A6" w:rsidRPr="00B34C0B">
        <w:rPr>
          <w:rFonts w:ascii="Book Antiqua" w:hAnsi="Book Antiqua" w:cs="Times New Roman"/>
          <w:sz w:val="24"/>
          <w:szCs w:val="24"/>
        </w:rPr>
        <w:t xml:space="preserve"> (+1,7 point)</w:t>
      </w:r>
      <w:r w:rsidR="00196401" w:rsidRPr="00B34C0B">
        <w:rPr>
          <w:rFonts w:ascii="Book Antiqua" w:hAnsi="Book Antiqua" w:cs="Times New Roman"/>
          <w:sz w:val="24"/>
          <w:szCs w:val="24"/>
        </w:rPr>
        <w:t>.</w:t>
      </w:r>
    </w:p>
    <w:p w:rsidR="00207292" w:rsidRDefault="00207292" w:rsidP="006255A6">
      <w:pPr>
        <w:spacing w:after="0" w:line="240" w:lineRule="auto"/>
        <w:jc w:val="center"/>
        <w:rPr>
          <w:rFonts w:ascii="Book Antiqua" w:hAnsi="Book Antiqua" w:cs="Times New Roman"/>
          <w:b/>
          <w:bCs/>
          <w:sz w:val="20"/>
          <w:szCs w:val="20"/>
        </w:rPr>
      </w:pPr>
    </w:p>
    <w:p w:rsidR="00207292" w:rsidRDefault="00207292" w:rsidP="006255A6">
      <w:pPr>
        <w:spacing w:after="0" w:line="240" w:lineRule="auto"/>
        <w:jc w:val="center"/>
        <w:rPr>
          <w:rFonts w:ascii="Book Antiqua" w:hAnsi="Book Antiqua" w:cs="Times New Roman"/>
          <w:b/>
          <w:bCs/>
          <w:sz w:val="20"/>
          <w:szCs w:val="20"/>
        </w:rPr>
      </w:pPr>
    </w:p>
    <w:p w:rsidR="00207292" w:rsidRDefault="00207292" w:rsidP="006255A6">
      <w:pPr>
        <w:spacing w:after="0" w:line="240" w:lineRule="auto"/>
        <w:jc w:val="center"/>
        <w:rPr>
          <w:rFonts w:ascii="Book Antiqua" w:hAnsi="Book Antiqua" w:cs="Times New Roman"/>
          <w:b/>
          <w:bCs/>
          <w:sz w:val="20"/>
          <w:szCs w:val="20"/>
        </w:rPr>
      </w:pPr>
    </w:p>
    <w:p w:rsidR="00207292" w:rsidRDefault="00207292" w:rsidP="006255A6">
      <w:pPr>
        <w:spacing w:after="0" w:line="240" w:lineRule="auto"/>
        <w:jc w:val="center"/>
        <w:rPr>
          <w:rFonts w:ascii="Book Antiqua" w:hAnsi="Book Antiqua" w:cs="Times New Roman"/>
          <w:b/>
          <w:bCs/>
          <w:sz w:val="20"/>
          <w:szCs w:val="20"/>
        </w:rPr>
      </w:pPr>
    </w:p>
    <w:p w:rsidR="00647547" w:rsidRDefault="00647547" w:rsidP="006255A6">
      <w:pPr>
        <w:spacing w:after="0" w:line="240" w:lineRule="auto"/>
        <w:jc w:val="center"/>
        <w:rPr>
          <w:rFonts w:ascii="Book Antiqua" w:hAnsi="Book Antiqua" w:cs="Times New Roman"/>
          <w:b/>
          <w:bCs/>
          <w:sz w:val="20"/>
          <w:szCs w:val="20"/>
        </w:rPr>
      </w:pPr>
      <w:r w:rsidRPr="00EB5A99">
        <w:rPr>
          <w:rFonts w:ascii="Book Antiqua" w:hAnsi="Book Antiqua" w:cs="Times New Roman"/>
          <w:b/>
          <w:bCs/>
          <w:sz w:val="20"/>
          <w:szCs w:val="20"/>
        </w:rPr>
        <w:lastRenderedPageBreak/>
        <w:t xml:space="preserve">Figure </w:t>
      </w:r>
      <w:r w:rsidR="00461C49">
        <w:rPr>
          <w:rFonts w:ascii="Book Antiqua" w:hAnsi="Book Antiqua" w:cs="Times New Roman"/>
          <w:b/>
          <w:bCs/>
          <w:sz w:val="20"/>
          <w:szCs w:val="20"/>
        </w:rPr>
        <w:t>2</w:t>
      </w:r>
      <w:r w:rsidR="008753C0" w:rsidRPr="00EB5A99">
        <w:rPr>
          <w:rFonts w:ascii="Book Antiqua" w:hAnsi="Book Antiqua" w:cs="Times New Roman"/>
          <w:b/>
          <w:bCs/>
          <w:sz w:val="20"/>
          <w:szCs w:val="20"/>
        </w:rPr>
        <w:t xml:space="preserve">. </w:t>
      </w:r>
      <w:r w:rsidRPr="00EB5A99">
        <w:rPr>
          <w:rFonts w:ascii="Book Antiqua" w:hAnsi="Book Antiqua" w:cs="Times New Roman"/>
          <w:b/>
          <w:bCs/>
          <w:sz w:val="20"/>
          <w:szCs w:val="20"/>
        </w:rPr>
        <w:t xml:space="preserve">Evolution du taux de chômage entre </w:t>
      </w:r>
      <w:r w:rsidR="006A1A4A" w:rsidRPr="00EB5A99">
        <w:rPr>
          <w:rFonts w:ascii="Book Antiqua" w:hAnsi="Book Antiqua" w:cs="Times New Roman"/>
          <w:b/>
          <w:bCs/>
          <w:sz w:val="20"/>
          <w:szCs w:val="20"/>
        </w:rPr>
        <w:t xml:space="preserve">le </w:t>
      </w:r>
      <w:r w:rsidR="006255A6" w:rsidRPr="00B34C0B">
        <w:rPr>
          <w:rFonts w:ascii="Book Antiqua" w:hAnsi="Book Antiqua" w:cs="Times New Roman"/>
          <w:b/>
          <w:bCs/>
          <w:sz w:val="20"/>
          <w:szCs w:val="20"/>
        </w:rPr>
        <w:t>premier</w:t>
      </w:r>
      <w:r w:rsidR="006A1A4A" w:rsidRPr="00B34C0B">
        <w:rPr>
          <w:rFonts w:ascii="Book Antiqua" w:hAnsi="Book Antiqua" w:cs="Times New Roman"/>
          <w:b/>
          <w:bCs/>
          <w:sz w:val="20"/>
          <w:szCs w:val="20"/>
        </w:rPr>
        <w:t xml:space="preserve"> trimestre de 2022 et </w:t>
      </w:r>
      <w:r w:rsidR="006255A6" w:rsidRPr="00B34C0B">
        <w:rPr>
          <w:rFonts w:ascii="Book Antiqua" w:hAnsi="Book Antiqua" w:cs="Times New Roman"/>
          <w:b/>
          <w:bCs/>
          <w:sz w:val="20"/>
          <w:szCs w:val="20"/>
        </w:rPr>
        <w:t xml:space="preserve">celui </w:t>
      </w:r>
      <w:r w:rsidR="006A1A4A" w:rsidRPr="00B34C0B">
        <w:rPr>
          <w:rFonts w:ascii="Book Antiqua" w:hAnsi="Book Antiqua" w:cs="Times New Roman"/>
          <w:b/>
          <w:bCs/>
          <w:sz w:val="20"/>
          <w:szCs w:val="20"/>
        </w:rPr>
        <w:t>de</w:t>
      </w:r>
      <w:r w:rsidR="006A1A4A" w:rsidRPr="00EB5A99">
        <w:rPr>
          <w:rFonts w:ascii="Book Antiqua" w:hAnsi="Book Antiqua" w:cs="Times New Roman"/>
          <w:b/>
          <w:bCs/>
          <w:sz w:val="20"/>
          <w:szCs w:val="20"/>
        </w:rPr>
        <w:t xml:space="preserve"> 2023</w:t>
      </w:r>
      <w:r w:rsidRPr="00EB5A99">
        <w:rPr>
          <w:rFonts w:ascii="Book Antiqua" w:hAnsi="Book Antiqua" w:cs="Times New Roman"/>
          <w:b/>
          <w:bCs/>
          <w:sz w:val="20"/>
          <w:szCs w:val="20"/>
        </w:rPr>
        <w:t xml:space="preserve"> pour certaines cat</w:t>
      </w:r>
      <w:r w:rsidR="001561CA" w:rsidRPr="00EB5A99">
        <w:rPr>
          <w:rFonts w:ascii="Book Antiqua" w:hAnsi="Book Antiqua" w:cs="Times New Roman"/>
          <w:b/>
          <w:bCs/>
          <w:sz w:val="20"/>
          <w:szCs w:val="20"/>
        </w:rPr>
        <w:t>égories de la population (en %)</w:t>
      </w:r>
    </w:p>
    <w:p w:rsidR="008D44C3" w:rsidRPr="0016011E" w:rsidRDefault="008D44C3" w:rsidP="001561CA">
      <w:pPr>
        <w:spacing w:after="0" w:line="240" w:lineRule="auto"/>
        <w:jc w:val="center"/>
        <w:rPr>
          <w:rFonts w:ascii="Book Antiqua" w:hAnsi="Book Antiqua" w:cs="Times New Roman"/>
          <w:b/>
          <w:bCs/>
          <w:sz w:val="20"/>
          <w:szCs w:val="20"/>
        </w:rPr>
      </w:pPr>
      <w:r w:rsidRPr="008D44C3">
        <w:rPr>
          <w:rFonts w:ascii="Book Antiqua" w:hAnsi="Book Antiqua" w:cs="Times New Roman"/>
          <w:b/>
          <w:bCs/>
          <w:noProof/>
          <w:sz w:val="20"/>
          <w:szCs w:val="20"/>
          <w:lang w:eastAsia="fr-FR"/>
        </w:rPr>
        <w:drawing>
          <wp:inline distT="0" distB="0" distL="0" distR="0">
            <wp:extent cx="5289550" cy="2419350"/>
            <wp:effectExtent l="0" t="0" r="6350" b="0"/>
            <wp:docPr id="7"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65A3" w:rsidRPr="00EB5A99" w:rsidRDefault="001631E7" w:rsidP="00FB4D04">
      <w:pPr>
        <w:autoSpaceDE w:val="0"/>
        <w:autoSpaceDN w:val="0"/>
        <w:adjustRightInd w:val="0"/>
        <w:spacing w:after="120" w:line="276" w:lineRule="auto"/>
        <w:jc w:val="both"/>
        <w:rPr>
          <w:rFonts w:ascii="Book Antiqua" w:hAnsi="Book Antiqua" w:cs="Times New Roman"/>
          <w:sz w:val="24"/>
          <w:szCs w:val="24"/>
        </w:rPr>
      </w:pPr>
      <w:r w:rsidRPr="00EB5A99">
        <w:rPr>
          <w:rFonts w:ascii="Book Antiqua" w:hAnsi="Book Antiqua" w:cs="Times New Roman"/>
          <w:sz w:val="24"/>
          <w:szCs w:val="24"/>
        </w:rPr>
        <w:t xml:space="preserve">Le taux de chômage des diplômés </w:t>
      </w:r>
      <w:r w:rsidR="00C85203" w:rsidRPr="00EB5A99">
        <w:rPr>
          <w:rFonts w:ascii="Book Antiqua" w:hAnsi="Book Antiqua" w:cs="Times New Roman"/>
          <w:sz w:val="24"/>
          <w:szCs w:val="24"/>
        </w:rPr>
        <w:t>a, de</w:t>
      </w:r>
      <w:r w:rsidRPr="00EB5A99">
        <w:rPr>
          <w:rFonts w:ascii="Book Antiqua" w:hAnsi="Book Antiqua" w:cs="Times New Roman"/>
          <w:sz w:val="24"/>
          <w:szCs w:val="24"/>
        </w:rPr>
        <w:t xml:space="preserve"> son côté, enregistré une hausse de </w:t>
      </w:r>
      <w:r w:rsidR="00196401" w:rsidRPr="00EB5A99">
        <w:rPr>
          <w:rFonts w:ascii="Book Antiqua" w:hAnsi="Book Antiqua" w:cs="Times New Roman"/>
          <w:sz w:val="24"/>
          <w:szCs w:val="24"/>
        </w:rPr>
        <w:t>0,9</w:t>
      </w:r>
      <w:r w:rsidRPr="00EB5A99">
        <w:rPr>
          <w:rFonts w:ascii="Book Antiqua" w:hAnsi="Book Antiqua" w:cs="Times New Roman"/>
          <w:sz w:val="24"/>
          <w:szCs w:val="24"/>
        </w:rPr>
        <w:t xml:space="preserve"> point</w:t>
      </w:r>
      <w:r w:rsidR="00196401" w:rsidRPr="00EB5A99">
        <w:rPr>
          <w:rFonts w:ascii="Book Antiqua" w:hAnsi="Book Antiqua" w:cs="Times New Roman"/>
          <w:sz w:val="24"/>
          <w:szCs w:val="24"/>
        </w:rPr>
        <w:t>, passant de 18,9% à 19,8</w:t>
      </w:r>
      <w:r w:rsidRPr="00EB5A99">
        <w:rPr>
          <w:rFonts w:ascii="Book Antiqua" w:hAnsi="Book Antiqua" w:cs="Times New Roman"/>
          <w:sz w:val="24"/>
          <w:szCs w:val="24"/>
        </w:rPr>
        <w:t xml:space="preserve">%. Cette hausse </w:t>
      </w:r>
      <w:r w:rsidR="00647547" w:rsidRPr="00EB5A99">
        <w:rPr>
          <w:rFonts w:ascii="Book Antiqua" w:hAnsi="Book Antiqua" w:cs="Times New Roman"/>
          <w:sz w:val="24"/>
          <w:szCs w:val="24"/>
        </w:rPr>
        <w:t xml:space="preserve">est plus prononcée parmi les détenteurs de </w:t>
      </w:r>
      <w:r w:rsidR="00FB4D04">
        <w:rPr>
          <w:rFonts w:ascii="Book Antiqua" w:hAnsi="Book Antiqua" w:cs="Times New Roman"/>
          <w:sz w:val="24"/>
          <w:szCs w:val="24"/>
        </w:rPr>
        <w:t>d</w:t>
      </w:r>
      <w:r w:rsidR="008F65A3" w:rsidRPr="00EB5A99">
        <w:rPr>
          <w:rFonts w:ascii="Book Antiqua" w:hAnsi="Book Antiqua" w:cs="Times New Roman"/>
          <w:sz w:val="24"/>
          <w:szCs w:val="24"/>
        </w:rPr>
        <w:t xml:space="preserve">iplômes et certificats de l'enseignement primaire et secondaire collégial </w:t>
      </w:r>
      <w:r w:rsidR="00647547" w:rsidRPr="00EB5A99">
        <w:rPr>
          <w:rFonts w:ascii="Book Antiqua" w:hAnsi="Book Antiqua" w:cs="Times New Roman"/>
          <w:sz w:val="24"/>
          <w:szCs w:val="24"/>
        </w:rPr>
        <w:t>(+</w:t>
      </w:r>
      <w:r w:rsidR="008F65A3" w:rsidRPr="00EB5A99">
        <w:rPr>
          <w:rFonts w:ascii="Book Antiqua" w:hAnsi="Book Antiqua" w:cs="Times New Roman"/>
          <w:sz w:val="24"/>
          <w:szCs w:val="24"/>
        </w:rPr>
        <w:t xml:space="preserve">2,2 </w:t>
      </w:r>
      <w:r w:rsidR="00647547" w:rsidRPr="00EB5A99">
        <w:rPr>
          <w:rFonts w:ascii="Book Antiqua" w:hAnsi="Book Antiqua" w:cs="Times New Roman"/>
          <w:sz w:val="24"/>
          <w:szCs w:val="24"/>
        </w:rPr>
        <w:t>points</w:t>
      </w:r>
      <w:r w:rsidRPr="00EB5A99">
        <w:rPr>
          <w:rFonts w:ascii="Book Antiqua" w:hAnsi="Book Antiqua" w:cs="Times New Roman"/>
          <w:sz w:val="24"/>
          <w:szCs w:val="24"/>
        </w:rPr>
        <w:t xml:space="preserve"> et un </w:t>
      </w:r>
      <w:r w:rsidR="00647547" w:rsidRPr="00EB5A99">
        <w:rPr>
          <w:rFonts w:ascii="Book Antiqua" w:hAnsi="Book Antiqua" w:cs="Times New Roman"/>
          <w:sz w:val="24"/>
          <w:szCs w:val="24"/>
        </w:rPr>
        <w:t xml:space="preserve">taux de </w:t>
      </w:r>
      <w:r w:rsidR="008F65A3" w:rsidRPr="00EB5A99">
        <w:rPr>
          <w:rFonts w:ascii="Book Antiqua" w:hAnsi="Book Antiqua" w:cs="Times New Roman"/>
          <w:sz w:val="24"/>
          <w:szCs w:val="24"/>
        </w:rPr>
        <w:t>15,2</w:t>
      </w:r>
      <w:r w:rsidR="00647547" w:rsidRPr="00EB5A99">
        <w:rPr>
          <w:rFonts w:ascii="Book Antiqua" w:hAnsi="Book Antiqua" w:cs="Times New Roman"/>
          <w:sz w:val="24"/>
          <w:szCs w:val="24"/>
        </w:rPr>
        <w:t>%</w:t>
      </w:r>
      <w:r w:rsidR="00E00FAF" w:rsidRPr="00EB5A99">
        <w:rPr>
          <w:rFonts w:ascii="Book Antiqua" w:hAnsi="Book Antiqua" w:cs="Times New Roman"/>
          <w:sz w:val="24"/>
          <w:szCs w:val="24"/>
        </w:rPr>
        <w:t xml:space="preserve">), </w:t>
      </w:r>
      <w:r w:rsidR="004805D0">
        <w:rPr>
          <w:rFonts w:ascii="Book Antiqua" w:hAnsi="Book Antiqua" w:cs="Times New Roman"/>
          <w:sz w:val="24"/>
          <w:szCs w:val="24"/>
        </w:rPr>
        <w:t>et de</w:t>
      </w:r>
      <w:r w:rsidR="00FB4D04">
        <w:rPr>
          <w:rFonts w:ascii="Book Antiqua" w:hAnsi="Book Antiqua" w:cs="Times New Roman"/>
          <w:sz w:val="24"/>
          <w:szCs w:val="24"/>
        </w:rPr>
        <w:t xml:space="preserve"> d</w:t>
      </w:r>
      <w:r w:rsidR="008F65A3" w:rsidRPr="00EB5A99">
        <w:rPr>
          <w:rFonts w:ascii="Book Antiqua" w:hAnsi="Book Antiqua" w:cs="Times New Roman"/>
          <w:sz w:val="24"/>
          <w:szCs w:val="24"/>
        </w:rPr>
        <w:t>iplômes de l'enseignement secondaire qualifiant (+1,1</w:t>
      </w:r>
      <w:r w:rsidR="00647547" w:rsidRPr="00EB5A99">
        <w:rPr>
          <w:rFonts w:ascii="Book Antiqua" w:hAnsi="Book Antiqua" w:cs="Times New Roman"/>
          <w:sz w:val="24"/>
          <w:szCs w:val="24"/>
        </w:rPr>
        <w:t xml:space="preserve"> point</w:t>
      </w:r>
      <w:r w:rsidRPr="00EB5A99">
        <w:rPr>
          <w:rFonts w:ascii="Book Antiqua" w:hAnsi="Book Antiqua" w:cs="Times New Roman"/>
          <w:sz w:val="24"/>
          <w:szCs w:val="24"/>
        </w:rPr>
        <w:t xml:space="preserve"> et un </w:t>
      </w:r>
      <w:r w:rsidR="00E00FAF" w:rsidRPr="00EB5A99">
        <w:rPr>
          <w:rFonts w:ascii="Book Antiqua" w:hAnsi="Book Antiqua" w:cs="Times New Roman"/>
          <w:sz w:val="24"/>
          <w:szCs w:val="24"/>
        </w:rPr>
        <w:t xml:space="preserve">taux de </w:t>
      </w:r>
      <w:r w:rsidR="000B688E" w:rsidRPr="00EB5A99">
        <w:rPr>
          <w:rFonts w:ascii="Book Antiqua" w:hAnsi="Book Antiqua" w:cs="Times New Roman"/>
          <w:sz w:val="24"/>
          <w:szCs w:val="24"/>
        </w:rPr>
        <w:t>22,6</w:t>
      </w:r>
      <w:r w:rsidR="00647547" w:rsidRPr="00EB5A99">
        <w:rPr>
          <w:rFonts w:ascii="Book Antiqua" w:hAnsi="Book Antiqua" w:cs="Times New Roman"/>
          <w:sz w:val="24"/>
          <w:szCs w:val="24"/>
        </w:rPr>
        <w:t>%</w:t>
      </w:r>
      <w:r w:rsidR="00E00FAF" w:rsidRPr="00EB5A99">
        <w:rPr>
          <w:rFonts w:ascii="Book Antiqua" w:hAnsi="Book Antiqua" w:cs="Times New Roman"/>
          <w:sz w:val="24"/>
          <w:szCs w:val="24"/>
        </w:rPr>
        <w:t>)</w:t>
      </w:r>
      <w:r w:rsidR="000B688E" w:rsidRPr="00EB5A99">
        <w:rPr>
          <w:rFonts w:ascii="Book Antiqua" w:hAnsi="Book Antiqua" w:cs="Times New Roman"/>
          <w:sz w:val="24"/>
          <w:szCs w:val="24"/>
        </w:rPr>
        <w:t>.</w:t>
      </w:r>
    </w:p>
    <w:p w:rsidR="008D1973" w:rsidRPr="007015E0" w:rsidRDefault="00DB2439" w:rsidP="000B688E">
      <w:pPr>
        <w:rPr>
          <w:rFonts w:ascii="Book Antiqua" w:eastAsiaTheme="majorEastAsia" w:hAnsi="Book Antiqua" w:cstheme="majorHAnsi"/>
          <w:b/>
          <w:bCs/>
          <w:i/>
          <w:iCs/>
          <w:color w:val="2E74B5" w:themeColor="accent5" w:themeShade="BF"/>
          <w:spacing w:val="-10"/>
          <w:kern w:val="28"/>
          <w:sz w:val="24"/>
          <w:szCs w:val="24"/>
        </w:rPr>
      </w:pPr>
      <w:r w:rsidRPr="007015E0">
        <w:rPr>
          <w:rFonts w:ascii="Book Antiqua" w:eastAsiaTheme="majorEastAsia" w:hAnsi="Book Antiqua" w:cstheme="majorHAnsi"/>
          <w:b/>
          <w:bCs/>
          <w:i/>
          <w:iCs/>
          <w:color w:val="2E74B5" w:themeColor="accent5" w:themeShade="BF"/>
          <w:spacing w:val="-10"/>
          <w:kern w:val="28"/>
          <w:sz w:val="24"/>
          <w:szCs w:val="24"/>
        </w:rPr>
        <w:t>A</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ugmentation </w:t>
      </w:r>
      <w:r w:rsidR="00E17A21" w:rsidRPr="007015E0">
        <w:rPr>
          <w:rFonts w:ascii="Book Antiqua" w:eastAsiaTheme="majorEastAsia" w:hAnsi="Book Antiqua" w:cstheme="majorHAnsi"/>
          <w:b/>
          <w:bCs/>
          <w:i/>
          <w:iCs/>
          <w:color w:val="2E74B5" w:themeColor="accent5" w:themeShade="BF"/>
          <w:spacing w:val="-10"/>
          <w:kern w:val="28"/>
          <w:sz w:val="24"/>
          <w:szCs w:val="24"/>
        </w:rPr>
        <w:t>du</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 sous-emploi </w:t>
      </w:r>
    </w:p>
    <w:p w:rsidR="001D5675" w:rsidRPr="00EB5A99" w:rsidRDefault="008D1973" w:rsidP="00196401">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 xml:space="preserve">Le volume des actifs occupés en situation de sous-emploi a augmenté de </w:t>
      </w:r>
      <w:r w:rsidR="00196401" w:rsidRPr="00EB5A99">
        <w:rPr>
          <w:rFonts w:ascii="Book Antiqua" w:hAnsi="Book Antiqua" w:cs="Times New Roman"/>
          <w:sz w:val="24"/>
          <w:szCs w:val="24"/>
        </w:rPr>
        <w:t>88</w:t>
      </w:r>
      <w:r w:rsidRPr="00EB5A99">
        <w:rPr>
          <w:rFonts w:ascii="Book Antiqua" w:hAnsi="Book Antiqua" w:cs="Times New Roman"/>
          <w:sz w:val="24"/>
          <w:szCs w:val="24"/>
        </w:rPr>
        <w:t xml:space="preserve">.000 personnes, entre le </w:t>
      </w:r>
      <w:r w:rsidR="00196401" w:rsidRPr="00EB5A99">
        <w:rPr>
          <w:rFonts w:ascii="Book Antiqua" w:hAnsi="Book Antiqua" w:cs="Times New Roman"/>
          <w:sz w:val="24"/>
          <w:szCs w:val="24"/>
        </w:rPr>
        <w:t>premier</w:t>
      </w:r>
      <w:r w:rsidR="001D5675" w:rsidRPr="00EB5A99">
        <w:rPr>
          <w:rFonts w:ascii="Book Antiqua" w:hAnsi="Book Antiqua" w:cs="Times New Roman"/>
          <w:sz w:val="24"/>
          <w:szCs w:val="24"/>
        </w:rPr>
        <w:t xml:space="preserve"> trimestre </w:t>
      </w:r>
      <w:r w:rsidRPr="00EB5A99">
        <w:rPr>
          <w:rFonts w:ascii="Book Antiqua" w:hAnsi="Book Antiqua" w:cs="Times New Roman"/>
          <w:sz w:val="24"/>
          <w:szCs w:val="24"/>
        </w:rPr>
        <w:t>de 20</w:t>
      </w:r>
      <w:r w:rsidR="00196401" w:rsidRPr="00EB5A99">
        <w:rPr>
          <w:rFonts w:ascii="Book Antiqua" w:hAnsi="Book Antiqua" w:cs="Times New Roman"/>
          <w:sz w:val="24"/>
          <w:szCs w:val="24"/>
        </w:rPr>
        <w:t>22</w:t>
      </w:r>
      <w:r w:rsidRPr="00EB5A99">
        <w:rPr>
          <w:rFonts w:ascii="Book Antiqua" w:hAnsi="Book Antiqua" w:cs="Times New Roman"/>
          <w:sz w:val="24"/>
          <w:szCs w:val="24"/>
        </w:rPr>
        <w:t xml:space="preserve"> et la même période de 20</w:t>
      </w:r>
      <w:r w:rsidR="00196401" w:rsidRPr="00EB5A99">
        <w:rPr>
          <w:rFonts w:ascii="Book Antiqua" w:hAnsi="Book Antiqua" w:cs="Times New Roman"/>
          <w:sz w:val="24"/>
          <w:szCs w:val="24"/>
        </w:rPr>
        <w:t>23</w:t>
      </w:r>
      <w:r w:rsidRPr="00EB5A99">
        <w:rPr>
          <w:rFonts w:ascii="Book Antiqua" w:hAnsi="Book Antiqua" w:cs="Times New Roman"/>
          <w:sz w:val="24"/>
          <w:szCs w:val="24"/>
        </w:rPr>
        <w:t>,</w:t>
      </w:r>
      <w:r w:rsidR="00196401" w:rsidRPr="00EB5A99">
        <w:rPr>
          <w:rFonts w:ascii="Book Antiqua" w:hAnsi="Book Antiqua" w:cs="Times New Roman"/>
          <w:sz w:val="24"/>
          <w:szCs w:val="24"/>
        </w:rPr>
        <w:t xml:space="preserve"> passant de 987.000 à 1.075</w:t>
      </w:r>
      <w:r w:rsidRPr="00EB5A99">
        <w:rPr>
          <w:rFonts w:ascii="Book Antiqua" w:hAnsi="Book Antiqua" w:cs="Times New Roman"/>
          <w:sz w:val="24"/>
          <w:szCs w:val="24"/>
        </w:rPr>
        <w:t xml:space="preserve">.000 personnes au niveau national, de </w:t>
      </w:r>
      <w:r w:rsidR="00196401" w:rsidRPr="00EB5A99">
        <w:rPr>
          <w:rFonts w:ascii="Book Antiqua" w:hAnsi="Book Antiqua" w:cs="Times New Roman"/>
          <w:sz w:val="24"/>
          <w:szCs w:val="24"/>
        </w:rPr>
        <w:t>521</w:t>
      </w:r>
      <w:r w:rsidRPr="00EB5A99">
        <w:rPr>
          <w:rFonts w:ascii="Book Antiqua" w:hAnsi="Book Antiqua" w:cs="Times New Roman"/>
          <w:sz w:val="24"/>
          <w:szCs w:val="24"/>
        </w:rPr>
        <w:t xml:space="preserve">.000 à </w:t>
      </w:r>
      <w:r w:rsidR="00196401" w:rsidRPr="00EB5A99">
        <w:rPr>
          <w:rFonts w:ascii="Book Antiqua" w:hAnsi="Book Antiqua" w:cs="Times New Roman"/>
          <w:sz w:val="24"/>
          <w:szCs w:val="24"/>
        </w:rPr>
        <w:t>573</w:t>
      </w:r>
      <w:r w:rsidRPr="00EB5A99">
        <w:rPr>
          <w:rFonts w:ascii="Book Antiqua" w:hAnsi="Book Antiqua" w:cs="Times New Roman"/>
          <w:sz w:val="24"/>
          <w:szCs w:val="24"/>
        </w:rPr>
        <w:t xml:space="preserve">.000 personnes dans les villes et de </w:t>
      </w:r>
      <w:r w:rsidR="00196401" w:rsidRPr="00EB5A99">
        <w:rPr>
          <w:rFonts w:ascii="Book Antiqua" w:hAnsi="Book Antiqua" w:cs="Times New Roman"/>
          <w:sz w:val="24"/>
          <w:szCs w:val="24"/>
        </w:rPr>
        <w:t>466</w:t>
      </w:r>
      <w:r w:rsidRPr="00EB5A99">
        <w:rPr>
          <w:rFonts w:ascii="Book Antiqua" w:hAnsi="Book Antiqua" w:cs="Times New Roman"/>
          <w:sz w:val="24"/>
          <w:szCs w:val="24"/>
        </w:rPr>
        <w:t xml:space="preserve">.000 à </w:t>
      </w:r>
      <w:r w:rsidR="00196401" w:rsidRPr="00EB5A99">
        <w:rPr>
          <w:rFonts w:ascii="Book Antiqua" w:hAnsi="Book Antiqua" w:cs="Times New Roman"/>
          <w:sz w:val="24"/>
          <w:szCs w:val="24"/>
        </w:rPr>
        <w:t>502</w:t>
      </w:r>
      <w:r w:rsidRPr="00EB5A99">
        <w:rPr>
          <w:rFonts w:ascii="Book Antiqua" w:hAnsi="Book Antiqua" w:cs="Times New Roman"/>
          <w:sz w:val="24"/>
          <w:szCs w:val="24"/>
        </w:rPr>
        <w:t xml:space="preserve">.000 dans la campagne. </w:t>
      </w:r>
    </w:p>
    <w:p w:rsidR="008D1973" w:rsidRPr="00EB5A99" w:rsidRDefault="008D1973" w:rsidP="00196401">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Le taux de sous-emploi est ainsi passé de 9</w:t>
      </w:r>
      <w:r w:rsidR="00196401" w:rsidRPr="00EB5A99">
        <w:rPr>
          <w:rFonts w:ascii="Book Antiqua" w:hAnsi="Book Antiqua" w:cs="Times New Roman"/>
          <w:sz w:val="24"/>
          <w:szCs w:val="24"/>
        </w:rPr>
        <w:t>,2</w:t>
      </w:r>
      <w:r w:rsidRPr="00EB5A99">
        <w:rPr>
          <w:rFonts w:ascii="Book Antiqua" w:hAnsi="Book Antiqua" w:cs="Times New Roman"/>
          <w:sz w:val="24"/>
          <w:szCs w:val="24"/>
        </w:rPr>
        <w:t>% à 1</w:t>
      </w:r>
      <w:r w:rsidR="00196401" w:rsidRPr="00EB5A99">
        <w:rPr>
          <w:rFonts w:ascii="Book Antiqua" w:hAnsi="Book Antiqua" w:cs="Times New Roman"/>
          <w:sz w:val="24"/>
          <w:szCs w:val="24"/>
        </w:rPr>
        <w:t>0,</w:t>
      </w:r>
      <w:r w:rsidRPr="00EB5A99">
        <w:rPr>
          <w:rFonts w:ascii="Book Antiqua" w:hAnsi="Book Antiqua" w:cs="Times New Roman"/>
          <w:sz w:val="24"/>
          <w:szCs w:val="24"/>
        </w:rPr>
        <w:t xml:space="preserve">3% au niveau national, de </w:t>
      </w:r>
      <w:r w:rsidR="00196401" w:rsidRPr="00EB5A99">
        <w:rPr>
          <w:rFonts w:ascii="Book Antiqua" w:hAnsi="Book Antiqua" w:cs="Times New Roman"/>
          <w:sz w:val="24"/>
          <w:szCs w:val="24"/>
        </w:rPr>
        <w:t>8,3% à 9,1</w:t>
      </w:r>
      <w:r w:rsidRPr="00EB5A99">
        <w:rPr>
          <w:rFonts w:ascii="Book Antiqua" w:hAnsi="Book Antiqua" w:cs="Times New Roman"/>
          <w:sz w:val="24"/>
          <w:szCs w:val="24"/>
        </w:rPr>
        <w:t>% e</w:t>
      </w:r>
      <w:r w:rsidR="00196401" w:rsidRPr="00EB5A99">
        <w:rPr>
          <w:rFonts w:ascii="Book Antiqua" w:hAnsi="Book Antiqua" w:cs="Times New Roman"/>
          <w:sz w:val="24"/>
          <w:szCs w:val="24"/>
        </w:rPr>
        <w:t>n milieu urbain et de 10,6% à 12</w:t>
      </w:r>
      <w:r w:rsidRPr="00EB5A99">
        <w:rPr>
          <w:rFonts w:ascii="Book Antiqua" w:hAnsi="Book Antiqua" w:cs="Times New Roman"/>
          <w:sz w:val="24"/>
          <w:szCs w:val="24"/>
        </w:rPr>
        <w:t>,1% en milieu rural.</w:t>
      </w:r>
    </w:p>
    <w:p w:rsidR="008D1973" w:rsidRPr="00EB5A99" w:rsidRDefault="008D1973" w:rsidP="00015F97">
      <w:pPr>
        <w:autoSpaceDE w:val="0"/>
        <w:autoSpaceDN w:val="0"/>
        <w:adjustRightInd w:val="0"/>
        <w:spacing w:before="240" w:line="276" w:lineRule="auto"/>
        <w:jc w:val="both"/>
        <w:rPr>
          <w:rFonts w:ascii="Book Antiqua" w:hAnsi="Book Antiqua" w:cs="Times New Roman"/>
          <w:sz w:val="24"/>
          <w:szCs w:val="24"/>
        </w:rPr>
      </w:pPr>
      <w:r w:rsidRPr="00EB5A99">
        <w:rPr>
          <w:rFonts w:ascii="Book Antiqua" w:hAnsi="Book Antiqua" w:cs="Times New Roman"/>
          <w:sz w:val="24"/>
          <w:szCs w:val="24"/>
        </w:rPr>
        <w:t>S’agissant</w:t>
      </w:r>
      <w:r w:rsidR="00E17A21" w:rsidRPr="00EB5A99">
        <w:rPr>
          <w:rFonts w:ascii="Book Antiqua" w:hAnsi="Book Antiqua" w:cs="Times New Roman"/>
          <w:sz w:val="24"/>
          <w:szCs w:val="24"/>
        </w:rPr>
        <w:t xml:space="preserve"> d</w:t>
      </w:r>
      <w:r w:rsidR="006D6F75" w:rsidRPr="00EB5A99">
        <w:rPr>
          <w:rFonts w:ascii="Book Antiqua" w:hAnsi="Book Antiqua" w:cs="Times New Roman"/>
          <w:sz w:val="24"/>
          <w:szCs w:val="24"/>
        </w:rPr>
        <w:t>u volume d</w:t>
      </w:r>
      <w:r w:rsidR="00E17A21" w:rsidRPr="00EB5A99">
        <w:rPr>
          <w:rFonts w:ascii="Book Antiqua" w:hAnsi="Book Antiqua" w:cs="Times New Roman"/>
          <w:sz w:val="24"/>
          <w:szCs w:val="24"/>
        </w:rPr>
        <w:t>e</w:t>
      </w:r>
      <w:r w:rsidRPr="00EB5A99">
        <w:rPr>
          <w:rFonts w:ascii="Book Antiqua" w:hAnsi="Book Antiqua" w:cs="Times New Roman"/>
          <w:sz w:val="24"/>
          <w:szCs w:val="24"/>
        </w:rPr>
        <w:t xml:space="preserve"> la population active occupée </w:t>
      </w:r>
      <w:r w:rsidR="00015F97">
        <w:rPr>
          <w:rFonts w:ascii="Book Antiqua" w:hAnsi="Book Antiqua" w:cs="Times New Roman"/>
          <w:sz w:val="24"/>
          <w:szCs w:val="24"/>
        </w:rPr>
        <w:t xml:space="preserve">en situation de sous-emploi en termes de </w:t>
      </w:r>
      <w:r w:rsidRPr="00EB5A99">
        <w:rPr>
          <w:rFonts w:ascii="Book Antiqua" w:hAnsi="Book Antiqua" w:cs="Times New Roman"/>
          <w:sz w:val="24"/>
          <w:szCs w:val="24"/>
        </w:rPr>
        <w:t>nombre d’heures travaillées</w:t>
      </w:r>
      <w:r w:rsidR="001D5675" w:rsidRPr="00EB5A99">
        <w:rPr>
          <w:rFonts w:ascii="Book Antiqua" w:hAnsi="Book Antiqua" w:cs="Times New Roman"/>
          <w:sz w:val="24"/>
          <w:szCs w:val="24"/>
        </w:rPr>
        <w:t xml:space="preserve">, </w:t>
      </w:r>
      <w:r w:rsidR="006D6F75" w:rsidRPr="00EB5A99">
        <w:rPr>
          <w:rFonts w:ascii="Book Antiqua" w:hAnsi="Book Antiqua" w:cs="Times New Roman"/>
          <w:sz w:val="24"/>
          <w:szCs w:val="24"/>
        </w:rPr>
        <w:t xml:space="preserve">il </w:t>
      </w:r>
      <w:r w:rsidR="006A1A4A" w:rsidRPr="00EB5A99">
        <w:rPr>
          <w:rFonts w:ascii="Book Antiqua" w:hAnsi="Book Antiqua" w:cs="Times New Roman"/>
          <w:sz w:val="24"/>
          <w:szCs w:val="24"/>
        </w:rPr>
        <w:t>est passé d</w:t>
      </w:r>
      <w:r w:rsidRPr="00EB5A99">
        <w:rPr>
          <w:rFonts w:ascii="Book Antiqua" w:hAnsi="Book Antiqua" w:cs="Times New Roman"/>
          <w:sz w:val="24"/>
          <w:szCs w:val="24"/>
        </w:rPr>
        <w:t xml:space="preserve">e </w:t>
      </w:r>
      <w:r w:rsidR="006A1A4A" w:rsidRPr="00EB5A99">
        <w:rPr>
          <w:rFonts w:ascii="Book Antiqua" w:hAnsi="Book Antiqua" w:cs="Times New Roman"/>
          <w:sz w:val="24"/>
          <w:szCs w:val="24"/>
        </w:rPr>
        <w:t>485.000 à 513</w:t>
      </w:r>
      <w:r w:rsidRPr="00EB5A99">
        <w:rPr>
          <w:rFonts w:ascii="Book Antiqua" w:hAnsi="Book Antiqua" w:cs="Times New Roman"/>
          <w:sz w:val="24"/>
          <w:szCs w:val="24"/>
        </w:rPr>
        <w:t xml:space="preserve">.000 personnes au niveau </w:t>
      </w:r>
      <w:r w:rsidR="001817C2" w:rsidRPr="00EB5A99">
        <w:rPr>
          <w:rFonts w:ascii="Book Antiqua" w:hAnsi="Book Antiqua" w:cs="Times New Roman"/>
          <w:sz w:val="24"/>
          <w:szCs w:val="24"/>
        </w:rPr>
        <w:t xml:space="preserve">national. </w:t>
      </w:r>
      <w:r w:rsidRPr="00EB5A99">
        <w:rPr>
          <w:rFonts w:ascii="Book Antiqua" w:hAnsi="Book Antiqua" w:cs="Times New Roman"/>
          <w:sz w:val="24"/>
          <w:szCs w:val="24"/>
        </w:rPr>
        <w:t xml:space="preserve">Le taux correspondant </w:t>
      </w:r>
      <w:r w:rsidR="00015F97">
        <w:rPr>
          <w:rFonts w:ascii="Book Antiqua" w:hAnsi="Book Antiqua" w:cs="Times New Roman"/>
          <w:sz w:val="24"/>
          <w:szCs w:val="24"/>
        </w:rPr>
        <w:t>s’</w:t>
      </w:r>
      <w:r w:rsidR="00FB4D04">
        <w:rPr>
          <w:rFonts w:ascii="Book Antiqua" w:hAnsi="Book Antiqua" w:cs="Times New Roman"/>
          <w:sz w:val="24"/>
          <w:szCs w:val="24"/>
        </w:rPr>
        <w:t xml:space="preserve">est </w:t>
      </w:r>
      <w:r w:rsidR="00015F97">
        <w:rPr>
          <w:rFonts w:ascii="Book Antiqua" w:hAnsi="Book Antiqua" w:cs="Times New Roman"/>
          <w:sz w:val="24"/>
          <w:szCs w:val="24"/>
        </w:rPr>
        <w:t>accru</w:t>
      </w:r>
      <w:r w:rsidRPr="00EB5A99">
        <w:rPr>
          <w:rFonts w:ascii="Book Antiqua" w:hAnsi="Book Antiqua" w:cs="Times New Roman"/>
          <w:sz w:val="24"/>
          <w:szCs w:val="24"/>
        </w:rPr>
        <w:t xml:space="preserve"> de </w:t>
      </w:r>
      <w:r w:rsidR="00196401" w:rsidRPr="00EB5A99">
        <w:rPr>
          <w:rFonts w:ascii="Book Antiqua" w:hAnsi="Book Antiqua" w:cs="Times New Roman"/>
          <w:sz w:val="24"/>
          <w:szCs w:val="24"/>
        </w:rPr>
        <w:t>4,5% à 4,9</w:t>
      </w:r>
      <w:r w:rsidRPr="00EB5A99">
        <w:rPr>
          <w:rFonts w:ascii="Book Antiqua" w:hAnsi="Book Antiqua" w:cs="Times New Roman"/>
          <w:sz w:val="24"/>
          <w:szCs w:val="24"/>
        </w:rPr>
        <w:t xml:space="preserve">%. </w:t>
      </w:r>
    </w:p>
    <w:p w:rsidR="008D1973" w:rsidRPr="002D324E" w:rsidRDefault="008D1973" w:rsidP="00015F97">
      <w:pPr>
        <w:spacing w:line="276" w:lineRule="auto"/>
        <w:jc w:val="both"/>
        <w:rPr>
          <w:sz w:val="24"/>
          <w:szCs w:val="24"/>
        </w:rPr>
      </w:pPr>
      <w:r w:rsidRPr="00EB5A99">
        <w:rPr>
          <w:rFonts w:ascii="Book Antiqua" w:hAnsi="Book Antiqua" w:cs="Times New Roman"/>
          <w:sz w:val="24"/>
          <w:szCs w:val="24"/>
        </w:rPr>
        <w:t xml:space="preserve">La population active occupée en situation de sous-emploi </w:t>
      </w:r>
      <w:r w:rsidR="00015F97">
        <w:rPr>
          <w:rFonts w:ascii="Book Antiqua" w:hAnsi="Book Antiqua" w:cs="Times New Roman"/>
          <w:sz w:val="24"/>
          <w:szCs w:val="24"/>
        </w:rPr>
        <w:t>en termes d</w:t>
      </w:r>
      <w:r w:rsidRPr="00EB5A99">
        <w:rPr>
          <w:rFonts w:ascii="Book Antiqua" w:hAnsi="Book Antiqua" w:cs="Times New Roman"/>
          <w:sz w:val="24"/>
          <w:szCs w:val="24"/>
        </w:rPr>
        <w:t xml:space="preserve">’insuffisance du revenu ou </w:t>
      </w:r>
      <w:r w:rsidR="00015F97">
        <w:rPr>
          <w:rFonts w:ascii="Book Antiqua" w:hAnsi="Book Antiqua" w:cs="Times New Roman"/>
          <w:sz w:val="24"/>
          <w:szCs w:val="24"/>
        </w:rPr>
        <w:t xml:space="preserve">d’inadéquation entre formation et </w:t>
      </w:r>
      <w:r w:rsidRPr="00EB5A99">
        <w:rPr>
          <w:rFonts w:ascii="Book Antiqua" w:hAnsi="Book Antiqua" w:cs="Times New Roman"/>
          <w:sz w:val="24"/>
          <w:szCs w:val="24"/>
        </w:rPr>
        <w:t xml:space="preserve">emploi exercé est passée </w:t>
      </w:r>
      <w:r w:rsidR="006A1A4A" w:rsidRPr="00EB5A99">
        <w:rPr>
          <w:rFonts w:ascii="Book Antiqua" w:hAnsi="Book Antiqua" w:cs="Times New Roman"/>
          <w:sz w:val="24"/>
          <w:szCs w:val="24"/>
        </w:rPr>
        <w:t>de 502.000 à 56</w:t>
      </w:r>
      <w:r w:rsidRPr="00EB5A99">
        <w:rPr>
          <w:rFonts w:ascii="Book Antiqua" w:hAnsi="Book Antiqua" w:cs="Times New Roman"/>
          <w:sz w:val="24"/>
          <w:szCs w:val="24"/>
        </w:rPr>
        <w:t>2.000 personnes au niveau national</w:t>
      </w:r>
      <w:r w:rsidR="00195716" w:rsidRPr="00EB5A99">
        <w:rPr>
          <w:rFonts w:ascii="Book Antiqua" w:hAnsi="Book Antiqua" w:cs="Times New Roman"/>
          <w:sz w:val="24"/>
          <w:szCs w:val="24"/>
        </w:rPr>
        <w:t xml:space="preserve">. Le taux correspondant </w:t>
      </w:r>
      <w:r w:rsidR="008759D1">
        <w:rPr>
          <w:rFonts w:ascii="Book Antiqua" w:hAnsi="Book Antiqua" w:cs="Times New Roman"/>
          <w:sz w:val="24"/>
          <w:szCs w:val="24"/>
        </w:rPr>
        <w:t>est passé</w:t>
      </w:r>
      <w:r w:rsidR="00196401" w:rsidRPr="00EB5A99">
        <w:rPr>
          <w:rFonts w:ascii="Book Antiqua" w:hAnsi="Book Antiqua" w:cs="Times New Roman"/>
          <w:sz w:val="24"/>
          <w:szCs w:val="24"/>
        </w:rPr>
        <w:t xml:space="preserve"> de 4,7% à 5,4</w:t>
      </w:r>
      <w:r w:rsidRPr="00EB5A99">
        <w:rPr>
          <w:rFonts w:ascii="Book Antiqua" w:hAnsi="Book Antiqua" w:cs="Times New Roman"/>
          <w:sz w:val="24"/>
          <w:szCs w:val="24"/>
        </w:rPr>
        <w:t>%.</w:t>
      </w:r>
    </w:p>
    <w:p w:rsidR="00151A63" w:rsidRDefault="00151A63" w:rsidP="00442956">
      <w:pPr>
        <w:rPr>
          <w:rFonts w:ascii="Book Antiqua" w:hAnsi="Book Antiqua" w:cs="Times New Roman"/>
          <w:b/>
          <w:bCs/>
          <w:sz w:val="20"/>
          <w:szCs w:val="20"/>
        </w:rPr>
      </w:pPr>
    </w:p>
    <w:p w:rsidR="002C6A41" w:rsidRDefault="002C6A41" w:rsidP="00442956">
      <w:pPr>
        <w:rPr>
          <w:rFonts w:ascii="Book Antiqua" w:hAnsi="Book Antiqua" w:cs="Times New Roman"/>
          <w:b/>
          <w:bCs/>
          <w:sz w:val="20"/>
          <w:szCs w:val="20"/>
        </w:rPr>
      </w:pPr>
    </w:p>
    <w:p w:rsidR="00151A63" w:rsidRDefault="00151A63" w:rsidP="00442956">
      <w:pPr>
        <w:rPr>
          <w:rFonts w:ascii="Book Antiqua" w:hAnsi="Book Antiqua" w:cs="Times New Roman"/>
          <w:b/>
          <w:bCs/>
          <w:sz w:val="20"/>
          <w:szCs w:val="20"/>
        </w:rPr>
      </w:pPr>
    </w:p>
    <w:p w:rsidR="00151A63" w:rsidRDefault="00151A63" w:rsidP="00442956">
      <w:pPr>
        <w:rPr>
          <w:rFonts w:ascii="Book Antiqua" w:hAnsi="Book Antiqua" w:cs="Times New Roman"/>
          <w:b/>
          <w:bCs/>
          <w:sz w:val="20"/>
          <w:szCs w:val="20"/>
        </w:rPr>
      </w:pPr>
    </w:p>
    <w:p w:rsidR="00940768" w:rsidRDefault="00940768">
      <w:pPr>
        <w:rPr>
          <w:rFonts w:ascii="Book Antiqua" w:hAnsi="Book Antiqua" w:cs="Times New Roman"/>
          <w:b/>
          <w:bCs/>
          <w:sz w:val="20"/>
          <w:szCs w:val="20"/>
        </w:rPr>
      </w:pPr>
      <w:r>
        <w:rPr>
          <w:rFonts w:ascii="Book Antiqua" w:hAnsi="Book Antiqua" w:cs="Times New Roman"/>
          <w:b/>
          <w:bCs/>
          <w:sz w:val="20"/>
          <w:szCs w:val="20"/>
        </w:rPr>
        <w:br w:type="page"/>
      </w:r>
    </w:p>
    <w:p w:rsidR="008D1973" w:rsidRPr="0016011E" w:rsidRDefault="008D1973" w:rsidP="00442956">
      <w:pPr>
        <w:rPr>
          <w:rFonts w:ascii="Book Antiqua" w:hAnsi="Book Antiqua" w:cs="Times New Roman"/>
          <w:b/>
          <w:bCs/>
          <w:sz w:val="20"/>
          <w:szCs w:val="20"/>
        </w:rPr>
      </w:pPr>
      <w:r w:rsidRPr="00EB5A99">
        <w:rPr>
          <w:rFonts w:ascii="Book Antiqua" w:hAnsi="Book Antiqua" w:cs="Times New Roman"/>
          <w:b/>
          <w:bCs/>
          <w:sz w:val="20"/>
          <w:szCs w:val="20"/>
        </w:rPr>
        <w:lastRenderedPageBreak/>
        <w:t>Figure</w:t>
      </w:r>
      <w:r w:rsidR="00940768">
        <w:rPr>
          <w:rFonts w:ascii="Book Antiqua" w:hAnsi="Book Antiqua" w:cs="Times New Roman"/>
          <w:b/>
          <w:bCs/>
          <w:sz w:val="20"/>
          <w:szCs w:val="20"/>
        </w:rPr>
        <w:t xml:space="preserve"> </w:t>
      </w:r>
      <w:r w:rsidR="00461C49">
        <w:rPr>
          <w:rFonts w:ascii="Book Antiqua" w:hAnsi="Book Antiqua" w:cs="Times New Roman"/>
          <w:b/>
          <w:bCs/>
          <w:sz w:val="20"/>
          <w:szCs w:val="20"/>
        </w:rPr>
        <w:t>3</w:t>
      </w:r>
      <w:r w:rsidR="008753C0" w:rsidRPr="00EB5A99">
        <w:rPr>
          <w:rFonts w:ascii="Book Antiqua" w:hAnsi="Book Antiqua" w:cs="Times New Roman"/>
          <w:b/>
          <w:bCs/>
          <w:sz w:val="20"/>
          <w:szCs w:val="20"/>
        </w:rPr>
        <w:t xml:space="preserve">. </w:t>
      </w:r>
      <w:r w:rsidRPr="00EB5A99">
        <w:rPr>
          <w:rFonts w:ascii="Book Antiqua" w:hAnsi="Book Antiqua" w:cs="Times New Roman"/>
          <w:b/>
          <w:bCs/>
          <w:sz w:val="20"/>
          <w:szCs w:val="20"/>
        </w:rPr>
        <w:t xml:space="preserve">Evolution du taux de sous-emploi entre les </w:t>
      </w:r>
      <w:r w:rsidR="004D3E03" w:rsidRPr="00EB5A99">
        <w:rPr>
          <w:rFonts w:ascii="Book Antiqua" w:hAnsi="Book Antiqua" w:cs="Times New Roman"/>
          <w:b/>
          <w:bCs/>
          <w:sz w:val="20"/>
          <w:szCs w:val="20"/>
        </w:rPr>
        <w:t>premiers</w:t>
      </w:r>
      <w:r w:rsidR="000215D5" w:rsidRPr="00EB5A99">
        <w:rPr>
          <w:rFonts w:ascii="Book Antiqua" w:hAnsi="Book Antiqua" w:cs="Times New Roman"/>
          <w:b/>
          <w:bCs/>
          <w:sz w:val="20"/>
          <w:szCs w:val="20"/>
        </w:rPr>
        <w:t xml:space="preserve"> trimestres de 2022 et 2023</w:t>
      </w:r>
      <w:r w:rsidRPr="00EB5A99">
        <w:rPr>
          <w:rFonts w:ascii="Book Antiqua" w:hAnsi="Book Antiqua" w:cs="Times New Roman"/>
          <w:b/>
          <w:bCs/>
          <w:sz w:val="20"/>
          <w:szCs w:val="20"/>
        </w:rPr>
        <w:t xml:space="preserve"> parmi certaines catégories de la p</w:t>
      </w:r>
      <w:r w:rsidR="00BD026B" w:rsidRPr="00EB5A99">
        <w:rPr>
          <w:rFonts w:ascii="Book Antiqua" w:hAnsi="Book Antiqua" w:cs="Times New Roman"/>
          <w:b/>
          <w:bCs/>
          <w:sz w:val="20"/>
          <w:szCs w:val="20"/>
        </w:rPr>
        <w:t>opulation active occupée (en %)</w:t>
      </w:r>
    </w:p>
    <w:p w:rsidR="00F64816" w:rsidRDefault="00442956" w:rsidP="0022296C">
      <w:pPr>
        <w:autoSpaceDE w:val="0"/>
        <w:autoSpaceDN w:val="0"/>
        <w:adjustRightInd w:val="0"/>
        <w:spacing w:after="240" w:line="276" w:lineRule="auto"/>
        <w:jc w:val="center"/>
        <w:rPr>
          <w:rFonts w:ascii="Book Antiqua" w:hAnsi="Book Antiqua" w:cs="Times New Roman"/>
          <w:sz w:val="24"/>
          <w:szCs w:val="24"/>
          <w:rtl/>
        </w:rPr>
      </w:pPr>
      <w:r w:rsidRPr="000215D5">
        <w:rPr>
          <w:rFonts w:ascii="Book Antiqua" w:hAnsi="Book Antiqua" w:cs="Times New Roman"/>
          <w:noProof/>
          <w:sz w:val="24"/>
          <w:szCs w:val="24"/>
          <w:lang w:eastAsia="fr-FR"/>
        </w:rPr>
        <w:drawing>
          <wp:inline distT="0" distB="0" distL="0" distR="0">
            <wp:extent cx="5346700" cy="2679700"/>
            <wp:effectExtent l="0" t="0" r="6350" b="635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1973" w:rsidRPr="00EB5A99" w:rsidRDefault="00F91DB1" w:rsidP="00940768">
      <w:pPr>
        <w:spacing w:line="276" w:lineRule="auto"/>
        <w:rPr>
          <w:rFonts w:ascii="Book Antiqua" w:eastAsiaTheme="majorEastAsia" w:hAnsi="Book Antiqua" w:cstheme="majorHAnsi"/>
          <w:b/>
          <w:bCs/>
          <w:i/>
          <w:iCs/>
          <w:color w:val="2E74B5" w:themeColor="accent5" w:themeShade="BF"/>
          <w:spacing w:val="-10"/>
          <w:kern w:val="28"/>
          <w:sz w:val="24"/>
          <w:szCs w:val="24"/>
        </w:rPr>
      </w:pPr>
      <w:r w:rsidRPr="00EB5A99">
        <w:rPr>
          <w:rFonts w:ascii="Book Antiqua" w:eastAsiaTheme="majorEastAsia" w:hAnsi="Book Antiqua" w:cstheme="majorHAnsi"/>
          <w:b/>
          <w:bCs/>
          <w:i/>
          <w:iCs/>
          <w:color w:val="2E74B5" w:themeColor="accent5" w:themeShade="BF"/>
          <w:spacing w:val="-10"/>
          <w:kern w:val="28"/>
          <w:sz w:val="24"/>
          <w:szCs w:val="24"/>
        </w:rPr>
        <w:t xml:space="preserve">Hausse </w:t>
      </w:r>
      <w:r w:rsidR="00491A91" w:rsidRPr="00EB5A99">
        <w:rPr>
          <w:rFonts w:ascii="Book Antiqua" w:eastAsiaTheme="majorEastAsia" w:hAnsi="Book Antiqua" w:cstheme="majorHAnsi"/>
          <w:b/>
          <w:bCs/>
          <w:i/>
          <w:iCs/>
          <w:color w:val="2E74B5" w:themeColor="accent5" w:themeShade="BF"/>
          <w:spacing w:val="-10"/>
          <w:kern w:val="28"/>
          <w:sz w:val="24"/>
          <w:szCs w:val="24"/>
        </w:rPr>
        <w:t>du sous</w:t>
      </w:r>
      <w:r w:rsidRPr="00EB5A99">
        <w:rPr>
          <w:rFonts w:ascii="Book Antiqua" w:eastAsiaTheme="majorEastAsia" w:hAnsi="Book Antiqua" w:cstheme="majorHAnsi"/>
          <w:b/>
          <w:bCs/>
          <w:i/>
          <w:iCs/>
          <w:color w:val="2E74B5" w:themeColor="accent5" w:themeShade="BF"/>
          <w:spacing w:val="-10"/>
          <w:kern w:val="28"/>
          <w:sz w:val="24"/>
          <w:szCs w:val="24"/>
        </w:rPr>
        <w:t xml:space="preserve"> emploi dans </w:t>
      </w:r>
      <w:r w:rsidR="00EB0858" w:rsidRPr="00EB5A99">
        <w:rPr>
          <w:rFonts w:ascii="Book Antiqua" w:eastAsiaTheme="majorEastAsia" w:hAnsi="Book Antiqua" w:cstheme="majorHAnsi"/>
          <w:b/>
          <w:bCs/>
          <w:i/>
          <w:iCs/>
          <w:color w:val="2E74B5" w:themeColor="accent5" w:themeShade="BF"/>
          <w:spacing w:val="-10"/>
          <w:kern w:val="28"/>
          <w:sz w:val="24"/>
          <w:szCs w:val="24"/>
        </w:rPr>
        <w:t>le</w:t>
      </w:r>
      <w:r w:rsidR="00797D4A" w:rsidRPr="00EB5A99">
        <w:rPr>
          <w:rFonts w:ascii="Book Antiqua" w:eastAsiaTheme="majorEastAsia" w:hAnsi="Book Antiqua" w:cstheme="majorHAnsi"/>
          <w:b/>
          <w:bCs/>
          <w:i/>
          <w:iCs/>
          <w:color w:val="2E74B5" w:themeColor="accent5" w:themeShade="BF"/>
          <w:spacing w:val="-10"/>
          <w:kern w:val="28"/>
          <w:sz w:val="24"/>
          <w:szCs w:val="24"/>
        </w:rPr>
        <w:t>s</w:t>
      </w:r>
      <w:r w:rsidR="00EB0858" w:rsidRPr="00EB5A99">
        <w:rPr>
          <w:rFonts w:ascii="Book Antiqua" w:eastAsiaTheme="majorEastAsia" w:hAnsi="Book Antiqua" w:cstheme="majorHAnsi"/>
          <w:b/>
          <w:bCs/>
          <w:i/>
          <w:iCs/>
          <w:color w:val="2E74B5" w:themeColor="accent5" w:themeShade="BF"/>
          <w:spacing w:val="-10"/>
          <w:kern w:val="28"/>
          <w:sz w:val="24"/>
          <w:szCs w:val="24"/>
        </w:rPr>
        <w:t xml:space="preserve"> secteur</w:t>
      </w:r>
      <w:r w:rsidR="00797D4A" w:rsidRPr="00EB5A99">
        <w:rPr>
          <w:rFonts w:ascii="Book Antiqua" w:eastAsiaTheme="majorEastAsia" w:hAnsi="Book Antiqua" w:cstheme="majorHAnsi"/>
          <w:b/>
          <w:bCs/>
          <w:i/>
          <w:iCs/>
          <w:color w:val="2E74B5" w:themeColor="accent5" w:themeShade="BF"/>
          <w:spacing w:val="-10"/>
          <w:kern w:val="28"/>
          <w:sz w:val="24"/>
          <w:szCs w:val="24"/>
        </w:rPr>
        <w:t>s</w:t>
      </w:r>
      <w:r w:rsidR="00EB0858" w:rsidRPr="00EB5A99">
        <w:rPr>
          <w:rFonts w:ascii="Book Antiqua" w:eastAsiaTheme="majorEastAsia" w:hAnsi="Book Antiqua" w:cstheme="majorHAnsi"/>
          <w:b/>
          <w:bCs/>
          <w:i/>
          <w:iCs/>
          <w:color w:val="2E74B5" w:themeColor="accent5" w:themeShade="BF"/>
          <w:spacing w:val="-10"/>
          <w:kern w:val="28"/>
          <w:sz w:val="24"/>
          <w:szCs w:val="24"/>
        </w:rPr>
        <w:t xml:space="preserve"> de</w:t>
      </w:r>
      <w:r w:rsidR="00797D4A" w:rsidRPr="00EB5A99">
        <w:rPr>
          <w:rFonts w:ascii="Book Antiqua" w:eastAsiaTheme="majorEastAsia" w:hAnsi="Book Antiqua" w:cstheme="majorHAnsi"/>
          <w:b/>
          <w:bCs/>
          <w:i/>
          <w:iCs/>
          <w:color w:val="2E74B5" w:themeColor="accent5" w:themeShade="BF"/>
          <w:spacing w:val="-10"/>
          <w:kern w:val="28"/>
          <w:sz w:val="24"/>
          <w:szCs w:val="24"/>
        </w:rPr>
        <w:t>s BTP et de l’</w:t>
      </w:r>
      <w:r w:rsidR="00940768">
        <w:rPr>
          <w:rFonts w:ascii="Book Antiqua" w:eastAsiaTheme="majorEastAsia" w:hAnsi="Book Antiqua" w:cstheme="majorHAnsi"/>
          <w:b/>
          <w:bCs/>
          <w:i/>
          <w:iCs/>
          <w:color w:val="2E74B5" w:themeColor="accent5" w:themeShade="BF"/>
          <w:spacing w:val="-10"/>
          <w:kern w:val="28"/>
          <w:sz w:val="24"/>
          <w:szCs w:val="24"/>
        </w:rPr>
        <w:t>a</w:t>
      </w:r>
      <w:r w:rsidR="00797D4A" w:rsidRPr="00EB5A99">
        <w:rPr>
          <w:rFonts w:ascii="Book Antiqua" w:eastAsiaTheme="majorEastAsia" w:hAnsi="Book Antiqua" w:cstheme="majorHAnsi"/>
          <w:b/>
          <w:bCs/>
          <w:i/>
          <w:iCs/>
          <w:color w:val="2E74B5" w:themeColor="accent5" w:themeShade="BF"/>
          <w:spacing w:val="-10"/>
          <w:kern w:val="28"/>
          <w:sz w:val="24"/>
          <w:szCs w:val="24"/>
        </w:rPr>
        <w:t>griculture, forêt et pêche</w:t>
      </w:r>
    </w:p>
    <w:p w:rsidR="00461C49" w:rsidRDefault="00195716" w:rsidP="00940768">
      <w:pPr>
        <w:spacing w:line="276" w:lineRule="auto"/>
        <w:jc w:val="both"/>
        <w:rPr>
          <w:rFonts w:ascii="Book Antiqua" w:hAnsi="Book Antiqua" w:cs="Times New Roman"/>
          <w:b/>
          <w:bCs/>
          <w:sz w:val="20"/>
          <w:szCs w:val="20"/>
        </w:rPr>
      </w:pPr>
      <w:r w:rsidRPr="00EB5A99">
        <w:rPr>
          <w:rFonts w:ascii="Book Antiqua" w:hAnsi="Book Antiqua" w:cs="Times New Roman"/>
          <w:sz w:val="24"/>
          <w:szCs w:val="24"/>
        </w:rPr>
        <w:t>L</w:t>
      </w:r>
      <w:r w:rsidR="001D5675" w:rsidRPr="00EB5A99">
        <w:rPr>
          <w:rFonts w:ascii="Book Antiqua" w:hAnsi="Book Antiqua" w:cs="Times New Roman"/>
          <w:sz w:val="24"/>
          <w:szCs w:val="24"/>
        </w:rPr>
        <w:t>e</w:t>
      </w:r>
      <w:r w:rsidRPr="00EB5A99">
        <w:rPr>
          <w:rFonts w:ascii="Book Antiqua" w:hAnsi="Book Antiqua" w:cs="Times New Roman"/>
          <w:sz w:val="24"/>
          <w:szCs w:val="24"/>
        </w:rPr>
        <w:t>s</w:t>
      </w:r>
      <w:r w:rsidR="001D5675" w:rsidRPr="00EB5A99">
        <w:rPr>
          <w:rFonts w:ascii="Book Antiqua" w:hAnsi="Book Antiqua" w:cs="Times New Roman"/>
          <w:sz w:val="24"/>
          <w:szCs w:val="24"/>
        </w:rPr>
        <w:t xml:space="preserve"> secteur</w:t>
      </w:r>
      <w:r w:rsidRPr="00EB5A99">
        <w:rPr>
          <w:rFonts w:ascii="Book Antiqua" w:hAnsi="Book Antiqua" w:cs="Times New Roman"/>
          <w:sz w:val="24"/>
          <w:szCs w:val="24"/>
        </w:rPr>
        <w:t>s ayant connu u</w:t>
      </w:r>
      <w:r w:rsidR="0054104E" w:rsidRPr="00EB5A99">
        <w:rPr>
          <w:rFonts w:ascii="Book Antiqua" w:hAnsi="Book Antiqua" w:cs="Times New Roman"/>
          <w:sz w:val="24"/>
          <w:szCs w:val="24"/>
        </w:rPr>
        <w:t>ne hausse du sous-</w:t>
      </w:r>
      <w:r w:rsidRPr="00EB5A99">
        <w:rPr>
          <w:rFonts w:ascii="Book Antiqua" w:hAnsi="Book Antiqua" w:cs="Times New Roman"/>
          <w:sz w:val="24"/>
          <w:szCs w:val="24"/>
        </w:rPr>
        <w:t xml:space="preserve">emploi sont </w:t>
      </w:r>
      <w:r w:rsidR="00797D4A" w:rsidRPr="00EB5A99">
        <w:rPr>
          <w:rFonts w:ascii="Book Antiqua" w:hAnsi="Book Antiqua" w:cs="Times New Roman"/>
          <w:sz w:val="24"/>
          <w:szCs w:val="24"/>
        </w:rPr>
        <w:t>les BTP avec 2,2 points (de 18,1% à 20,4%), l’Agriculture, forêt et pêche avec 1,4 point (de 10,3% à 11,7%)</w:t>
      </w:r>
      <w:r w:rsidR="008D44C3" w:rsidRPr="00EB5A99">
        <w:rPr>
          <w:rFonts w:ascii="Book Antiqua" w:hAnsi="Book Antiqua" w:cs="Times New Roman"/>
          <w:sz w:val="24"/>
          <w:szCs w:val="24"/>
        </w:rPr>
        <w:t xml:space="preserve">, les services avec </w:t>
      </w:r>
      <w:r w:rsidR="008D44C3" w:rsidRPr="00B34C0B">
        <w:rPr>
          <w:rFonts w:ascii="Book Antiqua" w:hAnsi="Book Antiqua" w:cs="Times New Roman"/>
          <w:sz w:val="24"/>
          <w:szCs w:val="24"/>
        </w:rPr>
        <w:t>0,</w:t>
      </w:r>
      <w:r w:rsidR="00263CFE" w:rsidRPr="00B34C0B">
        <w:rPr>
          <w:rFonts w:ascii="Book Antiqua" w:hAnsi="Book Antiqua" w:cs="Times New Roman"/>
          <w:sz w:val="24"/>
          <w:szCs w:val="24"/>
        </w:rPr>
        <w:t>8</w:t>
      </w:r>
      <w:r w:rsidR="008D44C3" w:rsidRPr="00B34C0B">
        <w:rPr>
          <w:rFonts w:ascii="Book Antiqua" w:hAnsi="Book Antiqua" w:cs="Times New Roman"/>
          <w:sz w:val="24"/>
          <w:szCs w:val="24"/>
        </w:rPr>
        <w:t xml:space="preserve"> point (de 7 à 7,8%) et l’Industrie (y compris artisanat) avec 0,</w:t>
      </w:r>
      <w:r w:rsidR="00263CFE" w:rsidRPr="00B34C0B">
        <w:rPr>
          <w:rFonts w:ascii="Book Antiqua" w:hAnsi="Book Antiqua" w:cs="Times New Roman"/>
          <w:sz w:val="24"/>
          <w:szCs w:val="24"/>
        </w:rPr>
        <w:t>5</w:t>
      </w:r>
      <w:r w:rsidR="008D44C3" w:rsidRPr="00B34C0B">
        <w:rPr>
          <w:rFonts w:ascii="Book Antiqua" w:hAnsi="Book Antiqua" w:cs="Times New Roman"/>
          <w:sz w:val="24"/>
          <w:szCs w:val="24"/>
        </w:rPr>
        <w:t xml:space="preserve"> point (de 6,6% à</w:t>
      </w:r>
      <w:r w:rsidR="008D44C3" w:rsidRPr="00EB5A99">
        <w:rPr>
          <w:rFonts w:ascii="Book Antiqua" w:hAnsi="Book Antiqua" w:cs="Times New Roman"/>
          <w:sz w:val="24"/>
          <w:szCs w:val="24"/>
        </w:rPr>
        <w:t xml:space="preserve"> 7,1%).</w:t>
      </w:r>
    </w:p>
    <w:p w:rsidR="00797D4A" w:rsidRDefault="002D324E" w:rsidP="00263CFE">
      <w:pPr>
        <w:spacing w:line="276" w:lineRule="auto"/>
        <w:jc w:val="center"/>
        <w:rPr>
          <w:rFonts w:ascii="Book Antiqua" w:hAnsi="Book Antiqua" w:cs="Times New Roman"/>
          <w:b/>
          <w:bCs/>
          <w:sz w:val="20"/>
          <w:szCs w:val="20"/>
        </w:rPr>
      </w:pPr>
      <w:r w:rsidRPr="00EB5A99">
        <w:rPr>
          <w:rFonts w:ascii="Book Antiqua" w:hAnsi="Book Antiqua" w:cs="Times New Roman"/>
          <w:b/>
          <w:bCs/>
          <w:sz w:val="20"/>
          <w:szCs w:val="20"/>
        </w:rPr>
        <w:t>Figure</w:t>
      </w:r>
      <w:r w:rsidR="00940768">
        <w:rPr>
          <w:rFonts w:ascii="Book Antiqua" w:hAnsi="Book Antiqua" w:cs="Times New Roman"/>
          <w:b/>
          <w:bCs/>
          <w:sz w:val="20"/>
          <w:szCs w:val="20"/>
        </w:rPr>
        <w:t xml:space="preserve"> </w:t>
      </w:r>
      <w:r w:rsidR="00461C49">
        <w:rPr>
          <w:rFonts w:ascii="Book Antiqua" w:hAnsi="Book Antiqua" w:cs="Times New Roman"/>
          <w:b/>
          <w:bCs/>
          <w:sz w:val="20"/>
          <w:szCs w:val="20"/>
        </w:rPr>
        <w:t>4</w:t>
      </w:r>
      <w:r w:rsidR="008753C0" w:rsidRPr="00EB5A99">
        <w:rPr>
          <w:rFonts w:ascii="Book Antiqua" w:hAnsi="Book Antiqua" w:cs="Times New Roman"/>
          <w:b/>
          <w:bCs/>
          <w:sz w:val="20"/>
          <w:szCs w:val="20"/>
        </w:rPr>
        <w:t xml:space="preserve">. </w:t>
      </w:r>
      <w:r w:rsidRPr="00EB5A99">
        <w:rPr>
          <w:rFonts w:ascii="Book Antiqua" w:hAnsi="Book Antiqua" w:cs="Times New Roman"/>
          <w:b/>
          <w:bCs/>
          <w:sz w:val="20"/>
          <w:szCs w:val="20"/>
        </w:rPr>
        <w:t xml:space="preserve">Evolution du taux de sous-emploi entre les </w:t>
      </w:r>
      <w:r w:rsidR="00797D4A" w:rsidRPr="00EB5A99">
        <w:rPr>
          <w:rFonts w:ascii="Book Antiqua" w:hAnsi="Book Antiqua" w:cs="Times New Roman"/>
          <w:b/>
          <w:bCs/>
          <w:sz w:val="20"/>
          <w:szCs w:val="20"/>
        </w:rPr>
        <w:t xml:space="preserve">premiers trimestres de 2022 et </w:t>
      </w:r>
      <w:r w:rsidR="004805D0">
        <w:rPr>
          <w:rFonts w:ascii="Book Antiqua" w:hAnsi="Book Antiqua" w:cs="Times New Roman"/>
          <w:b/>
          <w:bCs/>
          <w:sz w:val="20"/>
          <w:szCs w:val="20"/>
        </w:rPr>
        <w:t xml:space="preserve">de </w:t>
      </w:r>
      <w:r w:rsidR="00797D4A" w:rsidRPr="00EB5A99">
        <w:rPr>
          <w:rFonts w:ascii="Book Antiqua" w:hAnsi="Book Antiqua" w:cs="Times New Roman"/>
          <w:b/>
          <w:bCs/>
          <w:sz w:val="20"/>
          <w:szCs w:val="20"/>
        </w:rPr>
        <w:t>2023</w:t>
      </w:r>
      <w:r w:rsidRPr="00EB5A99">
        <w:rPr>
          <w:rFonts w:ascii="Book Antiqua" w:hAnsi="Book Antiqua" w:cs="Times New Roman"/>
          <w:b/>
          <w:bCs/>
          <w:sz w:val="20"/>
          <w:szCs w:val="20"/>
        </w:rPr>
        <w:t xml:space="preserve"> selon les secteurs d’activité </w:t>
      </w:r>
      <w:r w:rsidR="001D5675" w:rsidRPr="00EB5A99">
        <w:rPr>
          <w:rFonts w:ascii="Book Antiqua" w:hAnsi="Book Antiqua" w:cs="Times New Roman"/>
          <w:b/>
          <w:bCs/>
          <w:sz w:val="20"/>
          <w:szCs w:val="20"/>
        </w:rPr>
        <w:t xml:space="preserve">économique </w:t>
      </w:r>
      <w:r w:rsidR="00BD026B" w:rsidRPr="00EB5A99">
        <w:rPr>
          <w:rFonts w:ascii="Book Antiqua" w:hAnsi="Book Antiqua" w:cs="Times New Roman"/>
          <w:b/>
          <w:bCs/>
          <w:sz w:val="20"/>
          <w:szCs w:val="20"/>
        </w:rPr>
        <w:t>(en %)</w:t>
      </w:r>
    </w:p>
    <w:p w:rsidR="00797D4A" w:rsidRPr="0016011E" w:rsidRDefault="00797D4A" w:rsidP="00442956">
      <w:pPr>
        <w:spacing w:line="276" w:lineRule="auto"/>
        <w:jc w:val="center"/>
        <w:rPr>
          <w:rFonts w:ascii="Book Antiqua" w:hAnsi="Book Antiqua" w:cs="Times New Roman"/>
          <w:b/>
          <w:bCs/>
          <w:sz w:val="20"/>
          <w:szCs w:val="20"/>
        </w:rPr>
      </w:pPr>
      <w:r w:rsidRPr="00797D4A">
        <w:rPr>
          <w:rFonts w:ascii="Book Antiqua" w:hAnsi="Book Antiqua" w:cs="Times New Roman"/>
          <w:b/>
          <w:bCs/>
          <w:noProof/>
          <w:sz w:val="20"/>
          <w:szCs w:val="20"/>
          <w:lang w:eastAsia="fr-FR"/>
        </w:rPr>
        <w:drawing>
          <wp:inline distT="0" distB="0" distL="0" distR="0">
            <wp:extent cx="5340350" cy="2711450"/>
            <wp:effectExtent l="0" t="0" r="0"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1973" w:rsidRPr="002D324E" w:rsidRDefault="008D1973" w:rsidP="0022296C">
      <w:pPr>
        <w:spacing w:line="276" w:lineRule="auto"/>
        <w:jc w:val="center"/>
        <w:rPr>
          <w:sz w:val="24"/>
          <w:szCs w:val="24"/>
        </w:rPr>
      </w:pPr>
    </w:p>
    <w:p w:rsidR="00940768" w:rsidRDefault="00940768">
      <w:pPr>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rsidR="00D401DB" w:rsidRPr="00DC67EF" w:rsidRDefault="00AC6FF4" w:rsidP="00461C49">
      <w:pPr>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lastRenderedPageBreak/>
        <w:t xml:space="preserve">III. </w:t>
      </w:r>
      <w:r w:rsidR="00151A63" w:rsidRPr="00DC67EF">
        <w:rPr>
          <w:rFonts w:ascii="Book Antiqua" w:hAnsi="Book Antiqua" w:cstheme="majorHAnsi"/>
          <w:b/>
          <w:bCs/>
          <w:color w:val="1F3864" w:themeColor="accent1" w:themeShade="80"/>
          <w:spacing w:val="-10"/>
          <w:kern w:val="28"/>
          <w:sz w:val="24"/>
          <w:szCs w:val="24"/>
        </w:rPr>
        <w:t>Situation</w:t>
      </w:r>
      <w:r w:rsidR="00940768">
        <w:rPr>
          <w:rFonts w:ascii="Book Antiqua" w:hAnsi="Book Antiqua" w:cstheme="majorHAnsi"/>
          <w:b/>
          <w:bCs/>
          <w:color w:val="1F3864" w:themeColor="accent1" w:themeShade="80"/>
          <w:spacing w:val="-10"/>
          <w:kern w:val="28"/>
          <w:sz w:val="24"/>
          <w:szCs w:val="24"/>
        </w:rPr>
        <w:t xml:space="preserve"> </w:t>
      </w:r>
      <w:r w:rsidR="00151A63" w:rsidRPr="00DC67EF">
        <w:rPr>
          <w:rFonts w:ascii="Book Antiqua" w:hAnsi="Book Antiqua" w:cstheme="majorHAnsi"/>
          <w:b/>
          <w:bCs/>
          <w:color w:val="1F3864" w:themeColor="accent1" w:themeShade="80"/>
          <w:spacing w:val="-10"/>
          <w:kern w:val="28"/>
          <w:sz w:val="24"/>
          <w:szCs w:val="24"/>
        </w:rPr>
        <w:t>régionale</w:t>
      </w:r>
      <w:r w:rsidR="00940768">
        <w:rPr>
          <w:rFonts w:ascii="Book Antiqua" w:hAnsi="Book Antiqua" w:cstheme="majorHAnsi"/>
          <w:b/>
          <w:bCs/>
          <w:color w:val="1F3864" w:themeColor="accent1" w:themeShade="80"/>
          <w:spacing w:val="-10"/>
          <w:kern w:val="28"/>
          <w:sz w:val="24"/>
          <w:szCs w:val="24"/>
        </w:rPr>
        <w:t xml:space="preserve"> </w:t>
      </w:r>
      <w:r w:rsidR="00151A63" w:rsidRPr="00DC67EF">
        <w:rPr>
          <w:rFonts w:ascii="Book Antiqua" w:hAnsi="Book Antiqua" w:cstheme="majorHAnsi"/>
          <w:b/>
          <w:bCs/>
          <w:color w:val="1F3864" w:themeColor="accent1" w:themeShade="80"/>
          <w:spacing w:val="-10"/>
          <w:kern w:val="28"/>
          <w:sz w:val="24"/>
          <w:szCs w:val="24"/>
        </w:rPr>
        <w:t>du</w:t>
      </w:r>
      <w:r w:rsidR="00940768">
        <w:rPr>
          <w:rFonts w:ascii="Book Antiqua" w:hAnsi="Book Antiqua" w:cstheme="majorHAnsi"/>
          <w:b/>
          <w:bCs/>
          <w:color w:val="1F3864" w:themeColor="accent1" w:themeShade="80"/>
          <w:spacing w:val="-10"/>
          <w:kern w:val="28"/>
          <w:sz w:val="24"/>
          <w:szCs w:val="24"/>
        </w:rPr>
        <w:t xml:space="preserve"> </w:t>
      </w:r>
      <w:r w:rsidR="00151A63" w:rsidRPr="00DC67EF">
        <w:rPr>
          <w:rFonts w:ascii="Book Antiqua" w:hAnsi="Book Antiqua" w:cstheme="majorHAnsi"/>
          <w:b/>
          <w:bCs/>
          <w:color w:val="1F3864" w:themeColor="accent1" w:themeShade="80"/>
          <w:spacing w:val="-10"/>
          <w:kern w:val="28"/>
          <w:sz w:val="24"/>
          <w:szCs w:val="24"/>
        </w:rPr>
        <w:t>marché</w:t>
      </w:r>
      <w:r w:rsidR="00D401DB" w:rsidRPr="00DC67EF">
        <w:rPr>
          <w:rFonts w:ascii="Book Antiqua" w:hAnsi="Book Antiqua" w:cstheme="majorHAnsi"/>
          <w:b/>
          <w:bCs/>
          <w:color w:val="1F3864" w:themeColor="accent1" w:themeShade="80"/>
          <w:spacing w:val="-10"/>
          <w:kern w:val="28"/>
          <w:sz w:val="24"/>
          <w:szCs w:val="24"/>
        </w:rPr>
        <w:t xml:space="preserve"> du travail</w:t>
      </w:r>
    </w:p>
    <w:p w:rsidR="00D401DB" w:rsidRPr="002D324E" w:rsidRDefault="00D401DB" w:rsidP="008759D1">
      <w:pPr>
        <w:autoSpaceDE w:val="0"/>
        <w:autoSpaceDN w:val="0"/>
        <w:adjustRightInd w:val="0"/>
        <w:spacing w:after="240" w:line="276" w:lineRule="auto"/>
        <w:jc w:val="both"/>
        <w:rPr>
          <w:rFonts w:ascii="Book Antiqua" w:hAnsi="Book Antiqua" w:cs="Times New Roman"/>
          <w:sz w:val="24"/>
          <w:szCs w:val="24"/>
        </w:rPr>
      </w:pPr>
      <w:r w:rsidRPr="00863060">
        <w:rPr>
          <w:rFonts w:ascii="Book Antiqua" w:hAnsi="Book Antiqua" w:cs="Times New Roman"/>
          <w:sz w:val="24"/>
          <w:szCs w:val="24"/>
        </w:rPr>
        <w:t xml:space="preserve">Cinq régions abritent 73,2% de l’ensemble des actifs âgés de 15 ans et plus. La </w:t>
      </w:r>
      <w:r>
        <w:rPr>
          <w:rFonts w:ascii="Book Antiqua" w:hAnsi="Book Antiqua" w:cs="Times New Roman"/>
          <w:sz w:val="24"/>
          <w:szCs w:val="24"/>
        </w:rPr>
        <w:t>région de Casablanca-Settat se situe</w:t>
      </w:r>
      <w:r w:rsidRPr="00863060">
        <w:rPr>
          <w:rFonts w:ascii="Book Antiqua" w:hAnsi="Book Antiqua" w:cs="Times New Roman"/>
          <w:sz w:val="24"/>
          <w:szCs w:val="24"/>
        </w:rPr>
        <w:t xml:space="preserve"> en première position avec 22,4% d’actifs, suivie de Rabat-Salé-Kénitra (13,7%), de Marrakech-Safi (13,3%), de Tanger-Tétouan-Al Hoceima (12,1%) et de Fès-Meknès (11,7%).</w:t>
      </w:r>
    </w:p>
    <w:p w:rsidR="00D401DB" w:rsidRPr="002D324E" w:rsidRDefault="00D401DB" w:rsidP="00015F97">
      <w:pPr>
        <w:autoSpaceDE w:val="0"/>
        <w:autoSpaceDN w:val="0"/>
        <w:adjustRightInd w:val="0"/>
        <w:spacing w:after="240" w:line="276" w:lineRule="auto"/>
        <w:jc w:val="both"/>
        <w:rPr>
          <w:rFonts w:ascii="Book Antiqua" w:hAnsi="Book Antiqua" w:cs="Times New Roman"/>
          <w:sz w:val="24"/>
          <w:szCs w:val="24"/>
        </w:rPr>
      </w:pPr>
      <w:r>
        <w:rPr>
          <w:rFonts w:ascii="Book Antiqua" w:hAnsi="Book Antiqua" w:cs="Times New Roman"/>
          <w:sz w:val="24"/>
          <w:szCs w:val="24"/>
        </w:rPr>
        <w:t>Quatre</w:t>
      </w:r>
      <w:r w:rsidRPr="002D324E">
        <w:rPr>
          <w:rFonts w:ascii="Book Antiqua" w:hAnsi="Book Antiqua" w:cs="Times New Roman"/>
          <w:sz w:val="24"/>
          <w:szCs w:val="24"/>
        </w:rPr>
        <w:t xml:space="preserve"> régions affichent des taux d’activité </w:t>
      </w:r>
      <w:r>
        <w:rPr>
          <w:rFonts w:ascii="Book Antiqua" w:hAnsi="Book Antiqua" w:cs="Times New Roman"/>
          <w:sz w:val="24"/>
          <w:szCs w:val="24"/>
        </w:rPr>
        <w:t>supérieurs à la moyenne nationale (43,1</w:t>
      </w:r>
      <w:r w:rsidRPr="002D324E">
        <w:rPr>
          <w:rFonts w:ascii="Book Antiqua" w:hAnsi="Book Antiqua" w:cs="Times New Roman"/>
          <w:sz w:val="24"/>
          <w:szCs w:val="24"/>
        </w:rPr>
        <w:t>%)</w:t>
      </w:r>
      <w:r w:rsidR="00015F97">
        <w:rPr>
          <w:rFonts w:ascii="Book Antiqua" w:hAnsi="Book Antiqua" w:cs="Times New Roman"/>
          <w:sz w:val="24"/>
          <w:szCs w:val="24"/>
        </w:rPr>
        <w:t xml:space="preserve">. Il s’agit des régions de </w:t>
      </w:r>
      <w:r w:rsidRPr="002D324E">
        <w:rPr>
          <w:rFonts w:ascii="Book Antiqua" w:hAnsi="Book Antiqua" w:cs="Times New Roman"/>
          <w:sz w:val="24"/>
          <w:szCs w:val="24"/>
        </w:rPr>
        <w:t>Tan</w:t>
      </w:r>
      <w:r>
        <w:rPr>
          <w:rFonts w:ascii="Book Antiqua" w:hAnsi="Book Antiqua" w:cs="Times New Roman"/>
          <w:sz w:val="24"/>
          <w:szCs w:val="24"/>
        </w:rPr>
        <w:t xml:space="preserve">ger-Tétouan-Al Hoceima avec 49,2%, </w:t>
      </w:r>
      <w:r w:rsidR="00015F97">
        <w:rPr>
          <w:rFonts w:ascii="Book Antiqua" w:hAnsi="Book Antiqua" w:cs="Times New Roman"/>
          <w:sz w:val="24"/>
          <w:szCs w:val="24"/>
        </w:rPr>
        <w:t xml:space="preserve">de </w:t>
      </w:r>
      <w:r>
        <w:rPr>
          <w:rFonts w:ascii="Book Antiqua" w:hAnsi="Book Antiqua" w:cs="Times New Roman"/>
          <w:sz w:val="24"/>
          <w:szCs w:val="24"/>
        </w:rPr>
        <w:t xml:space="preserve">Casablanca-Settat (45,8%), </w:t>
      </w:r>
      <w:r w:rsidR="00015F97">
        <w:rPr>
          <w:rFonts w:ascii="Book Antiqua" w:hAnsi="Book Antiqua" w:cs="Times New Roman"/>
          <w:sz w:val="24"/>
          <w:szCs w:val="24"/>
        </w:rPr>
        <w:t xml:space="preserve">de </w:t>
      </w:r>
      <w:r w:rsidRPr="002D324E">
        <w:rPr>
          <w:rFonts w:ascii="Book Antiqua" w:hAnsi="Book Antiqua" w:cs="Times New Roman"/>
          <w:sz w:val="24"/>
          <w:szCs w:val="24"/>
        </w:rPr>
        <w:t>Marrakech-S</w:t>
      </w:r>
      <w:r>
        <w:rPr>
          <w:rFonts w:ascii="Book Antiqua" w:hAnsi="Book Antiqua" w:cs="Times New Roman"/>
          <w:sz w:val="24"/>
          <w:szCs w:val="24"/>
        </w:rPr>
        <w:t>afi (44,3</w:t>
      </w:r>
      <w:r w:rsidRPr="002D324E">
        <w:rPr>
          <w:rFonts w:ascii="Book Antiqua" w:hAnsi="Book Antiqua" w:cs="Times New Roman"/>
          <w:sz w:val="24"/>
          <w:szCs w:val="24"/>
        </w:rPr>
        <w:t>%)</w:t>
      </w:r>
      <w:r w:rsidR="009055D4">
        <w:rPr>
          <w:rFonts w:ascii="Book Antiqua" w:hAnsi="Book Antiqua" w:cs="Times New Roman"/>
          <w:sz w:val="24"/>
          <w:szCs w:val="24"/>
        </w:rPr>
        <w:t xml:space="preserve"> et </w:t>
      </w:r>
      <w:r w:rsidR="00015F97">
        <w:rPr>
          <w:rFonts w:ascii="Book Antiqua" w:hAnsi="Book Antiqua" w:cs="Times New Roman"/>
          <w:sz w:val="24"/>
          <w:szCs w:val="24"/>
        </w:rPr>
        <w:t>des</w:t>
      </w:r>
      <w:r w:rsidR="009055D4">
        <w:rPr>
          <w:rFonts w:ascii="Book Antiqua" w:hAnsi="Book Antiqua" w:cs="Times New Roman"/>
          <w:sz w:val="24"/>
          <w:szCs w:val="24"/>
        </w:rPr>
        <w:t xml:space="preserve"> r</w:t>
      </w:r>
      <w:r>
        <w:rPr>
          <w:rFonts w:ascii="Book Antiqua" w:hAnsi="Book Antiqua" w:cs="Times New Roman"/>
          <w:sz w:val="24"/>
          <w:szCs w:val="24"/>
        </w:rPr>
        <w:t>égions du Sud avec 43,8%</w:t>
      </w:r>
      <w:r w:rsidRPr="002D324E">
        <w:rPr>
          <w:rFonts w:ascii="Book Antiqua" w:hAnsi="Book Antiqua" w:cs="Times New Roman"/>
          <w:sz w:val="24"/>
          <w:szCs w:val="24"/>
        </w:rPr>
        <w:t xml:space="preserve">. En revanche, les taux les plus bas sont enregistrés dans les régions de Souss-Massa </w:t>
      </w:r>
      <w:r>
        <w:rPr>
          <w:rFonts w:ascii="Book Antiqua" w:hAnsi="Book Antiqua" w:cs="Times New Roman"/>
          <w:sz w:val="24"/>
          <w:szCs w:val="24"/>
        </w:rPr>
        <w:t>avec 36</w:t>
      </w:r>
      <w:r w:rsidRPr="002D324E">
        <w:rPr>
          <w:rFonts w:ascii="Book Antiqua" w:hAnsi="Book Antiqua" w:cs="Times New Roman"/>
          <w:sz w:val="24"/>
          <w:szCs w:val="24"/>
        </w:rPr>
        <w:t xml:space="preserve">%, de l’Oriental </w:t>
      </w:r>
      <w:r>
        <w:rPr>
          <w:rFonts w:ascii="Book Antiqua" w:hAnsi="Book Antiqua" w:cs="Times New Roman"/>
          <w:sz w:val="24"/>
          <w:szCs w:val="24"/>
        </w:rPr>
        <w:t>(39</w:t>
      </w:r>
      <w:r w:rsidRPr="002D324E">
        <w:rPr>
          <w:rFonts w:ascii="Book Antiqua" w:hAnsi="Book Antiqua" w:cs="Times New Roman"/>
          <w:sz w:val="24"/>
          <w:szCs w:val="24"/>
        </w:rPr>
        <w:t xml:space="preserve">%) et de </w:t>
      </w:r>
      <w:r>
        <w:rPr>
          <w:rFonts w:ascii="Book Antiqua" w:hAnsi="Book Antiqua" w:cs="Times New Roman"/>
          <w:sz w:val="24"/>
          <w:szCs w:val="24"/>
        </w:rPr>
        <w:t>Béni Mellal-Khénifra</w:t>
      </w:r>
      <w:r w:rsidR="00015F97">
        <w:rPr>
          <w:rFonts w:ascii="Book Antiqua" w:hAnsi="Book Antiqua" w:cs="Times New Roman"/>
          <w:sz w:val="24"/>
          <w:szCs w:val="24"/>
        </w:rPr>
        <w:t xml:space="preserve"> </w:t>
      </w:r>
      <w:r w:rsidRPr="00B34C0B">
        <w:rPr>
          <w:rFonts w:ascii="Book Antiqua" w:hAnsi="Book Antiqua" w:cs="Times New Roman"/>
          <w:sz w:val="24"/>
          <w:szCs w:val="24"/>
        </w:rPr>
        <w:t>(</w:t>
      </w:r>
      <w:r w:rsidR="00263CFE" w:rsidRPr="00B34C0B">
        <w:rPr>
          <w:rFonts w:ascii="Book Antiqua" w:hAnsi="Book Antiqua" w:cs="Times New Roman"/>
          <w:sz w:val="24"/>
          <w:szCs w:val="24"/>
        </w:rPr>
        <w:t>39</w:t>
      </w:r>
      <w:r w:rsidRPr="00B34C0B">
        <w:rPr>
          <w:rFonts w:ascii="Book Antiqua" w:hAnsi="Book Antiqua" w:cs="Times New Roman"/>
          <w:sz w:val="24"/>
          <w:szCs w:val="24"/>
        </w:rPr>
        <w:t>,</w:t>
      </w:r>
      <w:r w:rsidR="00263CFE" w:rsidRPr="00B34C0B">
        <w:rPr>
          <w:rFonts w:ascii="Book Antiqua" w:hAnsi="Book Antiqua" w:cs="Times New Roman"/>
          <w:sz w:val="24"/>
          <w:szCs w:val="24"/>
        </w:rPr>
        <w:t>9</w:t>
      </w:r>
      <w:r w:rsidRPr="00B34C0B">
        <w:rPr>
          <w:rFonts w:ascii="Book Antiqua" w:hAnsi="Book Antiqua" w:cs="Times New Roman"/>
          <w:sz w:val="24"/>
          <w:szCs w:val="24"/>
        </w:rPr>
        <w:t>%).</w:t>
      </w:r>
    </w:p>
    <w:p w:rsidR="00D401DB" w:rsidRDefault="00D401DB" w:rsidP="003537FF">
      <w:pPr>
        <w:autoSpaceDE w:val="0"/>
        <w:autoSpaceDN w:val="0"/>
        <w:adjustRightInd w:val="0"/>
        <w:spacing w:line="276" w:lineRule="auto"/>
        <w:jc w:val="center"/>
        <w:rPr>
          <w:rFonts w:ascii="Book Antiqua" w:hAnsi="Book Antiqua" w:cs="Times New Roman"/>
          <w:b/>
          <w:bCs/>
          <w:sz w:val="20"/>
          <w:szCs w:val="20"/>
        </w:rPr>
      </w:pPr>
      <w:r w:rsidRPr="0016011E">
        <w:rPr>
          <w:rFonts w:ascii="Book Antiqua" w:hAnsi="Book Antiqua" w:cs="Times New Roman"/>
          <w:b/>
          <w:bCs/>
          <w:sz w:val="20"/>
          <w:szCs w:val="20"/>
        </w:rPr>
        <w:t xml:space="preserve">Figure </w:t>
      </w:r>
      <w:r w:rsidR="00461C49">
        <w:rPr>
          <w:rFonts w:ascii="Book Antiqua" w:hAnsi="Book Antiqua" w:cs="Times New Roman"/>
          <w:b/>
          <w:bCs/>
          <w:sz w:val="20"/>
          <w:szCs w:val="20"/>
        </w:rPr>
        <w:t>5</w:t>
      </w:r>
      <w:r>
        <w:rPr>
          <w:rFonts w:ascii="Book Antiqua" w:hAnsi="Book Antiqua" w:cs="Times New Roman"/>
          <w:b/>
          <w:bCs/>
          <w:sz w:val="20"/>
          <w:szCs w:val="20"/>
        </w:rPr>
        <w:t xml:space="preserve">. </w:t>
      </w:r>
      <w:r w:rsidRPr="0016011E">
        <w:rPr>
          <w:rFonts w:ascii="Book Antiqua" w:hAnsi="Book Antiqua" w:cs="Times New Roman"/>
          <w:b/>
          <w:bCs/>
          <w:sz w:val="20"/>
          <w:szCs w:val="20"/>
        </w:rPr>
        <w:t>Taux d’activi</w:t>
      </w:r>
      <w:r>
        <w:rPr>
          <w:rFonts w:ascii="Book Antiqua" w:hAnsi="Book Antiqua" w:cs="Times New Roman"/>
          <w:b/>
          <w:bCs/>
          <w:sz w:val="20"/>
          <w:szCs w:val="20"/>
        </w:rPr>
        <w:t>té selon les régions au premier trimestre de 2023</w:t>
      </w:r>
      <w:r w:rsidRPr="0016011E">
        <w:rPr>
          <w:rFonts w:ascii="Book Antiqua" w:hAnsi="Book Antiqua" w:cs="Times New Roman"/>
          <w:b/>
          <w:bCs/>
          <w:sz w:val="20"/>
          <w:szCs w:val="20"/>
        </w:rPr>
        <w:t xml:space="preserve"> (en%)</w:t>
      </w:r>
    </w:p>
    <w:p w:rsidR="00D401DB" w:rsidRPr="0016011E" w:rsidRDefault="00D401DB" w:rsidP="00D401DB">
      <w:pPr>
        <w:autoSpaceDE w:val="0"/>
        <w:autoSpaceDN w:val="0"/>
        <w:adjustRightInd w:val="0"/>
        <w:spacing w:line="276" w:lineRule="auto"/>
        <w:jc w:val="center"/>
        <w:rPr>
          <w:rFonts w:ascii="Book Antiqua" w:hAnsi="Book Antiqua" w:cs="Times New Roman"/>
          <w:b/>
          <w:bCs/>
          <w:sz w:val="20"/>
          <w:szCs w:val="20"/>
        </w:rPr>
      </w:pPr>
      <w:r w:rsidRPr="00E460E5">
        <w:rPr>
          <w:rFonts w:ascii="Book Antiqua" w:hAnsi="Book Antiqua" w:cs="Times New Roman"/>
          <w:b/>
          <w:bCs/>
          <w:noProof/>
          <w:sz w:val="20"/>
          <w:szCs w:val="20"/>
          <w:lang w:eastAsia="fr-FR"/>
        </w:rPr>
        <w:drawing>
          <wp:inline distT="0" distB="0" distL="0" distR="0">
            <wp:extent cx="4572000" cy="2425700"/>
            <wp:effectExtent l="0" t="0" r="0" b="0"/>
            <wp:docPr id="12"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01DB" w:rsidRPr="002D324E" w:rsidRDefault="00015F97" w:rsidP="00015F97">
      <w:pPr>
        <w:spacing w:line="276" w:lineRule="auto"/>
        <w:ind w:left="116" w:right="76"/>
        <w:jc w:val="both"/>
        <w:rPr>
          <w:rFonts w:ascii="Book Antiqua" w:hAnsi="Book Antiqua" w:cs="Times New Roman"/>
          <w:sz w:val="24"/>
          <w:szCs w:val="24"/>
        </w:rPr>
      </w:pPr>
      <w:r>
        <w:rPr>
          <w:rFonts w:ascii="Book Antiqua" w:hAnsi="Book Antiqua"/>
          <w:sz w:val="24"/>
          <w:szCs w:val="24"/>
        </w:rPr>
        <w:t xml:space="preserve">S’aggisant </w:t>
      </w:r>
      <w:r w:rsidR="00D401DB" w:rsidRPr="00863060">
        <w:rPr>
          <w:rFonts w:ascii="Book Antiqua" w:hAnsi="Book Antiqua"/>
          <w:sz w:val="24"/>
          <w:szCs w:val="24"/>
        </w:rPr>
        <w:t>du chômage, cinq régions concentrent 70,7%</w:t>
      </w:r>
      <w:r>
        <w:rPr>
          <w:rFonts w:ascii="Book Antiqua" w:hAnsi="Book Antiqua" w:cs="Times New Roman"/>
          <w:sz w:val="24"/>
          <w:szCs w:val="24"/>
        </w:rPr>
        <w:t xml:space="preserve"> des chômeurs. La région de</w:t>
      </w:r>
      <w:r w:rsidR="00D401DB" w:rsidRPr="00863060">
        <w:rPr>
          <w:rFonts w:ascii="Book Antiqua" w:hAnsi="Book Antiqua" w:cs="Times New Roman"/>
          <w:sz w:val="24"/>
          <w:szCs w:val="24"/>
        </w:rPr>
        <w:t xml:space="preserve"> Casablanca-Settat </w:t>
      </w:r>
      <w:r w:rsidR="00D401DB">
        <w:rPr>
          <w:rFonts w:ascii="Book Antiqua" w:hAnsi="Book Antiqua" w:cs="Times New Roman"/>
          <w:sz w:val="24"/>
          <w:szCs w:val="24"/>
        </w:rPr>
        <w:t>vient en tête</w:t>
      </w:r>
      <w:r w:rsidR="00D401DB" w:rsidRPr="00863060">
        <w:rPr>
          <w:rFonts w:ascii="Book Antiqua" w:hAnsi="Book Antiqua" w:cs="Times New Roman"/>
          <w:sz w:val="24"/>
          <w:szCs w:val="24"/>
        </w:rPr>
        <w:t xml:space="preserve"> avec 26,1%, suivie de Fès-Meknès (13,1%), de Rabat-Salé-Kénitra (11,9%), de Tan</w:t>
      </w:r>
      <w:r>
        <w:rPr>
          <w:rFonts w:ascii="Book Antiqua" w:hAnsi="Book Antiqua" w:cs="Times New Roman"/>
          <w:sz w:val="24"/>
          <w:szCs w:val="24"/>
        </w:rPr>
        <w:t xml:space="preserve">ger-Tétouan-Al Hoceima (10,5%) </w:t>
      </w:r>
      <w:r w:rsidR="00D401DB" w:rsidRPr="00863060">
        <w:rPr>
          <w:rFonts w:ascii="Book Antiqua" w:hAnsi="Book Antiqua" w:cs="Times New Roman"/>
          <w:sz w:val="24"/>
          <w:szCs w:val="24"/>
        </w:rPr>
        <w:t>et de l’Oriental (9,1%).</w:t>
      </w:r>
    </w:p>
    <w:p w:rsidR="00D401DB" w:rsidRDefault="00D401DB" w:rsidP="00015F97">
      <w:pPr>
        <w:spacing w:line="276" w:lineRule="auto"/>
        <w:ind w:left="116" w:right="76"/>
        <w:jc w:val="both"/>
        <w:rPr>
          <w:rFonts w:ascii="Book Antiqua" w:hAnsi="Book Antiqua"/>
          <w:sz w:val="24"/>
          <w:szCs w:val="24"/>
        </w:rPr>
      </w:pPr>
      <w:r w:rsidRPr="003367CF">
        <w:rPr>
          <w:rFonts w:ascii="Book Antiqua" w:hAnsi="Book Antiqua"/>
          <w:sz w:val="24"/>
          <w:szCs w:val="24"/>
        </w:rPr>
        <w:t>Les taux de chômage les plus élevés sont observ</w:t>
      </w:r>
      <w:r>
        <w:rPr>
          <w:rFonts w:ascii="Book Antiqua" w:hAnsi="Book Antiqua"/>
          <w:sz w:val="24"/>
          <w:szCs w:val="24"/>
        </w:rPr>
        <w:t>és dans les régions du Sud (19,9%) et de l’Oriental (18,5</w:t>
      </w:r>
      <w:r w:rsidRPr="003367CF">
        <w:rPr>
          <w:rFonts w:ascii="Book Antiqua" w:hAnsi="Book Antiqua"/>
          <w:sz w:val="24"/>
          <w:szCs w:val="24"/>
        </w:rPr>
        <w:t>%)</w:t>
      </w:r>
      <w:r>
        <w:rPr>
          <w:rFonts w:ascii="Book Antiqua" w:hAnsi="Book Antiqua"/>
          <w:sz w:val="24"/>
          <w:szCs w:val="24"/>
        </w:rPr>
        <w:t xml:space="preserve">. </w:t>
      </w:r>
      <w:r w:rsidRPr="003367CF">
        <w:rPr>
          <w:rFonts w:ascii="Book Antiqua" w:hAnsi="Book Antiqua"/>
          <w:sz w:val="24"/>
          <w:szCs w:val="24"/>
        </w:rPr>
        <w:t xml:space="preserve">Avec moins d’acuité, </w:t>
      </w:r>
      <w:r>
        <w:rPr>
          <w:rFonts w:ascii="Book Antiqua" w:hAnsi="Book Antiqua"/>
          <w:sz w:val="24"/>
          <w:szCs w:val="24"/>
        </w:rPr>
        <w:t>trois</w:t>
      </w:r>
      <w:r w:rsidRPr="003367CF">
        <w:rPr>
          <w:rFonts w:ascii="Book Antiqua" w:hAnsi="Book Antiqua"/>
          <w:sz w:val="24"/>
          <w:szCs w:val="24"/>
        </w:rPr>
        <w:t xml:space="preserve"> régions dépa</w:t>
      </w:r>
      <w:r>
        <w:rPr>
          <w:rFonts w:ascii="Book Antiqua" w:hAnsi="Book Antiqua"/>
          <w:sz w:val="24"/>
          <w:szCs w:val="24"/>
        </w:rPr>
        <w:t>ssent la moyenne nationale (12,9</w:t>
      </w:r>
      <w:r w:rsidRPr="003367CF">
        <w:rPr>
          <w:rFonts w:ascii="Book Antiqua" w:hAnsi="Book Antiqua"/>
          <w:sz w:val="24"/>
          <w:szCs w:val="24"/>
        </w:rPr>
        <w:t>%) à savoir</w:t>
      </w:r>
      <w:r w:rsidR="004805D0">
        <w:rPr>
          <w:rFonts w:ascii="Book Antiqua" w:hAnsi="Book Antiqua"/>
          <w:sz w:val="24"/>
          <w:szCs w:val="24"/>
        </w:rPr>
        <w:t xml:space="preserve"> </w:t>
      </w:r>
      <w:r>
        <w:rPr>
          <w:rFonts w:ascii="Book Antiqua" w:hAnsi="Book Antiqua"/>
          <w:sz w:val="24"/>
          <w:szCs w:val="24"/>
        </w:rPr>
        <w:t>Casablanca-Settat (15,1%),</w:t>
      </w:r>
      <w:r w:rsidR="00940768">
        <w:rPr>
          <w:rFonts w:ascii="Book Antiqua" w:hAnsi="Book Antiqua"/>
          <w:sz w:val="24"/>
          <w:szCs w:val="24"/>
        </w:rPr>
        <w:t xml:space="preserve"> </w:t>
      </w:r>
      <w:r>
        <w:rPr>
          <w:rFonts w:ascii="Book Antiqua" w:hAnsi="Book Antiqua"/>
          <w:sz w:val="24"/>
          <w:szCs w:val="24"/>
        </w:rPr>
        <w:t>Fès-Meknès (14,5%)</w:t>
      </w:r>
      <w:r w:rsidR="00940768">
        <w:rPr>
          <w:rFonts w:ascii="Book Antiqua" w:hAnsi="Book Antiqua"/>
          <w:sz w:val="24"/>
          <w:szCs w:val="24"/>
        </w:rPr>
        <w:t xml:space="preserve"> </w:t>
      </w:r>
      <w:r>
        <w:rPr>
          <w:rFonts w:ascii="Book Antiqua" w:hAnsi="Book Antiqua"/>
          <w:sz w:val="24"/>
          <w:szCs w:val="24"/>
        </w:rPr>
        <w:t>et Souss-Massa (13,6%)</w:t>
      </w:r>
      <w:r w:rsidRPr="003367CF">
        <w:rPr>
          <w:rFonts w:ascii="Book Antiqua" w:hAnsi="Book Antiqua"/>
          <w:sz w:val="24"/>
          <w:szCs w:val="24"/>
        </w:rPr>
        <w:t>.</w:t>
      </w:r>
      <w:r>
        <w:rPr>
          <w:rFonts w:ascii="Book Antiqua" w:hAnsi="Book Antiqua"/>
          <w:sz w:val="24"/>
          <w:szCs w:val="24"/>
        </w:rPr>
        <w:t xml:space="preserve"> Cependant</w:t>
      </w:r>
      <w:r w:rsidRPr="003367CF">
        <w:rPr>
          <w:rFonts w:ascii="Book Antiqua" w:hAnsi="Book Antiqua"/>
          <w:sz w:val="24"/>
          <w:szCs w:val="24"/>
        </w:rPr>
        <w:t>, les régions de</w:t>
      </w:r>
      <w:r w:rsidR="00940768">
        <w:rPr>
          <w:rFonts w:ascii="Book Antiqua" w:hAnsi="Book Antiqua"/>
          <w:sz w:val="24"/>
          <w:szCs w:val="24"/>
        </w:rPr>
        <w:t xml:space="preserve"> </w:t>
      </w:r>
      <w:r w:rsidRPr="003367CF">
        <w:rPr>
          <w:rFonts w:ascii="Book Antiqua" w:hAnsi="Book Antiqua"/>
          <w:sz w:val="24"/>
          <w:szCs w:val="24"/>
        </w:rPr>
        <w:t>Marrakech-Safi, de Drâa-Tafilalet et de Tanger-Tétouan-Al Hoceima enregistrent les taux les plus bas</w:t>
      </w:r>
      <w:r w:rsidR="00015F97">
        <w:rPr>
          <w:rFonts w:ascii="Book Antiqua" w:hAnsi="Book Antiqua"/>
          <w:sz w:val="24"/>
          <w:szCs w:val="24"/>
        </w:rPr>
        <w:t xml:space="preserve">, </w:t>
      </w:r>
      <w:r w:rsidRPr="003367CF">
        <w:rPr>
          <w:rFonts w:ascii="Book Antiqua" w:hAnsi="Book Antiqua"/>
          <w:sz w:val="24"/>
          <w:szCs w:val="24"/>
        </w:rPr>
        <w:t xml:space="preserve">respectivement </w:t>
      </w:r>
      <w:r>
        <w:rPr>
          <w:rFonts w:ascii="Book Antiqua" w:hAnsi="Book Antiqua"/>
          <w:sz w:val="24"/>
          <w:szCs w:val="24"/>
        </w:rPr>
        <w:t>7,7</w:t>
      </w:r>
      <w:r w:rsidRPr="003367CF">
        <w:rPr>
          <w:rFonts w:ascii="Book Antiqua" w:hAnsi="Book Antiqua"/>
          <w:sz w:val="24"/>
          <w:szCs w:val="24"/>
        </w:rPr>
        <w:t xml:space="preserve">%, </w:t>
      </w:r>
      <w:r>
        <w:rPr>
          <w:rFonts w:ascii="Book Antiqua" w:hAnsi="Book Antiqua"/>
          <w:sz w:val="24"/>
          <w:szCs w:val="24"/>
        </w:rPr>
        <w:t>10,9</w:t>
      </w:r>
      <w:r w:rsidRPr="003367CF">
        <w:rPr>
          <w:rFonts w:ascii="Book Antiqua" w:hAnsi="Book Antiqua"/>
          <w:sz w:val="24"/>
          <w:szCs w:val="24"/>
        </w:rPr>
        <w:t xml:space="preserve">% et </w:t>
      </w:r>
      <w:r>
        <w:rPr>
          <w:rFonts w:ascii="Book Antiqua" w:hAnsi="Book Antiqua"/>
          <w:sz w:val="24"/>
          <w:szCs w:val="24"/>
        </w:rPr>
        <w:t>11,2</w:t>
      </w:r>
      <w:r w:rsidRPr="003367CF">
        <w:rPr>
          <w:rFonts w:ascii="Book Antiqua" w:hAnsi="Book Antiqua"/>
          <w:sz w:val="24"/>
          <w:szCs w:val="24"/>
        </w:rPr>
        <w:t xml:space="preserve">%. </w:t>
      </w:r>
    </w:p>
    <w:p w:rsidR="00D401DB" w:rsidRPr="00610479" w:rsidRDefault="00D401DB" w:rsidP="00461C49">
      <w:pPr>
        <w:jc w:val="center"/>
        <w:rPr>
          <w:rFonts w:ascii="Book Antiqua" w:hAnsi="Book Antiqua" w:cs="Times New Roman"/>
          <w:sz w:val="24"/>
          <w:szCs w:val="24"/>
        </w:rPr>
      </w:pPr>
      <w:r w:rsidRPr="0016011E">
        <w:rPr>
          <w:rFonts w:ascii="Book Antiqua" w:hAnsi="Book Antiqua" w:cs="Times New Roman"/>
          <w:b/>
          <w:bCs/>
          <w:sz w:val="20"/>
          <w:szCs w:val="20"/>
        </w:rPr>
        <w:lastRenderedPageBreak/>
        <w:t xml:space="preserve">Figure </w:t>
      </w:r>
      <w:r w:rsidR="00461C49">
        <w:rPr>
          <w:rFonts w:ascii="Book Antiqua" w:hAnsi="Book Antiqua" w:cs="Times New Roman"/>
          <w:b/>
          <w:bCs/>
          <w:sz w:val="20"/>
          <w:szCs w:val="20"/>
        </w:rPr>
        <w:t>6</w:t>
      </w:r>
      <w:r>
        <w:rPr>
          <w:rFonts w:ascii="Book Antiqua" w:hAnsi="Book Antiqua" w:cs="Times New Roman"/>
          <w:b/>
          <w:bCs/>
          <w:sz w:val="20"/>
          <w:szCs w:val="20"/>
        </w:rPr>
        <w:t xml:space="preserve">. </w:t>
      </w:r>
      <w:r w:rsidRPr="0016011E">
        <w:rPr>
          <w:rFonts w:ascii="Book Antiqua" w:hAnsi="Book Antiqua" w:cs="Times New Roman"/>
          <w:b/>
          <w:bCs/>
          <w:sz w:val="20"/>
          <w:szCs w:val="20"/>
        </w:rPr>
        <w:t xml:space="preserve">Taux de </w:t>
      </w:r>
      <w:r>
        <w:rPr>
          <w:rFonts w:ascii="Book Antiqua" w:hAnsi="Book Antiqua" w:cs="Times New Roman"/>
          <w:b/>
          <w:bCs/>
          <w:sz w:val="20"/>
          <w:szCs w:val="20"/>
        </w:rPr>
        <w:t>chômage selon les régions au premier trimestre de 2023</w:t>
      </w:r>
      <w:r w:rsidRPr="0016011E">
        <w:rPr>
          <w:rFonts w:ascii="Book Antiqua" w:hAnsi="Book Antiqua" w:cs="Times New Roman"/>
          <w:b/>
          <w:bCs/>
          <w:sz w:val="20"/>
          <w:szCs w:val="20"/>
        </w:rPr>
        <w:t xml:space="preserve"> (en%)</w:t>
      </w:r>
      <w:r w:rsidRPr="00E460E5">
        <w:rPr>
          <w:rFonts w:ascii="Book Antiqua" w:hAnsi="Book Antiqua" w:cs="Browallia New"/>
          <w:b/>
          <w:bCs/>
          <w:noProof/>
          <w:color w:val="4472C4" w:themeColor="accent1"/>
          <w:sz w:val="20"/>
          <w:szCs w:val="20"/>
          <w:lang w:eastAsia="fr-FR"/>
        </w:rPr>
        <w:drawing>
          <wp:inline distT="0" distB="0" distL="0" distR="0">
            <wp:extent cx="4572000" cy="2743200"/>
            <wp:effectExtent l="0" t="0" r="0" b="0"/>
            <wp:docPr id="1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Book Antiqua" w:hAnsi="Book Antiqua" w:cs="Browallia New"/>
          <w:b/>
          <w:bCs/>
          <w:color w:val="4472C4" w:themeColor="accent1"/>
          <w:sz w:val="20"/>
          <w:szCs w:val="20"/>
        </w:rPr>
        <w:br w:type="page"/>
      </w:r>
    </w:p>
    <w:p w:rsidR="00D401DB" w:rsidRDefault="00D401DB" w:rsidP="00D401DB">
      <w:pPr>
        <w:spacing w:line="240" w:lineRule="auto"/>
        <w:rPr>
          <w:rFonts w:ascii="Book Antiqua" w:hAnsi="Book Antiqua" w:cs="Browallia New"/>
          <w:b/>
          <w:bCs/>
          <w:color w:val="4472C4" w:themeColor="accent1"/>
          <w:sz w:val="20"/>
          <w:szCs w:val="20"/>
          <w:vertAlign w:val="superscript"/>
        </w:rPr>
      </w:pPr>
      <w:r w:rsidRPr="001D45AF">
        <w:rPr>
          <w:rFonts w:ascii="Book Antiqua" w:hAnsi="Book Antiqua" w:cs="Browallia New"/>
          <w:b/>
          <w:bCs/>
          <w:color w:val="4472C4" w:themeColor="accent1"/>
          <w:sz w:val="20"/>
          <w:szCs w:val="20"/>
        </w:rPr>
        <w:lastRenderedPageBreak/>
        <w:t>Tableau 1 : Indicateurs trimestriels d'activité, d’emploi et de chômage par milieu de résidence</w:t>
      </w:r>
      <w:r w:rsidRPr="001D45AF">
        <w:rPr>
          <w:rFonts w:ascii="Book Antiqua" w:hAnsi="Book Antiqua" w:cs="Browallia New"/>
          <w:b/>
          <w:bCs/>
          <w:color w:val="4472C4" w:themeColor="accent1"/>
          <w:sz w:val="20"/>
          <w:szCs w:val="20"/>
          <w:vertAlign w:val="superscript"/>
        </w:rPr>
        <w:t xml:space="preserve"> (1)</w:t>
      </w:r>
    </w:p>
    <w:tbl>
      <w:tblPr>
        <w:tblW w:w="9561" w:type="dxa"/>
        <w:tblInd w:w="-72" w:type="dxa"/>
        <w:tblCellMar>
          <w:left w:w="70" w:type="dxa"/>
          <w:right w:w="70" w:type="dxa"/>
        </w:tblCellMar>
        <w:tblLook w:val="04A0"/>
      </w:tblPr>
      <w:tblGrid>
        <w:gridCol w:w="4316"/>
        <w:gridCol w:w="807"/>
        <w:gridCol w:w="879"/>
        <w:gridCol w:w="921"/>
        <w:gridCol w:w="876"/>
        <w:gridCol w:w="841"/>
        <w:gridCol w:w="921"/>
      </w:tblGrid>
      <w:tr w:rsidR="00D401DB" w:rsidRPr="001145BE" w:rsidTr="008759D1">
        <w:trPr>
          <w:trHeight w:val="160"/>
        </w:trPr>
        <w:tc>
          <w:tcPr>
            <w:tcW w:w="43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401DB" w:rsidRPr="001145BE" w:rsidRDefault="00D401DB" w:rsidP="00FB4D04">
            <w:pPr>
              <w:bidi/>
              <w:spacing w:after="0" w:line="240" w:lineRule="auto"/>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rtl/>
                <w:lang w:eastAsia="fr-FR"/>
              </w:rPr>
              <w:t> </w:t>
            </w:r>
          </w:p>
        </w:tc>
        <w:tc>
          <w:tcPr>
            <w:tcW w:w="2607" w:type="dxa"/>
            <w:gridSpan w:val="3"/>
            <w:tcBorders>
              <w:top w:val="single" w:sz="4" w:space="0" w:color="auto"/>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1</w:t>
            </w:r>
            <w:r w:rsidRPr="0043591D">
              <w:rPr>
                <w:rFonts w:ascii="Garamond" w:eastAsia="Times New Roman" w:hAnsi="Garamond" w:cs="Calibri"/>
                <w:b/>
                <w:bCs/>
                <w:color w:val="000000"/>
                <w:sz w:val="20"/>
                <w:szCs w:val="20"/>
                <w:vertAlign w:val="superscript"/>
                <w:lang w:eastAsia="fr-FR"/>
              </w:rPr>
              <w:t>er</w:t>
            </w:r>
            <w:r w:rsidR="00940768">
              <w:rPr>
                <w:rFonts w:ascii="Garamond" w:eastAsia="Times New Roman" w:hAnsi="Garamond" w:cs="Calibri"/>
                <w:b/>
                <w:bCs/>
                <w:color w:val="000000"/>
                <w:sz w:val="20"/>
                <w:szCs w:val="20"/>
                <w:vertAlign w:val="superscript"/>
                <w:lang w:eastAsia="fr-FR"/>
              </w:rPr>
              <w:t xml:space="preserve"> </w:t>
            </w:r>
            <w:r w:rsidR="004D3E03">
              <w:rPr>
                <w:rFonts w:ascii="Garamond" w:eastAsia="Times New Roman" w:hAnsi="Garamond" w:cs="Calibri"/>
                <w:b/>
                <w:bCs/>
                <w:color w:val="000000"/>
                <w:sz w:val="20"/>
                <w:szCs w:val="20"/>
                <w:lang w:eastAsia="fr-FR"/>
              </w:rPr>
              <w:t>trimestre</w:t>
            </w:r>
            <w:r>
              <w:rPr>
                <w:rFonts w:ascii="Garamond" w:eastAsia="Times New Roman" w:hAnsi="Garamond" w:cs="Calibri"/>
                <w:b/>
                <w:bCs/>
                <w:color w:val="000000"/>
                <w:sz w:val="20"/>
                <w:szCs w:val="20"/>
                <w:lang w:eastAsia="fr-FR"/>
              </w:rPr>
              <w:t xml:space="preserve"> 2022</w:t>
            </w:r>
          </w:p>
        </w:tc>
        <w:tc>
          <w:tcPr>
            <w:tcW w:w="2638" w:type="dxa"/>
            <w:gridSpan w:val="3"/>
            <w:tcBorders>
              <w:top w:val="single" w:sz="4" w:space="0" w:color="auto"/>
              <w:left w:val="nil"/>
              <w:bottom w:val="single" w:sz="4" w:space="0" w:color="auto"/>
              <w:right w:val="single" w:sz="4" w:space="0" w:color="auto"/>
            </w:tcBorders>
            <w:shd w:val="clear" w:color="auto" w:fill="auto"/>
            <w:noWrap/>
            <w:hideMark/>
          </w:tcPr>
          <w:p w:rsidR="00D401DB" w:rsidRPr="008759D1" w:rsidRDefault="00D401DB" w:rsidP="00FB4D04">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1</w:t>
            </w:r>
            <w:r w:rsidRPr="008759D1">
              <w:rPr>
                <w:rFonts w:ascii="Garamond" w:eastAsia="Times New Roman" w:hAnsi="Garamond" w:cs="Calibri"/>
                <w:b/>
                <w:bCs/>
                <w:color w:val="000000"/>
                <w:sz w:val="20"/>
                <w:szCs w:val="20"/>
                <w:vertAlign w:val="superscript"/>
                <w:lang w:eastAsia="fr-FR"/>
              </w:rPr>
              <w:t xml:space="preserve">er </w:t>
            </w:r>
            <w:r w:rsidR="004D3E03">
              <w:rPr>
                <w:rFonts w:ascii="Garamond" w:eastAsia="Times New Roman" w:hAnsi="Garamond" w:cs="Calibri"/>
                <w:b/>
                <w:bCs/>
                <w:color w:val="000000"/>
                <w:sz w:val="20"/>
                <w:szCs w:val="20"/>
                <w:lang w:eastAsia="fr-FR"/>
              </w:rPr>
              <w:t>trimestre</w:t>
            </w:r>
            <w:r>
              <w:rPr>
                <w:rFonts w:ascii="Garamond" w:eastAsia="Times New Roman" w:hAnsi="Garamond" w:cs="Calibri"/>
                <w:b/>
                <w:bCs/>
                <w:color w:val="000000"/>
                <w:sz w:val="20"/>
                <w:szCs w:val="20"/>
                <w:lang w:eastAsia="fr-FR"/>
              </w:rPr>
              <w:t xml:space="preserve"> 2023</w:t>
            </w:r>
          </w:p>
        </w:tc>
      </w:tr>
      <w:tr w:rsidR="00D401DB" w:rsidRPr="001145BE" w:rsidTr="008759D1">
        <w:trPr>
          <w:trHeight w:val="136"/>
        </w:trPr>
        <w:tc>
          <w:tcPr>
            <w:tcW w:w="4316" w:type="dxa"/>
            <w:vMerge/>
            <w:tcBorders>
              <w:top w:val="single" w:sz="4" w:space="0" w:color="auto"/>
              <w:left w:val="single" w:sz="4" w:space="0" w:color="auto"/>
              <w:bottom w:val="single" w:sz="4" w:space="0" w:color="auto"/>
              <w:right w:val="single" w:sz="4" w:space="0" w:color="auto"/>
            </w:tcBorders>
            <w:vAlign w:val="center"/>
            <w:hideMark/>
          </w:tcPr>
          <w:p w:rsidR="00D401DB" w:rsidRPr="001145BE" w:rsidRDefault="00D401DB" w:rsidP="00FB4D04">
            <w:pPr>
              <w:spacing w:after="0" w:line="240" w:lineRule="auto"/>
              <w:rPr>
                <w:rFonts w:ascii="Garamond" w:eastAsia="Times New Roman" w:hAnsi="Garamond" w:cs="Calibri"/>
                <w:b/>
                <w:bCs/>
                <w:color w:val="000000"/>
                <w:sz w:val="18"/>
                <w:szCs w:val="18"/>
                <w:lang w:eastAsia="fr-FR"/>
              </w:rPr>
            </w:pPr>
          </w:p>
        </w:tc>
        <w:tc>
          <w:tcPr>
            <w:tcW w:w="807" w:type="dxa"/>
            <w:tcBorders>
              <w:top w:val="nil"/>
              <w:left w:val="nil"/>
              <w:bottom w:val="single" w:sz="4" w:space="0" w:color="auto"/>
              <w:right w:val="single" w:sz="4" w:space="0" w:color="auto"/>
            </w:tcBorders>
            <w:shd w:val="clear" w:color="auto" w:fill="auto"/>
            <w:hideMark/>
          </w:tcPr>
          <w:p w:rsidR="00D401DB" w:rsidRPr="001145BE" w:rsidRDefault="00D401DB" w:rsidP="00FB4D04">
            <w:pPr>
              <w:bidi/>
              <w:spacing w:after="0" w:line="240" w:lineRule="auto"/>
              <w:jc w:val="center"/>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Urbain</w:t>
            </w:r>
          </w:p>
        </w:tc>
        <w:tc>
          <w:tcPr>
            <w:tcW w:w="879" w:type="dxa"/>
            <w:tcBorders>
              <w:top w:val="nil"/>
              <w:left w:val="nil"/>
              <w:bottom w:val="single" w:sz="4" w:space="0" w:color="auto"/>
              <w:right w:val="single" w:sz="4" w:space="0" w:color="auto"/>
            </w:tcBorders>
            <w:shd w:val="clear" w:color="auto" w:fill="auto"/>
            <w:hideMark/>
          </w:tcPr>
          <w:p w:rsidR="00D401DB" w:rsidRPr="001145BE" w:rsidRDefault="00D401DB" w:rsidP="00FB4D04">
            <w:pPr>
              <w:bidi/>
              <w:spacing w:after="0" w:line="240" w:lineRule="auto"/>
              <w:jc w:val="center"/>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Rural</w:t>
            </w:r>
          </w:p>
        </w:tc>
        <w:tc>
          <w:tcPr>
            <w:tcW w:w="921" w:type="dxa"/>
            <w:tcBorders>
              <w:top w:val="nil"/>
              <w:left w:val="nil"/>
              <w:bottom w:val="single" w:sz="4" w:space="0" w:color="auto"/>
              <w:right w:val="single" w:sz="4" w:space="0" w:color="auto"/>
            </w:tcBorders>
            <w:shd w:val="clear" w:color="auto" w:fill="auto"/>
            <w:hideMark/>
          </w:tcPr>
          <w:p w:rsidR="00D401DB" w:rsidRPr="001145BE" w:rsidRDefault="00D401DB" w:rsidP="00FB4D04">
            <w:pPr>
              <w:bidi/>
              <w:spacing w:after="0" w:line="240" w:lineRule="auto"/>
              <w:jc w:val="center"/>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Ensemble</w:t>
            </w:r>
          </w:p>
        </w:tc>
        <w:tc>
          <w:tcPr>
            <w:tcW w:w="876" w:type="dxa"/>
            <w:tcBorders>
              <w:top w:val="nil"/>
              <w:left w:val="nil"/>
              <w:bottom w:val="single" w:sz="4" w:space="0" w:color="auto"/>
              <w:right w:val="single" w:sz="4" w:space="0" w:color="auto"/>
            </w:tcBorders>
            <w:shd w:val="clear" w:color="auto" w:fill="auto"/>
            <w:hideMark/>
          </w:tcPr>
          <w:p w:rsidR="00D401DB" w:rsidRPr="001145BE" w:rsidRDefault="00D401DB" w:rsidP="00FB4D04">
            <w:pPr>
              <w:bidi/>
              <w:spacing w:after="0" w:line="240" w:lineRule="auto"/>
              <w:jc w:val="center"/>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Urbain</w:t>
            </w:r>
          </w:p>
        </w:tc>
        <w:tc>
          <w:tcPr>
            <w:tcW w:w="841" w:type="dxa"/>
            <w:tcBorders>
              <w:top w:val="nil"/>
              <w:left w:val="nil"/>
              <w:bottom w:val="single" w:sz="4" w:space="0" w:color="auto"/>
              <w:right w:val="single" w:sz="4" w:space="0" w:color="auto"/>
            </w:tcBorders>
            <w:shd w:val="clear" w:color="auto" w:fill="auto"/>
            <w:hideMark/>
          </w:tcPr>
          <w:p w:rsidR="00D401DB" w:rsidRPr="001145BE" w:rsidRDefault="00D401DB" w:rsidP="00FB4D04">
            <w:pPr>
              <w:bidi/>
              <w:spacing w:after="0" w:line="240" w:lineRule="auto"/>
              <w:jc w:val="center"/>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Rural</w:t>
            </w:r>
          </w:p>
        </w:tc>
        <w:tc>
          <w:tcPr>
            <w:tcW w:w="921" w:type="dxa"/>
            <w:tcBorders>
              <w:top w:val="nil"/>
              <w:left w:val="nil"/>
              <w:bottom w:val="single" w:sz="4" w:space="0" w:color="auto"/>
              <w:right w:val="single" w:sz="4" w:space="0" w:color="auto"/>
            </w:tcBorders>
            <w:shd w:val="clear" w:color="auto" w:fill="auto"/>
            <w:hideMark/>
          </w:tcPr>
          <w:p w:rsidR="00D401DB" w:rsidRPr="001145BE" w:rsidRDefault="00D401DB" w:rsidP="00FB4D04">
            <w:pPr>
              <w:bidi/>
              <w:spacing w:after="0" w:line="240" w:lineRule="auto"/>
              <w:jc w:val="center"/>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Ensemble</w:t>
            </w:r>
          </w:p>
        </w:tc>
      </w:tr>
      <w:tr w:rsidR="00D401DB" w:rsidRPr="001145BE" w:rsidTr="008759D1">
        <w:trPr>
          <w:trHeight w:val="166"/>
        </w:trPr>
        <w:tc>
          <w:tcPr>
            <w:tcW w:w="956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rPr>
                <w:rFonts w:ascii="Garamond" w:eastAsia="Times New Roman" w:hAnsi="Garamond" w:cs="Calibri"/>
                <w:b/>
                <w:bCs/>
                <w:color w:val="1F497D"/>
                <w:sz w:val="18"/>
                <w:szCs w:val="18"/>
                <w:lang w:eastAsia="fr-FR"/>
              </w:rPr>
            </w:pPr>
            <w:r w:rsidRPr="001145BE">
              <w:rPr>
                <w:rFonts w:ascii="Garamond" w:eastAsia="Times New Roman" w:hAnsi="Garamond" w:cs="Calibri"/>
                <w:b/>
                <w:bCs/>
                <w:color w:val="1F497D"/>
                <w:sz w:val="18"/>
                <w:szCs w:val="18"/>
                <w:lang w:eastAsia="fr-FR"/>
              </w:rPr>
              <w:t>Activité (des 15 ans et plus)</w:t>
            </w:r>
          </w:p>
        </w:tc>
      </w:tr>
      <w:tr w:rsidR="00D401DB" w:rsidRPr="001145BE" w:rsidTr="008759D1">
        <w:trPr>
          <w:trHeight w:val="226"/>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Population active</w:t>
            </w:r>
            <w:r w:rsidR="008759D1">
              <w:rPr>
                <w:rFonts w:ascii="Garamond" w:eastAsia="Times New Roman" w:hAnsi="Garamond" w:cs="Calibri"/>
                <w:b/>
                <w:bCs/>
                <w:color w:val="000000"/>
                <w:sz w:val="18"/>
                <w:szCs w:val="18"/>
                <w:lang w:eastAsia="fr-FR"/>
              </w:rPr>
              <w:t xml:space="preserve"> (en milliers)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7 542</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4 621</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12 163</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7 558</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4 409</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11 967</w:t>
            </w:r>
          </w:p>
        </w:tc>
      </w:tr>
      <w:tr w:rsidR="00D401DB" w:rsidRPr="001145BE" w:rsidTr="008759D1">
        <w:trPr>
          <w:trHeight w:val="130"/>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Taux de féminité de la population active</w:t>
            </w:r>
            <w:r>
              <w:rPr>
                <w:rFonts w:ascii="Garamond" w:eastAsia="Times New Roman" w:hAnsi="Garamond" w:cs="Calibri"/>
                <w:color w:val="000000"/>
                <w:sz w:val="18"/>
                <w:szCs w:val="18"/>
                <w:lang w:eastAsia="fr-FR"/>
              </w:rPr>
              <w:t xml:space="preserve"> (en %)</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22,3</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23,8</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22,9</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22,8</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21,2</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22,2</w:t>
            </w:r>
          </w:p>
        </w:tc>
      </w:tr>
      <w:tr w:rsidR="00D401DB" w:rsidRPr="001145BE" w:rsidTr="008759D1">
        <w:trPr>
          <w:trHeight w:val="204"/>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Taux d'activité</w:t>
            </w:r>
            <w:r>
              <w:rPr>
                <w:rFonts w:ascii="Garamond" w:eastAsia="Times New Roman" w:hAnsi="Garamond" w:cs="Calibri"/>
                <w:color w:val="000000"/>
                <w:sz w:val="18"/>
                <w:szCs w:val="18"/>
                <w:lang w:eastAsia="fr-FR"/>
              </w:rPr>
              <w:t xml:space="preserve"> (en %)</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41,9</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49,3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44,5</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41,2</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47,0</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43,1</w:t>
            </w:r>
          </w:p>
        </w:tc>
      </w:tr>
      <w:tr w:rsidR="00D401DB" w:rsidRPr="001145BE" w:rsidTr="008759D1">
        <w:trPr>
          <w:trHeight w:val="135"/>
        </w:trPr>
        <w:tc>
          <w:tcPr>
            <w:tcW w:w="9561"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1145BE">
              <w:rPr>
                <w:rFonts w:ascii="Garamond" w:eastAsia="Times New Roman" w:hAnsi="Garamond" w:cs="Calibri"/>
                <w:i/>
                <w:iCs/>
                <w:color w:val="000000"/>
                <w:sz w:val="18"/>
                <w:szCs w:val="18"/>
                <w:lang w:eastAsia="fr-FR"/>
              </w:rPr>
              <w:t>• Selon le sexe</w:t>
            </w:r>
          </w:p>
        </w:tc>
      </w:tr>
      <w:tr w:rsidR="00D401DB" w:rsidRPr="001145BE" w:rsidTr="008759D1">
        <w:trPr>
          <w:trHeight w:val="209"/>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Hommes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67,2</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74,1</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69,6</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65,6</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72,7</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68,1</w:t>
            </w:r>
          </w:p>
        </w:tc>
      </w:tr>
      <w:tr w:rsidR="00D401DB" w:rsidRPr="001145BE" w:rsidTr="008759D1">
        <w:trPr>
          <w:trHeight w:val="113"/>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Femmes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18,2</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23,8</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20,0</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18,2</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20,3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18,9</w:t>
            </w:r>
          </w:p>
        </w:tc>
      </w:tr>
      <w:tr w:rsidR="00D401DB" w:rsidRPr="001145BE" w:rsidTr="008759D1">
        <w:trPr>
          <w:trHeight w:val="187"/>
        </w:trPr>
        <w:tc>
          <w:tcPr>
            <w:tcW w:w="956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1145BE">
              <w:rPr>
                <w:rFonts w:ascii="Garamond" w:eastAsia="Times New Roman" w:hAnsi="Garamond" w:cs="Calibri"/>
                <w:i/>
                <w:iCs/>
                <w:color w:val="000000"/>
                <w:sz w:val="18"/>
                <w:szCs w:val="18"/>
                <w:lang w:eastAsia="fr-FR"/>
              </w:rPr>
              <w:t>• Selon l'âge</w:t>
            </w:r>
          </w:p>
        </w:tc>
      </w:tr>
      <w:tr w:rsidR="00D401DB" w:rsidRPr="001145BE" w:rsidTr="008759D1">
        <w:trPr>
          <w:trHeight w:val="133"/>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15-24 ans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20,5</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26,0</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22,7</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19,5</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25,5</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21,9</w:t>
            </w:r>
          </w:p>
        </w:tc>
      </w:tr>
      <w:tr w:rsidR="00D401DB" w:rsidRPr="001145BE" w:rsidTr="008759D1">
        <w:trPr>
          <w:trHeight w:val="207"/>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25-34 ans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59,4</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60,8</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59,8</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59,0</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59,2</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59,1</w:t>
            </w:r>
          </w:p>
        </w:tc>
      </w:tr>
      <w:tr w:rsidR="00D401DB" w:rsidRPr="001145BE" w:rsidTr="008759D1">
        <w:trPr>
          <w:trHeight w:val="125"/>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35-44 ans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56,8</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65,1</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59,5</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55,5</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61,9</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57,5</w:t>
            </w:r>
          </w:p>
        </w:tc>
      </w:tr>
      <w:tr w:rsidR="00D401DB" w:rsidRPr="001145BE" w:rsidTr="008759D1">
        <w:trPr>
          <w:trHeight w:val="185"/>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45 ans et plus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35,6</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51,5</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40,9</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35,0</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48,1</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39,3</w:t>
            </w:r>
          </w:p>
        </w:tc>
      </w:tr>
      <w:tr w:rsidR="00D401DB" w:rsidRPr="001145BE" w:rsidTr="008759D1">
        <w:trPr>
          <w:trHeight w:val="259"/>
        </w:trPr>
        <w:tc>
          <w:tcPr>
            <w:tcW w:w="9561"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1145BE">
              <w:rPr>
                <w:rFonts w:ascii="Garamond" w:eastAsia="Times New Roman" w:hAnsi="Garamond" w:cs="Calibri"/>
                <w:i/>
                <w:iCs/>
                <w:color w:val="000000"/>
                <w:sz w:val="18"/>
                <w:szCs w:val="18"/>
                <w:lang w:eastAsia="fr-FR"/>
              </w:rPr>
              <w:t>• Selon le diplôme</w:t>
            </w:r>
          </w:p>
        </w:tc>
      </w:tr>
      <w:tr w:rsidR="00D401DB" w:rsidRPr="001145BE" w:rsidTr="008759D1">
        <w:trPr>
          <w:trHeight w:val="135"/>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Non diplômés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34,5</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52,0</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42,6</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33,4</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49,3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40,6</w:t>
            </w:r>
          </w:p>
        </w:tc>
      </w:tr>
      <w:tr w:rsidR="00D401DB" w:rsidRPr="001145BE" w:rsidTr="008759D1">
        <w:trPr>
          <w:trHeight w:val="209"/>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Diplômés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47,1</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43,7</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46,3</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46,4</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42,4</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45,5</w:t>
            </w:r>
          </w:p>
        </w:tc>
      </w:tr>
      <w:tr w:rsidR="00D401DB" w:rsidRPr="001145BE" w:rsidTr="008759D1">
        <w:trPr>
          <w:trHeight w:val="269"/>
        </w:trPr>
        <w:tc>
          <w:tcPr>
            <w:tcW w:w="9561"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1145BE" w:rsidRDefault="00D401DB" w:rsidP="00FB4D04">
            <w:pPr>
              <w:spacing w:after="0" w:line="240" w:lineRule="auto"/>
              <w:rPr>
                <w:rFonts w:ascii="Garamond" w:eastAsia="Times New Roman" w:hAnsi="Garamond" w:cs="Calibri"/>
                <w:b/>
                <w:bCs/>
                <w:color w:val="1F497D"/>
                <w:sz w:val="18"/>
                <w:szCs w:val="18"/>
                <w:lang w:eastAsia="fr-FR"/>
              </w:rPr>
            </w:pPr>
            <w:r w:rsidRPr="001145BE">
              <w:rPr>
                <w:rFonts w:ascii="Garamond" w:eastAsia="Times New Roman" w:hAnsi="Garamond" w:cs="Calibri"/>
                <w:b/>
                <w:bCs/>
                <w:color w:val="1F497D"/>
                <w:sz w:val="18"/>
                <w:szCs w:val="18"/>
                <w:lang w:eastAsia="fr-FR"/>
              </w:rPr>
              <w:t>Emploi (des 15 ans et plus)</w:t>
            </w:r>
          </w:p>
        </w:tc>
      </w:tr>
      <w:tr w:rsidR="00D401DB" w:rsidRPr="001145BE" w:rsidTr="008759D1">
        <w:trPr>
          <w:trHeight w:val="131"/>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Population active occupée</w:t>
            </w:r>
            <w:r w:rsidR="008759D1">
              <w:rPr>
                <w:rFonts w:ascii="Garamond" w:eastAsia="Times New Roman" w:hAnsi="Garamond" w:cs="Calibri"/>
                <w:b/>
                <w:bCs/>
                <w:color w:val="000000"/>
                <w:sz w:val="18"/>
                <w:szCs w:val="18"/>
                <w:lang w:eastAsia="fr-FR"/>
              </w:rPr>
              <w:t xml:space="preserve"> (en milliers)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6 313</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4 385</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10 697</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6 262</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4 156</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10 418</w:t>
            </w:r>
          </w:p>
        </w:tc>
      </w:tr>
      <w:tr w:rsidR="00D401DB" w:rsidRPr="001145BE" w:rsidTr="008759D1">
        <w:trPr>
          <w:trHeight w:val="205"/>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Taux d'emploi</w:t>
            </w:r>
            <w:r>
              <w:rPr>
                <w:rFonts w:ascii="Garamond" w:eastAsia="Times New Roman" w:hAnsi="Garamond" w:cs="Calibri"/>
                <w:color w:val="000000"/>
                <w:sz w:val="18"/>
                <w:szCs w:val="18"/>
                <w:lang w:eastAsia="fr-FR"/>
              </w:rPr>
              <w:t xml:space="preserve"> (en %)</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35,1</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46,8</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39,1</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34,1</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44,3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37,6</w:t>
            </w:r>
          </w:p>
        </w:tc>
      </w:tr>
      <w:tr w:rsidR="00D401DB" w:rsidRPr="001145BE" w:rsidTr="008759D1">
        <w:trPr>
          <w:trHeight w:val="137"/>
        </w:trPr>
        <w:tc>
          <w:tcPr>
            <w:tcW w:w="9561"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1145BE">
              <w:rPr>
                <w:rFonts w:ascii="Garamond" w:eastAsia="Times New Roman" w:hAnsi="Garamond" w:cs="Calibri"/>
                <w:i/>
                <w:iCs/>
                <w:color w:val="000000"/>
                <w:sz w:val="18"/>
                <w:szCs w:val="18"/>
                <w:lang w:eastAsia="fr-FR"/>
              </w:rPr>
              <w:t>• Selon le sexe</w:t>
            </w:r>
          </w:p>
        </w:tc>
      </w:tr>
      <w:tr w:rsidR="00D401DB" w:rsidRPr="001145BE" w:rsidTr="008759D1">
        <w:trPr>
          <w:trHeight w:val="197"/>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Hommes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58,1</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69,9</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62,3</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55,9</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68,4</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60,3</w:t>
            </w:r>
          </w:p>
        </w:tc>
      </w:tr>
      <w:tr w:rsidR="00D401DB" w:rsidRPr="001145BE" w:rsidTr="008759D1">
        <w:trPr>
          <w:trHeight w:val="129"/>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Femmes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13,4</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22,9</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16,6</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13,6</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19,3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15,5</w:t>
            </w:r>
          </w:p>
        </w:tc>
      </w:tr>
      <w:tr w:rsidR="00D401DB" w:rsidRPr="001145BE" w:rsidTr="008759D1">
        <w:trPr>
          <w:trHeight w:val="203"/>
        </w:trPr>
        <w:tc>
          <w:tcPr>
            <w:tcW w:w="9561"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1145BE"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Structure de l'emploi selon les secteurs d'activité économique</w:t>
            </w:r>
          </w:p>
        </w:tc>
      </w:tr>
      <w:tr w:rsidR="00D401DB" w:rsidRPr="001145BE" w:rsidTr="008759D1">
        <w:trPr>
          <w:trHeight w:val="277"/>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8759D1">
            <w:pPr>
              <w:spacing w:after="0" w:line="240" w:lineRule="auto"/>
              <w:ind w:firstLineChars="200" w:firstLine="36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 xml:space="preserve">Agriculture, </w:t>
            </w:r>
            <w:r w:rsidR="008759D1">
              <w:rPr>
                <w:rFonts w:ascii="Garamond" w:eastAsia="Times New Roman" w:hAnsi="Garamond" w:cs="Calibri"/>
                <w:color w:val="000000"/>
                <w:sz w:val="18"/>
                <w:szCs w:val="18"/>
                <w:lang w:eastAsia="fr-FR"/>
              </w:rPr>
              <w:t xml:space="preserve">forêt et </w:t>
            </w:r>
            <w:r w:rsidRPr="001145BE">
              <w:rPr>
                <w:rFonts w:ascii="Garamond" w:eastAsia="Times New Roman" w:hAnsi="Garamond" w:cs="Calibri"/>
                <w:color w:val="000000"/>
                <w:sz w:val="18"/>
                <w:szCs w:val="18"/>
                <w:lang w:eastAsia="fr-FR"/>
              </w:rPr>
              <w:t xml:space="preserve"> pêche</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4,0</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66,7</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29,7</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4,1</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64,3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28,1</w:t>
            </w:r>
          </w:p>
        </w:tc>
      </w:tr>
      <w:tr w:rsidR="00D401DB" w:rsidRPr="001145BE" w:rsidTr="008759D1">
        <w:trPr>
          <w:trHeight w:val="268"/>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Industrie (y compris artisanat)</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17,3</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4,6</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12,1</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17,1</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5,2</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12,3</w:t>
            </w:r>
          </w:p>
        </w:tc>
      </w:tr>
      <w:tr w:rsidR="00D401DB" w:rsidRPr="001145BE" w:rsidTr="008759D1">
        <w:trPr>
          <w:trHeight w:val="129"/>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BTP</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12,6</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9,6</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11,4</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12,3</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11,4</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12,0</w:t>
            </w:r>
          </w:p>
        </w:tc>
      </w:tr>
      <w:tr w:rsidR="00D401DB" w:rsidRPr="001145BE" w:rsidTr="008759D1">
        <w:trPr>
          <w:trHeight w:val="203"/>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Services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66,0</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19,1</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46,8</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66,3</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19,2</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47,5</w:t>
            </w:r>
          </w:p>
        </w:tc>
      </w:tr>
      <w:tr w:rsidR="00D401DB" w:rsidRPr="001145BE" w:rsidTr="008759D1">
        <w:trPr>
          <w:trHeight w:val="135"/>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Activités non déterminées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0,0</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0,0</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0,0</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0,1</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0,0</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0,1</w:t>
            </w:r>
          </w:p>
        </w:tc>
      </w:tr>
      <w:tr w:rsidR="00D401DB" w:rsidRPr="001145BE" w:rsidTr="008759D1">
        <w:trPr>
          <w:trHeight w:val="209"/>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Part de l'emploi rémunéré dans l'emploi total, dont :</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97,5</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70,7</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86,5</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97,7</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75,3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88,7</w:t>
            </w:r>
          </w:p>
        </w:tc>
      </w:tr>
      <w:tr w:rsidR="00D401DB" w:rsidRPr="001145BE" w:rsidTr="008759D1">
        <w:trPr>
          <w:trHeight w:val="128"/>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Salariés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66,9</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45,4</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59,7</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71,3</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51,7</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64,7</w:t>
            </w:r>
          </w:p>
        </w:tc>
      </w:tr>
      <w:tr w:rsidR="00D401DB" w:rsidRPr="001145BE" w:rsidTr="008759D1">
        <w:trPr>
          <w:trHeight w:val="187"/>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Auto-employés</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33,1</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54,6</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40,3</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28,7</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48,3</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35,3</w:t>
            </w:r>
          </w:p>
        </w:tc>
      </w:tr>
      <w:tr w:rsidR="00D401DB" w:rsidRPr="001145BE" w:rsidTr="008759D1">
        <w:trPr>
          <w:trHeight w:val="189"/>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rPr>
                <w:rFonts w:ascii="Garamond" w:eastAsia="Times New Roman" w:hAnsi="Garamond" w:cs="Calibri"/>
                <w:b/>
                <w:bCs/>
                <w:color w:val="000000"/>
                <w:sz w:val="18"/>
                <w:szCs w:val="18"/>
                <w:lang w:eastAsia="fr-FR"/>
              </w:rPr>
            </w:pPr>
            <w:r w:rsidRPr="001145BE">
              <w:rPr>
                <w:rFonts w:ascii="Garamond" w:eastAsia="Times New Roman" w:hAnsi="Garamond" w:cs="Calibri"/>
                <w:b/>
                <w:bCs/>
                <w:color w:val="000000"/>
                <w:sz w:val="18"/>
                <w:szCs w:val="18"/>
                <w:lang w:eastAsia="fr-FR"/>
              </w:rPr>
              <w:t>Population active occupée en sous-emploi</w:t>
            </w:r>
            <w:r w:rsidR="009055D4">
              <w:rPr>
                <w:rFonts w:ascii="Garamond" w:eastAsia="Times New Roman" w:hAnsi="Garamond" w:cs="Calibri"/>
                <w:b/>
                <w:bCs/>
                <w:color w:val="000000"/>
                <w:sz w:val="18"/>
                <w:szCs w:val="18"/>
                <w:lang w:eastAsia="fr-FR"/>
              </w:rPr>
              <w:t xml:space="preserve"> (en milliers) </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521</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466</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987</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573</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502</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1145BE">
              <w:rPr>
                <w:rFonts w:ascii="Garamond" w:eastAsia="Times New Roman" w:hAnsi="Garamond" w:cs="Calibri"/>
                <w:b/>
                <w:bCs/>
                <w:color w:val="010205"/>
                <w:sz w:val="18"/>
                <w:szCs w:val="18"/>
                <w:lang w:eastAsia="fr-FR"/>
              </w:rPr>
              <w:t>1 075</w:t>
            </w:r>
          </w:p>
        </w:tc>
      </w:tr>
      <w:tr w:rsidR="00D401DB" w:rsidRPr="001145BE" w:rsidTr="008759D1">
        <w:trPr>
          <w:trHeight w:val="121"/>
        </w:trPr>
        <w:tc>
          <w:tcPr>
            <w:tcW w:w="4316" w:type="dxa"/>
            <w:tcBorders>
              <w:top w:val="nil"/>
              <w:left w:val="single" w:sz="4" w:space="0" w:color="auto"/>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Taux de sous-emploi</w:t>
            </w:r>
            <w:r>
              <w:rPr>
                <w:rFonts w:ascii="Garamond" w:eastAsia="Times New Roman" w:hAnsi="Garamond" w:cs="Calibri"/>
                <w:color w:val="000000"/>
                <w:sz w:val="18"/>
                <w:szCs w:val="18"/>
                <w:lang w:eastAsia="fr-FR"/>
              </w:rPr>
              <w:t xml:space="preserve"> (en %)</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8,3</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10,6</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9,2</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9,1</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12,1</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10,3</w:t>
            </w:r>
          </w:p>
        </w:tc>
      </w:tr>
      <w:tr w:rsidR="00D401DB" w:rsidRPr="001145BE" w:rsidTr="008759D1">
        <w:trPr>
          <w:trHeight w:val="195"/>
        </w:trPr>
        <w:tc>
          <w:tcPr>
            <w:tcW w:w="9561"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1145BE"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1145BE">
              <w:rPr>
                <w:rFonts w:ascii="Garamond" w:eastAsia="Times New Roman" w:hAnsi="Garamond" w:cs="Calibri"/>
                <w:i/>
                <w:iCs/>
                <w:color w:val="000000"/>
                <w:sz w:val="18"/>
                <w:szCs w:val="18"/>
                <w:lang w:eastAsia="fr-FR"/>
              </w:rPr>
              <w:t>• Selon la forme de sous-emploi</w:t>
            </w:r>
          </w:p>
        </w:tc>
      </w:tr>
      <w:tr w:rsidR="00D401DB" w:rsidRPr="001145BE" w:rsidTr="008759D1">
        <w:trPr>
          <w:trHeight w:val="128"/>
        </w:trPr>
        <w:tc>
          <w:tcPr>
            <w:tcW w:w="4316" w:type="dxa"/>
            <w:tcBorders>
              <w:top w:val="nil"/>
              <w:left w:val="single" w:sz="4" w:space="0" w:color="auto"/>
              <w:bottom w:val="single" w:sz="4" w:space="0" w:color="auto"/>
              <w:right w:val="single" w:sz="4" w:space="0" w:color="auto"/>
            </w:tcBorders>
            <w:shd w:val="clear" w:color="auto" w:fill="auto"/>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Sous-emploi visible (lié à la durée de travail)</w:t>
            </w:r>
          </w:p>
        </w:tc>
        <w:tc>
          <w:tcPr>
            <w:tcW w:w="807"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3,6</w:t>
            </w:r>
          </w:p>
        </w:tc>
        <w:tc>
          <w:tcPr>
            <w:tcW w:w="879"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5,9</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4,5</w:t>
            </w:r>
          </w:p>
        </w:tc>
        <w:tc>
          <w:tcPr>
            <w:tcW w:w="876"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4,1</w:t>
            </w:r>
          </w:p>
        </w:tc>
        <w:tc>
          <w:tcPr>
            <w:tcW w:w="84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6,1</w:t>
            </w:r>
          </w:p>
        </w:tc>
        <w:tc>
          <w:tcPr>
            <w:tcW w:w="921" w:type="dxa"/>
            <w:tcBorders>
              <w:top w:val="nil"/>
              <w:left w:val="nil"/>
              <w:bottom w:val="single" w:sz="4" w:space="0" w:color="auto"/>
              <w:right w:val="single" w:sz="4" w:space="0" w:color="auto"/>
            </w:tcBorders>
            <w:shd w:val="clear" w:color="auto" w:fill="auto"/>
            <w:noWrap/>
            <w:hideMark/>
          </w:tcPr>
          <w:p w:rsidR="00D401DB" w:rsidRPr="001145BE"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4,9</w:t>
            </w:r>
          </w:p>
        </w:tc>
      </w:tr>
      <w:tr w:rsidR="00D401DB" w:rsidRPr="001145BE" w:rsidTr="008759D1">
        <w:trPr>
          <w:trHeight w:val="540"/>
        </w:trPr>
        <w:tc>
          <w:tcPr>
            <w:tcW w:w="4316" w:type="dxa"/>
            <w:tcBorders>
              <w:top w:val="nil"/>
              <w:left w:val="single" w:sz="4" w:space="0" w:color="auto"/>
              <w:bottom w:val="single" w:sz="4" w:space="0" w:color="auto"/>
              <w:right w:val="single" w:sz="4" w:space="0" w:color="auto"/>
            </w:tcBorders>
            <w:shd w:val="clear" w:color="auto" w:fill="auto"/>
            <w:hideMark/>
          </w:tcPr>
          <w:p w:rsidR="00D401DB" w:rsidRPr="001145BE"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1145BE">
              <w:rPr>
                <w:rFonts w:ascii="Garamond" w:eastAsia="Times New Roman" w:hAnsi="Garamond" w:cs="Calibri"/>
                <w:color w:val="000000"/>
                <w:sz w:val="18"/>
                <w:szCs w:val="18"/>
                <w:lang w:eastAsia="fr-FR"/>
              </w:rPr>
              <w:t>Sous-emploi invisible (lié aux revenus d'activité et à l'adéquation formation-emploi)</w:t>
            </w:r>
          </w:p>
        </w:tc>
        <w:tc>
          <w:tcPr>
            <w:tcW w:w="807" w:type="dxa"/>
            <w:tcBorders>
              <w:top w:val="nil"/>
              <w:left w:val="nil"/>
              <w:bottom w:val="single" w:sz="4" w:space="0" w:color="auto"/>
              <w:right w:val="single" w:sz="4" w:space="0" w:color="auto"/>
            </w:tcBorders>
            <w:shd w:val="clear" w:color="auto" w:fill="auto"/>
            <w:noWrap/>
            <w:vAlign w:val="bottom"/>
            <w:hideMark/>
          </w:tcPr>
          <w:p w:rsidR="00D401DB" w:rsidRPr="001145BE" w:rsidRDefault="00D401DB" w:rsidP="00FB4D04">
            <w:pPr>
              <w:spacing w:after="0" w:line="240" w:lineRule="auto"/>
              <w:ind w:firstLineChars="100" w:firstLine="180"/>
              <w:jc w:val="right"/>
              <w:rPr>
                <w:rFonts w:ascii="Garamond" w:eastAsia="Times New Roman" w:hAnsi="Garamond" w:cs="Calibri"/>
                <w:color w:val="010205"/>
                <w:sz w:val="18"/>
                <w:szCs w:val="18"/>
                <w:lang w:eastAsia="fr-FR"/>
              </w:rPr>
            </w:pPr>
            <w:r w:rsidRPr="001145BE">
              <w:rPr>
                <w:rFonts w:ascii="Garamond" w:eastAsia="Times New Roman" w:hAnsi="Garamond" w:cs="Calibri"/>
                <w:color w:val="010205"/>
                <w:sz w:val="18"/>
                <w:szCs w:val="18"/>
                <w:lang w:eastAsia="fr-FR"/>
              </w:rPr>
              <w:t>4,7</w:t>
            </w:r>
          </w:p>
        </w:tc>
        <w:tc>
          <w:tcPr>
            <w:tcW w:w="879" w:type="dxa"/>
            <w:tcBorders>
              <w:top w:val="nil"/>
              <w:left w:val="nil"/>
              <w:bottom w:val="single" w:sz="4" w:space="0" w:color="auto"/>
              <w:right w:val="single" w:sz="4" w:space="0" w:color="auto"/>
            </w:tcBorders>
            <w:shd w:val="clear" w:color="auto" w:fill="auto"/>
            <w:noWrap/>
            <w:vAlign w:val="bottom"/>
            <w:hideMark/>
          </w:tcPr>
          <w:p w:rsidR="00D401DB" w:rsidRPr="001145BE" w:rsidRDefault="00D401DB" w:rsidP="00FB4D04">
            <w:pPr>
              <w:spacing w:after="0" w:line="240" w:lineRule="auto"/>
              <w:ind w:firstLineChars="100" w:firstLine="180"/>
              <w:jc w:val="right"/>
              <w:rPr>
                <w:rFonts w:ascii="Garamond" w:eastAsia="Times New Roman" w:hAnsi="Garamond" w:cs="Calibri"/>
                <w:color w:val="010205"/>
                <w:sz w:val="18"/>
                <w:szCs w:val="18"/>
                <w:lang w:eastAsia="fr-FR"/>
              </w:rPr>
            </w:pPr>
            <w:r w:rsidRPr="001145BE">
              <w:rPr>
                <w:rFonts w:ascii="Garamond" w:eastAsia="Times New Roman" w:hAnsi="Garamond" w:cs="Calibri"/>
                <w:color w:val="010205"/>
                <w:sz w:val="18"/>
                <w:szCs w:val="18"/>
                <w:lang w:eastAsia="fr-FR"/>
              </w:rPr>
              <w:t>4,7</w:t>
            </w:r>
          </w:p>
        </w:tc>
        <w:tc>
          <w:tcPr>
            <w:tcW w:w="921" w:type="dxa"/>
            <w:tcBorders>
              <w:top w:val="nil"/>
              <w:left w:val="nil"/>
              <w:bottom w:val="single" w:sz="4" w:space="0" w:color="auto"/>
              <w:right w:val="single" w:sz="4" w:space="0" w:color="auto"/>
            </w:tcBorders>
            <w:shd w:val="clear" w:color="auto" w:fill="auto"/>
            <w:noWrap/>
            <w:vAlign w:val="bottom"/>
            <w:hideMark/>
          </w:tcPr>
          <w:p w:rsidR="00D401DB" w:rsidRPr="001145BE" w:rsidRDefault="00D401DB" w:rsidP="00FB4D04">
            <w:pPr>
              <w:spacing w:after="0" w:line="240" w:lineRule="auto"/>
              <w:ind w:firstLineChars="100" w:firstLine="180"/>
              <w:jc w:val="right"/>
              <w:rPr>
                <w:rFonts w:ascii="Garamond" w:eastAsia="Times New Roman" w:hAnsi="Garamond" w:cs="Calibri"/>
                <w:color w:val="010205"/>
                <w:sz w:val="18"/>
                <w:szCs w:val="18"/>
                <w:lang w:eastAsia="fr-FR"/>
              </w:rPr>
            </w:pPr>
            <w:r w:rsidRPr="001145BE">
              <w:rPr>
                <w:rFonts w:ascii="Garamond" w:eastAsia="Times New Roman" w:hAnsi="Garamond" w:cs="Calibri"/>
                <w:color w:val="010205"/>
                <w:sz w:val="18"/>
                <w:szCs w:val="18"/>
                <w:lang w:eastAsia="fr-FR"/>
              </w:rPr>
              <w:t>4,7</w:t>
            </w:r>
          </w:p>
        </w:tc>
        <w:tc>
          <w:tcPr>
            <w:tcW w:w="876" w:type="dxa"/>
            <w:tcBorders>
              <w:top w:val="nil"/>
              <w:left w:val="nil"/>
              <w:bottom w:val="single" w:sz="4" w:space="0" w:color="auto"/>
              <w:right w:val="single" w:sz="4" w:space="0" w:color="auto"/>
            </w:tcBorders>
            <w:shd w:val="clear" w:color="auto" w:fill="auto"/>
            <w:noWrap/>
            <w:vAlign w:val="bottom"/>
            <w:hideMark/>
          </w:tcPr>
          <w:p w:rsidR="00D401DB" w:rsidRPr="001145BE" w:rsidRDefault="00D401DB" w:rsidP="00FB4D04">
            <w:pPr>
              <w:spacing w:after="0" w:line="240" w:lineRule="auto"/>
              <w:ind w:firstLineChars="100" w:firstLine="180"/>
              <w:jc w:val="right"/>
              <w:rPr>
                <w:rFonts w:ascii="Garamond" w:eastAsia="Times New Roman" w:hAnsi="Garamond" w:cs="Calibri"/>
                <w:color w:val="010205"/>
                <w:sz w:val="18"/>
                <w:szCs w:val="18"/>
                <w:lang w:eastAsia="fr-FR"/>
              </w:rPr>
            </w:pPr>
            <w:r w:rsidRPr="001145BE">
              <w:rPr>
                <w:rFonts w:ascii="Garamond" w:eastAsia="Times New Roman" w:hAnsi="Garamond" w:cs="Calibri"/>
                <w:color w:val="010205"/>
                <w:sz w:val="18"/>
                <w:szCs w:val="18"/>
                <w:lang w:eastAsia="fr-FR"/>
              </w:rPr>
              <w:t>5,0</w:t>
            </w:r>
          </w:p>
        </w:tc>
        <w:tc>
          <w:tcPr>
            <w:tcW w:w="841" w:type="dxa"/>
            <w:tcBorders>
              <w:top w:val="nil"/>
              <w:left w:val="nil"/>
              <w:bottom w:val="single" w:sz="4" w:space="0" w:color="auto"/>
              <w:right w:val="single" w:sz="4" w:space="0" w:color="auto"/>
            </w:tcBorders>
            <w:shd w:val="clear" w:color="auto" w:fill="auto"/>
            <w:noWrap/>
            <w:vAlign w:val="bottom"/>
            <w:hideMark/>
          </w:tcPr>
          <w:p w:rsidR="00D401DB" w:rsidRPr="001145BE" w:rsidRDefault="00D401DB" w:rsidP="00FB4D04">
            <w:pPr>
              <w:spacing w:after="0" w:line="240" w:lineRule="auto"/>
              <w:ind w:firstLineChars="100" w:firstLine="180"/>
              <w:jc w:val="right"/>
              <w:rPr>
                <w:rFonts w:ascii="Garamond" w:eastAsia="Times New Roman" w:hAnsi="Garamond" w:cs="Calibri"/>
                <w:color w:val="010205"/>
                <w:sz w:val="18"/>
                <w:szCs w:val="18"/>
                <w:lang w:eastAsia="fr-FR"/>
              </w:rPr>
            </w:pPr>
            <w:r w:rsidRPr="001145BE">
              <w:rPr>
                <w:rFonts w:ascii="Garamond" w:eastAsia="Times New Roman" w:hAnsi="Garamond" w:cs="Calibri"/>
                <w:color w:val="010205"/>
                <w:sz w:val="18"/>
                <w:szCs w:val="18"/>
                <w:lang w:eastAsia="fr-FR"/>
              </w:rPr>
              <w:t>5,9</w:t>
            </w:r>
          </w:p>
        </w:tc>
        <w:tc>
          <w:tcPr>
            <w:tcW w:w="921" w:type="dxa"/>
            <w:tcBorders>
              <w:top w:val="nil"/>
              <w:left w:val="nil"/>
              <w:bottom w:val="single" w:sz="4" w:space="0" w:color="auto"/>
              <w:right w:val="single" w:sz="4" w:space="0" w:color="auto"/>
            </w:tcBorders>
            <w:shd w:val="clear" w:color="auto" w:fill="auto"/>
            <w:noWrap/>
            <w:vAlign w:val="bottom"/>
            <w:hideMark/>
          </w:tcPr>
          <w:p w:rsidR="00D401DB" w:rsidRPr="001145BE" w:rsidRDefault="00D401DB" w:rsidP="00FB4D04">
            <w:pPr>
              <w:spacing w:after="0" w:line="240" w:lineRule="auto"/>
              <w:ind w:firstLineChars="100" w:firstLine="180"/>
              <w:jc w:val="right"/>
              <w:rPr>
                <w:rFonts w:ascii="Garamond" w:eastAsia="Times New Roman" w:hAnsi="Garamond" w:cs="Calibri"/>
                <w:color w:val="010205"/>
                <w:sz w:val="18"/>
                <w:szCs w:val="18"/>
                <w:lang w:eastAsia="fr-FR"/>
              </w:rPr>
            </w:pPr>
            <w:r w:rsidRPr="001145BE">
              <w:rPr>
                <w:rFonts w:ascii="Garamond" w:eastAsia="Times New Roman" w:hAnsi="Garamond" w:cs="Calibri"/>
                <w:color w:val="010205"/>
                <w:sz w:val="18"/>
                <w:szCs w:val="18"/>
                <w:lang w:eastAsia="fr-FR"/>
              </w:rPr>
              <w:t>5,4</w:t>
            </w:r>
          </w:p>
        </w:tc>
      </w:tr>
    </w:tbl>
    <w:p w:rsidR="00FB4D04" w:rsidRDefault="00FB4D04" w:rsidP="00D401DB">
      <w:pPr>
        <w:tabs>
          <w:tab w:val="left" w:pos="-720"/>
        </w:tabs>
        <w:suppressAutoHyphens/>
        <w:spacing w:after="0" w:line="276" w:lineRule="auto"/>
        <w:ind w:left="360"/>
        <w:jc w:val="both"/>
        <w:rPr>
          <w:rFonts w:ascii="Book Antiqua" w:hAnsi="Book Antiqua" w:cs="Browallia New"/>
          <w:b/>
          <w:bCs/>
          <w:color w:val="4472C4" w:themeColor="accent1"/>
          <w:sz w:val="20"/>
          <w:szCs w:val="20"/>
        </w:rPr>
      </w:pPr>
    </w:p>
    <w:p w:rsidR="00FB4D04" w:rsidRDefault="00FB4D04">
      <w:pP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p>
    <w:p w:rsidR="00D401DB" w:rsidRPr="009B7FF3" w:rsidRDefault="00D401DB" w:rsidP="00D401DB">
      <w:pPr>
        <w:tabs>
          <w:tab w:val="left" w:pos="-720"/>
        </w:tabs>
        <w:suppressAutoHyphens/>
        <w:spacing w:after="0" w:line="276" w:lineRule="auto"/>
        <w:ind w:left="360"/>
        <w:jc w:val="both"/>
        <w:rPr>
          <w:color w:val="222222"/>
          <w:sz w:val="20"/>
          <w:szCs w:val="20"/>
          <w:shd w:val="clear" w:color="auto" w:fill="FFFFFF"/>
        </w:rPr>
      </w:pPr>
      <w:r w:rsidRPr="009B7FF3">
        <w:rPr>
          <w:rFonts w:ascii="Book Antiqua" w:hAnsi="Book Antiqua" w:cs="Browallia New"/>
          <w:b/>
          <w:bCs/>
          <w:color w:val="4472C4" w:themeColor="accent1"/>
          <w:sz w:val="20"/>
          <w:szCs w:val="20"/>
        </w:rPr>
        <w:lastRenderedPageBreak/>
        <w:t>Tableau 1 : Indicateurs trimestriels d'activité, d’emploi et de chômage par milieu de résidence (suite)</w:t>
      </w:r>
    </w:p>
    <w:tbl>
      <w:tblPr>
        <w:tblW w:w="9807" w:type="dxa"/>
        <w:jc w:val="center"/>
        <w:tblCellMar>
          <w:left w:w="70" w:type="dxa"/>
          <w:right w:w="70" w:type="dxa"/>
        </w:tblCellMar>
        <w:tblLook w:val="04A0"/>
      </w:tblPr>
      <w:tblGrid>
        <w:gridCol w:w="4047"/>
        <w:gridCol w:w="1154"/>
        <w:gridCol w:w="880"/>
        <w:gridCol w:w="966"/>
        <w:gridCol w:w="916"/>
        <w:gridCol w:w="878"/>
        <w:gridCol w:w="966"/>
      </w:tblGrid>
      <w:tr w:rsidR="00D401DB" w:rsidRPr="00257CE3" w:rsidTr="00FB4D04">
        <w:trPr>
          <w:trHeight w:val="300"/>
          <w:jc w:val="center"/>
        </w:trPr>
        <w:tc>
          <w:tcPr>
            <w:tcW w:w="404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401DB" w:rsidRPr="00257CE3" w:rsidRDefault="00D401DB" w:rsidP="00FB4D04">
            <w:pPr>
              <w:bidi/>
              <w:spacing w:after="0" w:line="240" w:lineRule="auto"/>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rtl/>
                <w:lang w:eastAsia="fr-FR"/>
              </w:rPr>
              <w:t> </w:t>
            </w:r>
          </w:p>
        </w:tc>
        <w:tc>
          <w:tcPr>
            <w:tcW w:w="3000" w:type="dxa"/>
            <w:gridSpan w:val="3"/>
            <w:tcBorders>
              <w:top w:val="single" w:sz="4" w:space="0" w:color="auto"/>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1</w:t>
            </w:r>
            <w:r w:rsidRPr="0043591D">
              <w:rPr>
                <w:rFonts w:ascii="Garamond" w:eastAsia="Times New Roman" w:hAnsi="Garamond" w:cs="Calibri"/>
                <w:b/>
                <w:bCs/>
                <w:color w:val="000000"/>
                <w:sz w:val="20"/>
                <w:szCs w:val="20"/>
                <w:vertAlign w:val="superscript"/>
                <w:lang w:eastAsia="fr-FR"/>
              </w:rPr>
              <w:t>er</w:t>
            </w:r>
            <w:r w:rsidR="004D3E03">
              <w:rPr>
                <w:rFonts w:ascii="Garamond" w:eastAsia="Times New Roman" w:hAnsi="Garamond" w:cs="Calibri"/>
                <w:b/>
                <w:bCs/>
                <w:color w:val="000000"/>
                <w:sz w:val="20"/>
                <w:szCs w:val="20"/>
                <w:lang w:eastAsia="fr-FR"/>
              </w:rPr>
              <w:t>trimestre</w:t>
            </w:r>
            <w:r>
              <w:rPr>
                <w:rFonts w:ascii="Garamond" w:eastAsia="Times New Roman" w:hAnsi="Garamond" w:cs="Calibri"/>
                <w:b/>
                <w:bCs/>
                <w:color w:val="000000"/>
                <w:sz w:val="20"/>
                <w:szCs w:val="20"/>
                <w:lang w:eastAsia="fr-FR"/>
              </w:rPr>
              <w:t xml:space="preserve"> 2022</w:t>
            </w:r>
          </w:p>
        </w:tc>
        <w:tc>
          <w:tcPr>
            <w:tcW w:w="2760" w:type="dxa"/>
            <w:gridSpan w:val="3"/>
            <w:tcBorders>
              <w:top w:val="single" w:sz="4" w:space="0" w:color="auto"/>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1</w:t>
            </w:r>
            <w:r w:rsidRPr="0043591D">
              <w:rPr>
                <w:rFonts w:ascii="Garamond" w:eastAsia="Times New Roman" w:hAnsi="Garamond" w:cs="Calibri"/>
                <w:b/>
                <w:bCs/>
                <w:color w:val="000000"/>
                <w:sz w:val="20"/>
                <w:szCs w:val="20"/>
                <w:vertAlign w:val="superscript"/>
                <w:lang w:eastAsia="fr-FR"/>
              </w:rPr>
              <w:t>er</w:t>
            </w:r>
            <w:r w:rsidR="004D3E03">
              <w:rPr>
                <w:rFonts w:ascii="Garamond" w:eastAsia="Times New Roman" w:hAnsi="Garamond" w:cs="Calibri"/>
                <w:b/>
                <w:bCs/>
                <w:color w:val="000000"/>
                <w:sz w:val="20"/>
                <w:szCs w:val="20"/>
                <w:lang w:eastAsia="fr-FR"/>
              </w:rPr>
              <w:t>trimestre</w:t>
            </w:r>
            <w:r>
              <w:rPr>
                <w:rFonts w:ascii="Garamond" w:eastAsia="Times New Roman" w:hAnsi="Garamond" w:cs="Calibri"/>
                <w:b/>
                <w:bCs/>
                <w:color w:val="000000"/>
                <w:sz w:val="20"/>
                <w:szCs w:val="20"/>
                <w:lang w:eastAsia="fr-FR"/>
              </w:rPr>
              <w:t xml:space="preserve"> 2023</w:t>
            </w:r>
          </w:p>
        </w:tc>
      </w:tr>
      <w:tr w:rsidR="00D401DB" w:rsidRPr="00257CE3" w:rsidTr="008759D1">
        <w:trPr>
          <w:trHeight w:val="408"/>
          <w:jc w:val="center"/>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D401DB" w:rsidRPr="00257CE3" w:rsidRDefault="00D401DB" w:rsidP="00FB4D04">
            <w:pPr>
              <w:spacing w:after="0" w:line="240" w:lineRule="auto"/>
              <w:rPr>
                <w:rFonts w:ascii="Garamond" w:eastAsia="Times New Roman" w:hAnsi="Garamond" w:cs="Calibri"/>
                <w:b/>
                <w:bCs/>
                <w:color w:val="000000"/>
                <w:sz w:val="18"/>
                <w:szCs w:val="18"/>
                <w:lang w:eastAsia="fr-FR"/>
              </w:rPr>
            </w:pPr>
          </w:p>
        </w:tc>
        <w:tc>
          <w:tcPr>
            <w:tcW w:w="1154" w:type="dxa"/>
            <w:tcBorders>
              <w:top w:val="nil"/>
              <w:left w:val="nil"/>
              <w:bottom w:val="single" w:sz="4" w:space="0" w:color="auto"/>
              <w:right w:val="single" w:sz="4" w:space="0" w:color="auto"/>
            </w:tcBorders>
            <w:shd w:val="clear" w:color="auto" w:fill="auto"/>
            <w:hideMark/>
          </w:tcPr>
          <w:p w:rsidR="00D401DB" w:rsidRPr="00257CE3" w:rsidRDefault="00D401DB" w:rsidP="00FB4D04">
            <w:pPr>
              <w:bidi/>
              <w:spacing w:after="0" w:line="240" w:lineRule="auto"/>
              <w:jc w:val="center"/>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lang w:eastAsia="fr-FR"/>
              </w:rPr>
              <w:t>Urbain</w:t>
            </w:r>
          </w:p>
        </w:tc>
        <w:tc>
          <w:tcPr>
            <w:tcW w:w="880" w:type="dxa"/>
            <w:tcBorders>
              <w:top w:val="nil"/>
              <w:left w:val="nil"/>
              <w:bottom w:val="single" w:sz="4" w:space="0" w:color="auto"/>
              <w:right w:val="single" w:sz="4" w:space="0" w:color="auto"/>
            </w:tcBorders>
            <w:shd w:val="clear" w:color="auto" w:fill="auto"/>
            <w:hideMark/>
          </w:tcPr>
          <w:p w:rsidR="00D401DB" w:rsidRPr="00257CE3" w:rsidRDefault="00D401DB" w:rsidP="00FB4D04">
            <w:pPr>
              <w:bidi/>
              <w:spacing w:after="0" w:line="240" w:lineRule="auto"/>
              <w:jc w:val="center"/>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hideMark/>
          </w:tcPr>
          <w:p w:rsidR="00D401DB" w:rsidRPr="00257CE3" w:rsidRDefault="00D401DB" w:rsidP="00FB4D04">
            <w:pPr>
              <w:bidi/>
              <w:spacing w:after="0" w:line="240" w:lineRule="auto"/>
              <w:jc w:val="center"/>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lang w:eastAsia="fr-FR"/>
              </w:rPr>
              <w:t>Ensemble</w:t>
            </w:r>
          </w:p>
        </w:tc>
        <w:tc>
          <w:tcPr>
            <w:tcW w:w="916" w:type="dxa"/>
            <w:tcBorders>
              <w:top w:val="nil"/>
              <w:left w:val="nil"/>
              <w:bottom w:val="single" w:sz="4" w:space="0" w:color="auto"/>
              <w:right w:val="single" w:sz="4" w:space="0" w:color="auto"/>
            </w:tcBorders>
            <w:shd w:val="clear" w:color="auto" w:fill="auto"/>
            <w:hideMark/>
          </w:tcPr>
          <w:p w:rsidR="00D401DB" w:rsidRPr="00257CE3" w:rsidRDefault="00D401DB" w:rsidP="00FB4D04">
            <w:pPr>
              <w:bidi/>
              <w:spacing w:after="0" w:line="240" w:lineRule="auto"/>
              <w:jc w:val="center"/>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lang w:eastAsia="fr-FR"/>
              </w:rPr>
              <w:t>Urbain</w:t>
            </w:r>
          </w:p>
        </w:tc>
        <w:tc>
          <w:tcPr>
            <w:tcW w:w="878" w:type="dxa"/>
            <w:tcBorders>
              <w:top w:val="nil"/>
              <w:left w:val="nil"/>
              <w:bottom w:val="single" w:sz="4" w:space="0" w:color="auto"/>
              <w:right w:val="single" w:sz="4" w:space="0" w:color="auto"/>
            </w:tcBorders>
            <w:shd w:val="clear" w:color="auto" w:fill="auto"/>
            <w:hideMark/>
          </w:tcPr>
          <w:p w:rsidR="00D401DB" w:rsidRPr="00257CE3" w:rsidRDefault="00D401DB" w:rsidP="00FB4D04">
            <w:pPr>
              <w:bidi/>
              <w:spacing w:after="0" w:line="240" w:lineRule="auto"/>
              <w:jc w:val="center"/>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hideMark/>
          </w:tcPr>
          <w:p w:rsidR="00D401DB" w:rsidRPr="00257CE3" w:rsidRDefault="00D401DB" w:rsidP="00FB4D04">
            <w:pPr>
              <w:bidi/>
              <w:spacing w:after="0" w:line="240" w:lineRule="auto"/>
              <w:jc w:val="center"/>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lang w:eastAsia="fr-FR"/>
              </w:rPr>
              <w:t>Ensemble</w:t>
            </w:r>
          </w:p>
        </w:tc>
      </w:tr>
      <w:tr w:rsidR="00D401DB" w:rsidRPr="00257CE3"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257CE3" w:rsidRDefault="00D401DB" w:rsidP="00FB4D04">
            <w:pPr>
              <w:spacing w:after="0" w:line="240" w:lineRule="auto"/>
              <w:rPr>
                <w:rFonts w:ascii="Garamond" w:eastAsia="Times New Roman" w:hAnsi="Garamond" w:cs="Calibri"/>
                <w:b/>
                <w:bCs/>
                <w:color w:val="1F497D"/>
                <w:sz w:val="18"/>
                <w:szCs w:val="18"/>
                <w:lang w:eastAsia="fr-FR"/>
              </w:rPr>
            </w:pPr>
            <w:r w:rsidRPr="00257CE3">
              <w:rPr>
                <w:rFonts w:ascii="Garamond" w:eastAsia="Times New Roman" w:hAnsi="Garamond" w:cs="Calibri"/>
                <w:b/>
                <w:bCs/>
                <w:color w:val="1F497D"/>
                <w:sz w:val="18"/>
                <w:szCs w:val="18"/>
                <w:lang w:eastAsia="fr-FR"/>
              </w:rPr>
              <w:t>Chômage</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1"/>
              <w:rPr>
                <w:rFonts w:ascii="Garamond" w:eastAsia="Times New Roman" w:hAnsi="Garamond" w:cs="Calibri"/>
                <w:b/>
                <w:bCs/>
                <w:color w:val="000000"/>
                <w:sz w:val="18"/>
                <w:szCs w:val="18"/>
                <w:lang w:eastAsia="fr-FR"/>
              </w:rPr>
            </w:pPr>
            <w:r w:rsidRPr="00257CE3">
              <w:rPr>
                <w:rFonts w:ascii="Garamond" w:eastAsia="Times New Roman" w:hAnsi="Garamond" w:cs="Calibri"/>
                <w:b/>
                <w:bCs/>
                <w:color w:val="000000"/>
                <w:sz w:val="18"/>
                <w:szCs w:val="18"/>
                <w:lang w:eastAsia="fr-FR"/>
              </w:rPr>
              <w:t>Population active en chômage</w:t>
            </w:r>
            <w:r w:rsidR="008759D1">
              <w:rPr>
                <w:rFonts w:ascii="Garamond" w:eastAsia="Times New Roman" w:hAnsi="Garamond" w:cs="Calibri"/>
                <w:b/>
                <w:bCs/>
                <w:color w:val="000000"/>
                <w:sz w:val="18"/>
                <w:szCs w:val="18"/>
                <w:lang w:eastAsia="fr-FR"/>
              </w:rPr>
              <w:t xml:space="preserve"> (en milliers)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257CE3">
              <w:rPr>
                <w:rFonts w:ascii="Garamond" w:eastAsia="Times New Roman" w:hAnsi="Garamond" w:cs="Calibri"/>
                <w:b/>
                <w:bCs/>
                <w:color w:val="010205"/>
                <w:sz w:val="18"/>
                <w:szCs w:val="18"/>
                <w:lang w:eastAsia="fr-FR"/>
              </w:rPr>
              <w:t>1 229</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257CE3">
              <w:rPr>
                <w:rFonts w:ascii="Garamond" w:eastAsia="Times New Roman" w:hAnsi="Garamond" w:cs="Calibri"/>
                <w:b/>
                <w:bCs/>
                <w:color w:val="010205"/>
                <w:sz w:val="18"/>
                <w:szCs w:val="18"/>
                <w:lang w:eastAsia="fr-FR"/>
              </w:rPr>
              <w:t>237</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257CE3">
              <w:rPr>
                <w:rFonts w:ascii="Garamond" w:eastAsia="Times New Roman" w:hAnsi="Garamond" w:cs="Calibri"/>
                <w:b/>
                <w:bCs/>
                <w:color w:val="010205"/>
                <w:sz w:val="18"/>
                <w:szCs w:val="18"/>
                <w:lang w:eastAsia="fr-FR"/>
              </w:rPr>
              <w:t>1 466</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257CE3">
              <w:rPr>
                <w:rFonts w:ascii="Garamond" w:eastAsia="Times New Roman" w:hAnsi="Garamond" w:cs="Calibri"/>
                <w:b/>
                <w:bCs/>
                <w:color w:val="010205"/>
                <w:sz w:val="18"/>
                <w:szCs w:val="18"/>
                <w:lang w:eastAsia="fr-FR"/>
              </w:rPr>
              <w:t>1 296</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257CE3">
              <w:rPr>
                <w:rFonts w:ascii="Garamond" w:eastAsia="Times New Roman" w:hAnsi="Garamond" w:cs="Calibri"/>
                <w:b/>
                <w:bCs/>
                <w:color w:val="010205"/>
                <w:sz w:val="18"/>
                <w:szCs w:val="18"/>
                <w:lang w:eastAsia="fr-FR"/>
              </w:rPr>
              <w:t>253</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1"/>
              <w:jc w:val="right"/>
              <w:rPr>
                <w:rFonts w:ascii="Garamond" w:eastAsia="Times New Roman" w:hAnsi="Garamond" w:cs="Calibri"/>
                <w:b/>
                <w:bCs/>
                <w:color w:val="010205"/>
                <w:sz w:val="18"/>
                <w:szCs w:val="18"/>
                <w:lang w:eastAsia="fr-FR"/>
              </w:rPr>
            </w:pPr>
            <w:r w:rsidRPr="00257CE3">
              <w:rPr>
                <w:rFonts w:ascii="Garamond" w:eastAsia="Times New Roman" w:hAnsi="Garamond" w:cs="Calibri"/>
                <w:b/>
                <w:bCs/>
                <w:color w:val="010205"/>
                <w:sz w:val="18"/>
                <w:szCs w:val="18"/>
                <w:lang w:eastAsia="fr-FR"/>
              </w:rPr>
              <w:t>1 549</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Taux de féminité de la population active en chômage</w:t>
            </w:r>
            <w:r>
              <w:rPr>
                <w:rFonts w:ascii="Garamond" w:eastAsia="Times New Roman" w:hAnsi="Garamond" w:cs="Calibri"/>
                <w:color w:val="000000"/>
                <w:sz w:val="18"/>
                <w:szCs w:val="18"/>
                <w:lang w:eastAsia="fr-FR"/>
              </w:rPr>
              <w:t xml:space="preserve"> (en %)</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36,1</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16,4</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32,9</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33,6</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17,9</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31,0</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Taux de chômage</w:t>
            </w:r>
            <w:r>
              <w:rPr>
                <w:rFonts w:ascii="Garamond" w:eastAsia="Times New Roman" w:hAnsi="Garamond" w:cs="Calibri"/>
                <w:color w:val="000000"/>
                <w:sz w:val="18"/>
                <w:szCs w:val="18"/>
                <w:lang w:eastAsia="fr-FR"/>
              </w:rPr>
              <w:t xml:space="preserve"> (en %)</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16,3</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5,1</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12,1</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17,1</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5,7</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12,9</w:t>
            </w:r>
          </w:p>
        </w:tc>
      </w:tr>
      <w:tr w:rsidR="00D401DB" w:rsidRPr="00257CE3"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257CE3"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257CE3">
              <w:rPr>
                <w:rFonts w:ascii="Garamond" w:eastAsia="Times New Roman" w:hAnsi="Garamond" w:cs="Calibri"/>
                <w:i/>
                <w:iCs/>
                <w:color w:val="000000"/>
                <w:sz w:val="18"/>
                <w:szCs w:val="18"/>
                <w:lang w:eastAsia="fr-FR"/>
              </w:rPr>
              <w:t>• Selon le sexe</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Hommes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13,4</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5,6</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10,5</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14,7</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6,0</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11,5</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Femmes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26,3</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3,5</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17,3</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25,3</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4,8</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18,1</w:t>
            </w:r>
          </w:p>
        </w:tc>
      </w:tr>
      <w:tr w:rsidR="00D401DB" w:rsidRPr="00257CE3"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257CE3"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257CE3">
              <w:rPr>
                <w:rFonts w:ascii="Garamond" w:eastAsia="Times New Roman" w:hAnsi="Garamond" w:cs="Calibri"/>
                <w:i/>
                <w:iCs/>
                <w:color w:val="000000"/>
                <w:sz w:val="18"/>
                <w:szCs w:val="18"/>
                <w:lang w:eastAsia="fr-FR"/>
              </w:rPr>
              <w:t>• Selon l'âge</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15-24 ans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47,7</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16,5</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33,4</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49,6</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18,9</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35,3</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25-34 ans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25,0</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7,1</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19,2</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27,1</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7,6</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20,9</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35-44 ans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8,6</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2,7</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6,5</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9,4</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2,6</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7,1</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45 ans et plus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5,2</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1,4</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3,6</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5,2</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1,8</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3,8</w:t>
            </w:r>
          </w:p>
        </w:tc>
      </w:tr>
      <w:tr w:rsidR="00D401DB" w:rsidRPr="00257CE3"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257CE3"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257CE3">
              <w:rPr>
                <w:rFonts w:ascii="Garamond" w:eastAsia="Times New Roman" w:hAnsi="Garamond" w:cs="Calibri"/>
                <w:i/>
                <w:iCs/>
                <w:color w:val="000000"/>
                <w:sz w:val="18"/>
                <w:szCs w:val="18"/>
                <w:lang w:eastAsia="fr-FR"/>
              </w:rPr>
              <w:t>• Selon le diplôme</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Non diplômés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7,5</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2,3</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4,6</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7,8</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2,6</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4,9</w:t>
            </w:r>
          </w:p>
        </w:tc>
      </w:tr>
      <w:tr w:rsidR="00D401DB" w:rsidRPr="00257CE3"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400" w:firstLine="720"/>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Diplômés</w:t>
            </w:r>
          </w:p>
        </w:tc>
        <w:tc>
          <w:tcPr>
            <w:tcW w:w="1154"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20,8</w:t>
            </w:r>
          </w:p>
        </w:tc>
        <w:tc>
          <w:tcPr>
            <w:tcW w:w="880"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12,0</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18,9</w:t>
            </w:r>
          </w:p>
        </w:tc>
        <w:tc>
          <w:tcPr>
            <w:tcW w:w="91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21,7</w:t>
            </w:r>
          </w:p>
        </w:tc>
        <w:tc>
          <w:tcPr>
            <w:tcW w:w="878"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13,0</w:t>
            </w:r>
          </w:p>
        </w:tc>
        <w:tc>
          <w:tcPr>
            <w:tcW w:w="966" w:type="dxa"/>
            <w:tcBorders>
              <w:top w:val="nil"/>
              <w:left w:val="nil"/>
              <w:bottom w:val="single" w:sz="4" w:space="0" w:color="auto"/>
              <w:right w:val="single" w:sz="4" w:space="0" w:color="auto"/>
            </w:tcBorders>
            <w:shd w:val="clear" w:color="auto" w:fill="auto"/>
            <w:noWrap/>
            <w:hideMark/>
          </w:tcPr>
          <w:p w:rsidR="00D401DB" w:rsidRPr="00257CE3" w:rsidRDefault="00D401DB" w:rsidP="00FB4D04">
            <w:pPr>
              <w:spacing w:after="0" w:line="240" w:lineRule="auto"/>
              <w:ind w:firstLineChars="100" w:firstLine="180"/>
              <w:jc w:val="right"/>
              <w:rPr>
                <w:rFonts w:ascii="Garamond" w:eastAsia="Times New Roman" w:hAnsi="Garamond" w:cs="Calibri"/>
                <w:color w:val="000000"/>
                <w:sz w:val="18"/>
                <w:szCs w:val="18"/>
                <w:lang w:eastAsia="fr-FR"/>
              </w:rPr>
            </w:pPr>
            <w:r w:rsidRPr="00257CE3">
              <w:rPr>
                <w:rFonts w:ascii="Garamond" w:eastAsia="Times New Roman" w:hAnsi="Garamond" w:cs="Calibri"/>
                <w:color w:val="000000"/>
                <w:sz w:val="18"/>
                <w:szCs w:val="18"/>
                <w:lang w:eastAsia="fr-FR"/>
              </w:rPr>
              <w:t>19,8</w:t>
            </w:r>
          </w:p>
        </w:tc>
      </w:tr>
    </w:tbl>
    <w:p w:rsidR="00FB4D04" w:rsidRPr="004111DF" w:rsidRDefault="00FB4D04" w:rsidP="00FB4D04">
      <w:pPr>
        <w:pStyle w:val="Paragraphedeliste"/>
        <w:numPr>
          <w:ilvl w:val="0"/>
          <w:numId w:val="14"/>
        </w:numPr>
        <w:tabs>
          <w:tab w:val="left" w:pos="-720"/>
        </w:tabs>
        <w:suppressAutoHyphens/>
        <w:spacing w:after="0" w:line="276" w:lineRule="auto"/>
        <w:jc w:val="both"/>
        <w:rPr>
          <w:color w:val="222222"/>
          <w:sz w:val="20"/>
          <w:szCs w:val="20"/>
          <w:shd w:val="clear" w:color="auto" w:fill="FFFFFF"/>
        </w:rPr>
      </w:pPr>
      <w:r w:rsidRPr="004111DF">
        <w:rPr>
          <w:color w:val="222222"/>
          <w:sz w:val="20"/>
          <w:szCs w:val="20"/>
          <w:shd w:val="clear" w:color="auto" w:fill="FFFFFF"/>
        </w:rPr>
        <w:t xml:space="preserve">Source : Enquête nationale sur l'emploi, Haut Commissariat au Plan </w:t>
      </w:r>
    </w:p>
    <w:p w:rsidR="00FB4D04" w:rsidRPr="004111DF" w:rsidRDefault="00FB4D04" w:rsidP="00FB4D04">
      <w:pPr>
        <w:pStyle w:val="Paragraphedeliste"/>
        <w:numPr>
          <w:ilvl w:val="0"/>
          <w:numId w:val="14"/>
        </w:numPr>
        <w:tabs>
          <w:tab w:val="left" w:pos="-720"/>
        </w:tabs>
        <w:suppressAutoHyphens/>
        <w:spacing w:after="0" w:line="276" w:lineRule="auto"/>
        <w:jc w:val="both"/>
        <w:rPr>
          <w:color w:val="222222"/>
          <w:sz w:val="20"/>
          <w:szCs w:val="20"/>
          <w:shd w:val="clear" w:color="auto" w:fill="FFFFFF"/>
        </w:rPr>
      </w:pPr>
      <w:r w:rsidRPr="004111DF">
        <w:rPr>
          <w:color w:val="222222"/>
          <w:sz w:val="20"/>
          <w:szCs w:val="20"/>
          <w:shd w:val="clear" w:color="auto" w:fill="FFFFFF"/>
        </w:rPr>
        <w:t>Pour les définitions des concepts et indicateurs utilisés, se référer au glossaire disponible sur le site web du HCP </w:t>
      </w:r>
      <w:r w:rsidRPr="004111DF">
        <w:rPr>
          <w:b/>
          <w:bCs/>
          <w:color w:val="222222"/>
          <w:sz w:val="20"/>
          <w:szCs w:val="20"/>
          <w:shd w:val="clear" w:color="auto" w:fill="FFFFFF"/>
        </w:rPr>
        <w:t xml:space="preserve">: </w:t>
      </w:r>
      <w:hyperlink r:id="rId14" w:history="1">
        <w:r w:rsidRPr="004111DF">
          <w:rPr>
            <w:b/>
            <w:bCs/>
            <w:color w:val="222222"/>
            <w:sz w:val="20"/>
            <w:szCs w:val="20"/>
            <w:shd w:val="clear" w:color="auto" w:fill="FFFFFF"/>
          </w:rPr>
          <w:t>http://www.hcp.ma</w:t>
        </w:r>
      </w:hyperlink>
      <w:r w:rsidRPr="004111DF">
        <w:rPr>
          <w:color w:val="222222"/>
          <w:sz w:val="20"/>
          <w:szCs w:val="20"/>
          <w:shd w:val="clear" w:color="auto" w:fill="FFFFFF"/>
        </w:rPr>
        <w:t>.</w:t>
      </w:r>
    </w:p>
    <w:p w:rsidR="00FB4D04" w:rsidRDefault="00FB4D04" w:rsidP="00FB4D04">
      <w:pPr>
        <w:pStyle w:val="Paragraphedeliste"/>
        <w:numPr>
          <w:ilvl w:val="0"/>
          <w:numId w:val="14"/>
        </w:numPr>
        <w:tabs>
          <w:tab w:val="left" w:pos="-720"/>
        </w:tabs>
        <w:suppressAutoHyphens/>
        <w:spacing w:after="0" w:line="276" w:lineRule="auto"/>
        <w:jc w:val="both"/>
        <w:rPr>
          <w:color w:val="222222"/>
          <w:sz w:val="20"/>
          <w:szCs w:val="20"/>
          <w:shd w:val="clear" w:color="auto" w:fill="FFFFFF"/>
        </w:rPr>
      </w:pPr>
      <w:r w:rsidRPr="004111DF">
        <w:rPr>
          <w:color w:val="222222"/>
          <w:sz w:val="20"/>
          <w:szCs w:val="20"/>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FB4D04" w:rsidRPr="0043591D" w:rsidRDefault="00D401DB" w:rsidP="004805D0">
      <w:pPr>
        <w:pStyle w:val="Paragraphedeliste"/>
        <w:tabs>
          <w:tab w:val="left" w:pos="-720"/>
        </w:tabs>
        <w:suppressAutoHyphens/>
        <w:spacing w:after="0" w:line="276" w:lineRule="auto"/>
        <w:jc w:val="center"/>
        <w:rPr>
          <w:color w:val="222222"/>
          <w:sz w:val="20"/>
          <w:szCs w:val="20"/>
          <w:shd w:val="clear" w:color="auto" w:fill="FFFFFF"/>
        </w:rPr>
      </w:pPr>
      <w:r w:rsidRPr="0043591D">
        <w:rPr>
          <w:rFonts w:ascii="Book Antiqua" w:hAnsi="Book Antiqua" w:cs="Browallia New"/>
          <w:b/>
          <w:bCs/>
          <w:color w:val="4472C4" w:themeColor="accent1"/>
          <w:sz w:val="20"/>
          <w:szCs w:val="20"/>
        </w:rPr>
        <w:lastRenderedPageBreak/>
        <w:t>Tableau 2 : Taux d'activité, d’emploi et de chômage par région (en%)</w:t>
      </w:r>
    </w:p>
    <w:tbl>
      <w:tblPr>
        <w:tblW w:w="7676" w:type="dxa"/>
        <w:jc w:val="center"/>
        <w:tblCellMar>
          <w:left w:w="70" w:type="dxa"/>
          <w:right w:w="70" w:type="dxa"/>
        </w:tblCellMar>
        <w:tblLook w:val="04A0"/>
      </w:tblPr>
      <w:tblGrid>
        <w:gridCol w:w="3720"/>
        <w:gridCol w:w="1960"/>
        <w:gridCol w:w="1996"/>
      </w:tblGrid>
      <w:tr w:rsidR="00D401DB" w:rsidRPr="00E2593B" w:rsidTr="009055D4">
        <w:trPr>
          <w:trHeight w:val="315"/>
          <w:jc w:val="center"/>
        </w:trPr>
        <w:tc>
          <w:tcPr>
            <w:tcW w:w="3720" w:type="dxa"/>
            <w:tcBorders>
              <w:top w:val="single" w:sz="4" w:space="0" w:color="auto"/>
              <w:left w:val="single" w:sz="4" w:space="0" w:color="auto"/>
              <w:bottom w:val="single" w:sz="4" w:space="0" w:color="auto"/>
              <w:right w:val="single" w:sz="4" w:space="0" w:color="auto"/>
            </w:tcBorders>
            <w:shd w:val="clear" w:color="auto" w:fill="auto"/>
            <w:noWrap/>
            <w:hideMark/>
          </w:tcPr>
          <w:p w:rsidR="00D401DB" w:rsidRPr="00E2593B" w:rsidRDefault="00D401DB" w:rsidP="00FB4D04">
            <w:pPr>
              <w:spacing w:after="0" w:line="240" w:lineRule="auto"/>
              <w:jc w:val="center"/>
              <w:rPr>
                <w:rFonts w:ascii="Garamond" w:eastAsia="Times New Roman" w:hAnsi="Garamond" w:cs="Calibri"/>
                <w:b/>
                <w:bCs/>
                <w:color w:val="000000"/>
                <w:sz w:val="24"/>
                <w:szCs w:val="24"/>
                <w:lang w:eastAsia="fr-FR"/>
              </w:rPr>
            </w:pPr>
            <w:r w:rsidRPr="00E2593B">
              <w:rPr>
                <w:rFonts w:ascii="Garamond" w:eastAsia="Times New Roman" w:hAnsi="Garamond" w:cs="Calibri"/>
                <w:b/>
                <w:bCs/>
                <w:color w:val="000000"/>
                <w:sz w:val="24"/>
                <w:szCs w:val="24"/>
                <w:lang w:eastAsia="fr-FR"/>
              </w:rPr>
              <w:t> </w:t>
            </w:r>
          </w:p>
        </w:tc>
        <w:tc>
          <w:tcPr>
            <w:tcW w:w="1960" w:type="dxa"/>
            <w:tcBorders>
              <w:top w:val="single" w:sz="4" w:space="0" w:color="auto"/>
              <w:left w:val="nil"/>
              <w:bottom w:val="single" w:sz="4" w:space="0" w:color="auto"/>
              <w:right w:val="single" w:sz="4" w:space="0" w:color="auto"/>
            </w:tcBorders>
            <w:shd w:val="clear" w:color="auto" w:fill="auto"/>
            <w:noWrap/>
            <w:hideMark/>
          </w:tcPr>
          <w:p w:rsidR="00D401DB" w:rsidRPr="00E2593B" w:rsidRDefault="00D401DB" w:rsidP="00FB4D04">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1</w:t>
            </w:r>
            <w:r w:rsidRPr="0043591D">
              <w:rPr>
                <w:rFonts w:ascii="Garamond" w:eastAsia="Times New Roman" w:hAnsi="Garamond" w:cs="Calibri"/>
                <w:b/>
                <w:bCs/>
                <w:color w:val="000000"/>
                <w:sz w:val="20"/>
                <w:szCs w:val="20"/>
                <w:vertAlign w:val="superscript"/>
                <w:lang w:eastAsia="fr-FR"/>
              </w:rPr>
              <w:t>er</w:t>
            </w:r>
            <w:r w:rsidR="004D3E03">
              <w:rPr>
                <w:rFonts w:ascii="Garamond" w:eastAsia="Times New Roman" w:hAnsi="Garamond" w:cs="Calibri"/>
                <w:b/>
                <w:bCs/>
                <w:color w:val="000000"/>
                <w:sz w:val="20"/>
                <w:szCs w:val="20"/>
                <w:lang w:eastAsia="fr-FR"/>
              </w:rPr>
              <w:t>trimestre</w:t>
            </w:r>
            <w:r>
              <w:rPr>
                <w:rFonts w:ascii="Garamond" w:eastAsia="Times New Roman" w:hAnsi="Garamond" w:cs="Calibri"/>
                <w:b/>
                <w:bCs/>
                <w:color w:val="000000"/>
                <w:sz w:val="20"/>
                <w:szCs w:val="20"/>
                <w:lang w:eastAsia="fr-FR"/>
              </w:rPr>
              <w:t xml:space="preserve"> 2022</w:t>
            </w:r>
          </w:p>
        </w:tc>
        <w:tc>
          <w:tcPr>
            <w:tcW w:w="1996" w:type="dxa"/>
            <w:tcBorders>
              <w:top w:val="single" w:sz="4" w:space="0" w:color="auto"/>
              <w:left w:val="nil"/>
              <w:bottom w:val="single" w:sz="4" w:space="0" w:color="auto"/>
              <w:right w:val="single" w:sz="4" w:space="0" w:color="auto"/>
            </w:tcBorders>
            <w:shd w:val="clear" w:color="auto" w:fill="auto"/>
            <w:noWrap/>
            <w:hideMark/>
          </w:tcPr>
          <w:p w:rsidR="00D401DB" w:rsidRPr="00E2593B" w:rsidRDefault="00D401DB" w:rsidP="00FB4D04">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1</w:t>
            </w:r>
            <w:r w:rsidRPr="0043591D">
              <w:rPr>
                <w:rFonts w:ascii="Garamond" w:eastAsia="Times New Roman" w:hAnsi="Garamond" w:cs="Calibri"/>
                <w:b/>
                <w:bCs/>
                <w:color w:val="000000"/>
                <w:sz w:val="20"/>
                <w:szCs w:val="20"/>
                <w:vertAlign w:val="superscript"/>
                <w:lang w:eastAsia="fr-FR"/>
              </w:rPr>
              <w:t>er</w:t>
            </w:r>
            <w:r w:rsidR="004D3E03">
              <w:rPr>
                <w:rFonts w:ascii="Garamond" w:eastAsia="Times New Roman" w:hAnsi="Garamond" w:cs="Calibri"/>
                <w:b/>
                <w:bCs/>
                <w:color w:val="000000"/>
                <w:sz w:val="20"/>
                <w:szCs w:val="20"/>
                <w:lang w:eastAsia="fr-FR"/>
              </w:rPr>
              <w:t>trimestre</w:t>
            </w:r>
            <w:r>
              <w:rPr>
                <w:rFonts w:ascii="Garamond" w:eastAsia="Times New Roman" w:hAnsi="Garamond" w:cs="Calibri"/>
                <w:b/>
                <w:bCs/>
                <w:color w:val="000000"/>
                <w:sz w:val="20"/>
                <w:szCs w:val="20"/>
                <w:lang w:eastAsia="fr-FR"/>
              </w:rPr>
              <w:t xml:space="preserve"> 2023</w:t>
            </w:r>
          </w:p>
        </w:tc>
      </w:tr>
      <w:tr w:rsidR="00D401DB" w:rsidRPr="00E2593B" w:rsidTr="009055D4">
        <w:trPr>
          <w:trHeight w:val="315"/>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E2593B" w:rsidRDefault="00D401DB" w:rsidP="00FB4D04">
            <w:pPr>
              <w:spacing w:after="0" w:line="240" w:lineRule="auto"/>
              <w:rPr>
                <w:rFonts w:ascii="Garamond" w:eastAsia="Times New Roman" w:hAnsi="Garamond" w:cs="Calibri"/>
                <w:b/>
                <w:bCs/>
                <w:color w:val="1F497D"/>
                <w:sz w:val="20"/>
                <w:szCs w:val="20"/>
                <w:lang w:eastAsia="fr-FR"/>
              </w:rPr>
            </w:pPr>
            <w:r w:rsidRPr="00E2593B">
              <w:rPr>
                <w:rFonts w:ascii="Garamond" w:eastAsia="Times New Roman" w:hAnsi="Garamond" w:cs="Calibri"/>
                <w:b/>
                <w:bCs/>
                <w:color w:val="1F497D"/>
                <w:sz w:val="20"/>
                <w:szCs w:val="20"/>
                <w:lang w:eastAsia="fr-FR"/>
              </w:rPr>
              <w:t>Taux d'activité (des 15 ans et plus)</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50,8</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49,2</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41,8</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39,0</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42,4</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41,5</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43,4</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43,2</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44,7</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39,9</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46,8</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45,8</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44,6</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44,3</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42,5</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41,0</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38,0</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36,0</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43,5</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43,8</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1"/>
              <w:rPr>
                <w:rFonts w:ascii="Garamond" w:eastAsia="Times New Roman" w:hAnsi="Garamond" w:cs="Calibri"/>
                <w:b/>
                <w:bCs/>
                <w:color w:val="000000"/>
                <w:sz w:val="20"/>
                <w:szCs w:val="20"/>
                <w:lang w:eastAsia="fr-FR"/>
              </w:rPr>
            </w:pPr>
            <w:r w:rsidRPr="00E2593B">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2"/>
              <w:jc w:val="center"/>
              <w:rPr>
                <w:rFonts w:ascii="Garamond" w:eastAsia="Times New Roman" w:hAnsi="Garamond" w:cs="Calibri"/>
                <w:b/>
                <w:bCs/>
                <w:color w:val="000000"/>
                <w:sz w:val="20"/>
                <w:szCs w:val="20"/>
                <w:lang w:eastAsia="fr-FR"/>
              </w:rPr>
            </w:pPr>
            <w:r w:rsidRPr="00E2593B">
              <w:rPr>
                <w:rFonts w:ascii="Garamond" w:eastAsia="Times New Roman" w:hAnsi="Garamond" w:cs="Calibri"/>
                <w:b/>
                <w:bCs/>
                <w:color w:val="000000"/>
                <w:sz w:val="20"/>
                <w:szCs w:val="20"/>
                <w:lang w:eastAsia="fr-FR"/>
              </w:rPr>
              <w:t>44,5</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2"/>
              <w:jc w:val="center"/>
              <w:rPr>
                <w:rFonts w:ascii="Garamond" w:eastAsia="Times New Roman" w:hAnsi="Garamond" w:cs="Calibri"/>
                <w:b/>
                <w:bCs/>
                <w:color w:val="000000"/>
                <w:sz w:val="20"/>
                <w:szCs w:val="20"/>
                <w:lang w:eastAsia="fr-FR"/>
              </w:rPr>
            </w:pPr>
            <w:r w:rsidRPr="00E2593B">
              <w:rPr>
                <w:rFonts w:ascii="Garamond" w:eastAsia="Times New Roman" w:hAnsi="Garamond" w:cs="Calibri"/>
                <w:b/>
                <w:bCs/>
                <w:color w:val="000000"/>
                <w:sz w:val="20"/>
                <w:szCs w:val="20"/>
                <w:lang w:eastAsia="fr-FR"/>
              </w:rPr>
              <w:t>43,1</w:t>
            </w:r>
          </w:p>
        </w:tc>
      </w:tr>
      <w:tr w:rsidR="00D401DB" w:rsidRPr="00E2593B" w:rsidTr="009055D4">
        <w:trPr>
          <w:trHeight w:val="315"/>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E2593B" w:rsidRDefault="00D401DB" w:rsidP="00FB4D04">
            <w:pPr>
              <w:spacing w:after="0" w:line="240" w:lineRule="auto"/>
              <w:rPr>
                <w:rFonts w:ascii="Garamond" w:eastAsia="Times New Roman" w:hAnsi="Garamond" w:cs="Calibri"/>
                <w:b/>
                <w:bCs/>
                <w:color w:val="1F497D"/>
                <w:sz w:val="20"/>
                <w:szCs w:val="20"/>
                <w:lang w:eastAsia="fr-FR"/>
              </w:rPr>
            </w:pPr>
            <w:r w:rsidRPr="00E2593B">
              <w:rPr>
                <w:rFonts w:ascii="Garamond" w:eastAsia="Times New Roman" w:hAnsi="Garamond" w:cs="Calibri"/>
                <w:b/>
                <w:bCs/>
                <w:color w:val="1F497D"/>
                <w:sz w:val="20"/>
                <w:szCs w:val="20"/>
                <w:lang w:eastAsia="fr-FR"/>
              </w:rPr>
              <w:t>Taux d'emploi (des 15 ans et plus)</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45,9</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43,7</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33,3</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31,8</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36,2</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35,5</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38,9</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38,4</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40,5</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35,0</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40,0</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38,9</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41,6</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40,9</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38,6</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36,5</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34,0</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31,1</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35,0</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35,1</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1"/>
              <w:rPr>
                <w:rFonts w:ascii="Garamond" w:eastAsia="Times New Roman" w:hAnsi="Garamond" w:cs="Calibri"/>
                <w:b/>
                <w:bCs/>
                <w:color w:val="000000"/>
                <w:sz w:val="20"/>
                <w:szCs w:val="20"/>
                <w:lang w:eastAsia="fr-FR"/>
              </w:rPr>
            </w:pPr>
            <w:r w:rsidRPr="00E2593B">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4805D0" w:rsidRDefault="00D401DB" w:rsidP="004805D0">
            <w:pPr>
              <w:spacing w:after="0" w:line="240" w:lineRule="auto"/>
              <w:ind w:firstLineChars="300" w:firstLine="602"/>
              <w:jc w:val="center"/>
              <w:rPr>
                <w:rFonts w:ascii="Garamond" w:eastAsia="Times New Roman" w:hAnsi="Garamond" w:cs="Calibri"/>
                <w:b/>
                <w:bCs/>
                <w:color w:val="000000"/>
                <w:sz w:val="20"/>
                <w:szCs w:val="20"/>
                <w:lang w:eastAsia="fr-FR"/>
              </w:rPr>
            </w:pPr>
            <w:r w:rsidRPr="004805D0">
              <w:rPr>
                <w:rFonts w:ascii="Garamond" w:eastAsia="Times New Roman" w:hAnsi="Garamond" w:cs="Calibri"/>
                <w:b/>
                <w:bCs/>
                <w:color w:val="000000"/>
                <w:sz w:val="20"/>
                <w:szCs w:val="20"/>
                <w:lang w:eastAsia="fr-FR"/>
              </w:rPr>
              <w:t>39,1</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4805D0" w:rsidRDefault="00D401DB" w:rsidP="004805D0">
            <w:pPr>
              <w:spacing w:after="0" w:line="240" w:lineRule="auto"/>
              <w:ind w:firstLineChars="300" w:firstLine="602"/>
              <w:jc w:val="center"/>
              <w:rPr>
                <w:rFonts w:ascii="Garamond" w:eastAsia="Times New Roman" w:hAnsi="Garamond" w:cs="Calibri"/>
                <w:b/>
                <w:bCs/>
                <w:color w:val="000000"/>
                <w:sz w:val="20"/>
                <w:szCs w:val="20"/>
                <w:lang w:eastAsia="fr-FR"/>
              </w:rPr>
            </w:pPr>
            <w:r w:rsidRPr="004805D0">
              <w:rPr>
                <w:rFonts w:ascii="Garamond" w:eastAsia="Times New Roman" w:hAnsi="Garamond" w:cs="Calibri"/>
                <w:b/>
                <w:bCs/>
                <w:color w:val="000000"/>
                <w:sz w:val="20"/>
                <w:szCs w:val="20"/>
                <w:lang w:eastAsia="fr-FR"/>
              </w:rPr>
              <w:t>37,6</w:t>
            </w:r>
          </w:p>
        </w:tc>
      </w:tr>
      <w:tr w:rsidR="00D401DB" w:rsidRPr="00E2593B" w:rsidTr="009055D4">
        <w:trPr>
          <w:trHeight w:val="315"/>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E2593B" w:rsidRDefault="00D401DB" w:rsidP="00FB4D04">
            <w:pPr>
              <w:spacing w:after="0" w:line="240" w:lineRule="auto"/>
              <w:rPr>
                <w:rFonts w:ascii="Garamond" w:eastAsia="Times New Roman" w:hAnsi="Garamond" w:cs="Calibri"/>
                <w:b/>
                <w:bCs/>
                <w:color w:val="1F497D"/>
                <w:sz w:val="20"/>
                <w:szCs w:val="20"/>
                <w:lang w:eastAsia="fr-FR"/>
              </w:rPr>
            </w:pPr>
            <w:r w:rsidRPr="00E2593B">
              <w:rPr>
                <w:rFonts w:ascii="Garamond" w:eastAsia="Times New Roman" w:hAnsi="Garamond" w:cs="Calibri"/>
                <w:b/>
                <w:bCs/>
                <w:color w:val="1F497D"/>
                <w:sz w:val="20"/>
                <w:szCs w:val="20"/>
                <w:lang w:eastAsia="fr-FR"/>
              </w:rPr>
              <w:t>Taux de chômage</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9,7</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11,2</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20,2</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18,5</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14,6</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14,5</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10,5</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11,3</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9,4</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12,2</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14,5</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15,1</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6,8</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7,7</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9,0</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10,9</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10,6</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13,6</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0"/>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19,6</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300" w:firstLine="600"/>
              <w:jc w:val="center"/>
              <w:rPr>
                <w:rFonts w:ascii="Garamond" w:eastAsia="Times New Roman" w:hAnsi="Garamond" w:cs="Calibri"/>
                <w:color w:val="000000"/>
                <w:sz w:val="20"/>
                <w:szCs w:val="20"/>
                <w:lang w:eastAsia="fr-FR"/>
              </w:rPr>
            </w:pPr>
            <w:r w:rsidRPr="00E2593B">
              <w:rPr>
                <w:rFonts w:ascii="Garamond" w:eastAsia="Times New Roman" w:hAnsi="Garamond" w:cs="Calibri"/>
                <w:color w:val="000000"/>
                <w:sz w:val="20"/>
                <w:szCs w:val="20"/>
                <w:lang w:eastAsia="fr-FR"/>
              </w:rPr>
              <w:t>19,9</w:t>
            </w:r>
          </w:p>
        </w:tc>
      </w:tr>
      <w:tr w:rsidR="00D401DB" w:rsidRPr="00E2593B" w:rsidTr="009055D4">
        <w:trPr>
          <w:trHeight w:val="315"/>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D401DB" w:rsidRPr="00E2593B" w:rsidRDefault="00D401DB" w:rsidP="00FB4D04">
            <w:pPr>
              <w:spacing w:after="0" w:line="240" w:lineRule="auto"/>
              <w:ind w:firstLineChars="100" w:firstLine="201"/>
              <w:rPr>
                <w:rFonts w:ascii="Garamond" w:eastAsia="Times New Roman" w:hAnsi="Garamond" w:cs="Calibri"/>
                <w:b/>
                <w:bCs/>
                <w:color w:val="000000"/>
                <w:sz w:val="20"/>
                <w:szCs w:val="20"/>
                <w:lang w:eastAsia="fr-FR"/>
              </w:rPr>
            </w:pPr>
            <w:r w:rsidRPr="00E2593B">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D401DB" w:rsidRPr="004805D0" w:rsidRDefault="00D401DB" w:rsidP="004805D0">
            <w:pPr>
              <w:spacing w:after="0" w:line="240" w:lineRule="auto"/>
              <w:ind w:firstLineChars="300" w:firstLine="602"/>
              <w:jc w:val="center"/>
              <w:rPr>
                <w:rFonts w:ascii="Garamond" w:eastAsia="Times New Roman" w:hAnsi="Garamond" w:cs="Calibri"/>
                <w:b/>
                <w:bCs/>
                <w:color w:val="000000"/>
                <w:sz w:val="20"/>
                <w:szCs w:val="20"/>
                <w:lang w:eastAsia="fr-FR"/>
              </w:rPr>
            </w:pPr>
            <w:r w:rsidRPr="004805D0">
              <w:rPr>
                <w:rFonts w:ascii="Garamond" w:eastAsia="Times New Roman" w:hAnsi="Garamond" w:cs="Calibri"/>
                <w:b/>
                <w:bCs/>
                <w:color w:val="000000"/>
                <w:sz w:val="20"/>
                <w:szCs w:val="20"/>
                <w:lang w:eastAsia="fr-FR"/>
              </w:rPr>
              <w:t>12,1</w:t>
            </w:r>
          </w:p>
        </w:tc>
        <w:tc>
          <w:tcPr>
            <w:tcW w:w="1996" w:type="dxa"/>
            <w:tcBorders>
              <w:top w:val="nil"/>
              <w:left w:val="nil"/>
              <w:bottom w:val="single" w:sz="4" w:space="0" w:color="auto"/>
              <w:right w:val="single" w:sz="4" w:space="0" w:color="auto"/>
            </w:tcBorders>
            <w:shd w:val="clear" w:color="auto" w:fill="auto"/>
            <w:noWrap/>
            <w:vAlign w:val="bottom"/>
            <w:hideMark/>
          </w:tcPr>
          <w:p w:rsidR="00D401DB" w:rsidRPr="004805D0" w:rsidRDefault="00D401DB" w:rsidP="004805D0">
            <w:pPr>
              <w:spacing w:after="0" w:line="240" w:lineRule="auto"/>
              <w:ind w:firstLineChars="300" w:firstLine="602"/>
              <w:jc w:val="center"/>
              <w:rPr>
                <w:rFonts w:ascii="Garamond" w:eastAsia="Times New Roman" w:hAnsi="Garamond" w:cs="Calibri"/>
                <w:b/>
                <w:bCs/>
                <w:color w:val="000000"/>
                <w:sz w:val="20"/>
                <w:szCs w:val="20"/>
                <w:lang w:eastAsia="fr-FR"/>
              </w:rPr>
            </w:pPr>
            <w:r w:rsidRPr="004805D0">
              <w:rPr>
                <w:rFonts w:ascii="Garamond" w:eastAsia="Times New Roman" w:hAnsi="Garamond" w:cs="Calibri"/>
                <w:b/>
                <w:bCs/>
                <w:color w:val="000000"/>
                <w:sz w:val="20"/>
                <w:szCs w:val="20"/>
                <w:lang w:eastAsia="fr-FR"/>
              </w:rPr>
              <w:t>12,9</w:t>
            </w:r>
          </w:p>
        </w:tc>
      </w:tr>
    </w:tbl>
    <w:p w:rsidR="00D401DB" w:rsidRDefault="00940768" w:rsidP="00FB4D04">
      <w:pPr>
        <w:tabs>
          <w:tab w:val="left" w:pos="-720"/>
        </w:tabs>
        <w:suppressAutoHyphens/>
        <w:spacing w:after="0" w:line="276" w:lineRule="auto"/>
        <w:jc w:val="both"/>
        <w:rPr>
          <w:rFonts w:ascii="Book Antiqua" w:hAnsi="Book Antiqua" w:cs="Browallia New"/>
          <w:b/>
          <w:bCs/>
          <w:color w:val="4472C4" w:themeColor="accent1"/>
          <w:sz w:val="20"/>
          <w:szCs w:val="20"/>
        </w:rPr>
      </w:pPr>
      <w:r>
        <w:rPr>
          <w:color w:val="222222"/>
          <w:sz w:val="20"/>
          <w:szCs w:val="20"/>
          <w:shd w:val="clear" w:color="auto" w:fill="FFFFFF"/>
        </w:rPr>
        <w:t xml:space="preserve">                 </w:t>
      </w:r>
      <w:r w:rsidR="00D401DB" w:rsidRPr="004111DF">
        <w:rPr>
          <w:color w:val="222222"/>
          <w:sz w:val="20"/>
          <w:szCs w:val="20"/>
          <w:shd w:val="clear" w:color="auto" w:fill="FFFFFF"/>
        </w:rPr>
        <w:t>Source : Enquête nationale sur l'emploi, Haut</w:t>
      </w:r>
      <w:r w:rsidR="00D401DB">
        <w:rPr>
          <w:color w:val="222222"/>
          <w:sz w:val="20"/>
          <w:szCs w:val="20"/>
          <w:shd w:val="clear" w:color="auto" w:fill="FFFFFF"/>
        </w:rPr>
        <w:t>-</w:t>
      </w:r>
      <w:r w:rsidR="00D401DB" w:rsidRPr="004111DF">
        <w:rPr>
          <w:color w:val="222222"/>
          <w:sz w:val="20"/>
          <w:szCs w:val="20"/>
          <w:shd w:val="clear" w:color="auto" w:fill="FFFFFF"/>
        </w:rPr>
        <w:t>commissariat au Plan</w:t>
      </w:r>
      <w:r w:rsidR="00FB4D04">
        <w:rPr>
          <w:color w:val="222222"/>
          <w:sz w:val="20"/>
          <w:szCs w:val="20"/>
          <w:shd w:val="clear" w:color="auto" w:fill="FFFFFF"/>
        </w:rPr>
        <w:t>.</w:t>
      </w:r>
    </w:p>
    <w:p w:rsidR="002365B5" w:rsidRDefault="002365B5" w:rsidP="00AB58EE">
      <w:pPr>
        <w:rPr>
          <w:rFonts w:ascii="Book Antiqua" w:hAnsi="Book Antiqua" w:cs="Browallia New"/>
          <w:b/>
          <w:bCs/>
          <w:color w:val="4472C4" w:themeColor="accent1"/>
          <w:sz w:val="20"/>
          <w:szCs w:val="20"/>
        </w:rPr>
      </w:pPr>
    </w:p>
    <w:sectPr w:rsidR="002365B5" w:rsidSect="00101148">
      <w:footerReference w:type="default" r:id="rId15"/>
      <w:headerReference w:type="first" r:id="rId16"/>
      <w:type w:val="continuous"/>
      <w:pgSz w:w="11906" w:h="16838"/>
      <w:pgMar w:top="1418" w:right="1304" w:bottom="1418"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BA4" w:rsidRDefault="00E30BA4" w:rsidP="00647547">
      <w:pPr>
        <w:spacing w:after="0" w:line="240" w:lineRule="auto"/>
      </w:pPr>
      <w:r>
        <w:separator/>
      </w:r>
    </w:p>
  </w:endnote>
  <w:endnote w:type="continuationSeparator" w:id="0">
    <w:p w:rsidR="00E30BA4" w:rsidRDefault="00E30BA4" w:rsidP="00647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26797"/>
      <w:docPartObj>
        <w:docPartGallery w:val="Page Numbers (Bottom of Page)"/>
        <w:docPartUnique/>
      </w:docPartObj>
    </w:sdtPr>
    <w:sdtEndPr>
      <w:rPr>
        <w:sz w:val="22"/>
        <w:szCs w:val="22"/>
      </w:rPr>
    </w:sdtEndPr>
    <w:sdtContent>
      <w:p w:rsidR="00D84689" w:rsidRPr="003537FF" w:rsidRDefault="002620DE">
        <w:pPr>
          <w:pStyle w:val="Pieddepage"/>
          <w:jc w:val="center"/>
          <w:rPr>
            <w:sz w:val="22"/>
            <w:szCs w:val="22"/>
          </w:rPr>
        </w:pPr>
        <w:r w:rsidRPr="003537FF">
          <w:rPr>
            <w:sz w:val="16"/>
            <w:szCs w:val="16"/>
          </w:rPr>
          <w:fldChar w:fldCharType="begin"/>
        </w:r>
        <w:r w:rsidR="00D84689" w:rsidRPr="003537FF">
          <w:rPr>
            <w:sz w:val="16"/>
            <w:szCs w:val="16"/>
          </w:rPr>
          <w:instrText xml:space="preserve"> PAGE   \* MERGEFORMAT </w:instrText>
        </w:r>
        <w:r w:rsidRPr="003537FF">
          <w:rPr>
            <w:sz w:val="16"/>
            <w:szCs w:val="16"/>
          </w:rPr>
          <w:fldChar w:fldCharType="separate"/>
        </w:r>
        <w:r w:rsidR="0056706F">
          <w:rPr>
            <w:noProof/>
            <w:sz w:val="16"/>
            <w:szCs w:val="16"/>
          </w:rPr>
          <w:t>2</w:t>
        </w:r>
        <w:r w:rsidRPr="003537FF">
          <w:rPr>
            <w:sz w:val="16"/>
            <w:szCs w:val="16"/>
          </w:rPr>
          <w:fldChar w:fldCharType="end"/>
        </w:r>
      </w:p>
    </w:sdtContent>
  </w:sdt>
  <w:p w:rsidR="00D84689" w:rsidRDefault="00D846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BA4" w:rsidRDefault="00E30BA4" w:rsidP="00647547">
      <w:pPr>
        <w:spacing w:after="0" w:line="240" w:lineRule="auto"/>
      </w:pPr>
      <w:r>
        <w:separator/>
      </w:r>
    </w:p>
  </w:footnote>
  <w:footnote w:type="continuationSeparator" w:id="0">
    <w:p w:rsidR="00E30BA4" w:rsidRDefault="00E30BA4" w:rsidP="00647547">
      <w:pPr>
        <w:spacing w:after="0" w:line="240" w:lineRule="auto"/>
      </w:pPr>
      <w:r>
        <w:continuationSeparator/>
      </w:r>
    </w:p>
  </w:footnote>
  <w:footnote w:id="1">
    <w:p w:rsidR="009674D0" w:rsidRDefault="009674D0" w:rsidP="000F5DA6">
      <w:pPr>
        <w:pStyle w:val="Notedebasdepage"/>
        <w:jc w:val="both"/>
      </w:pPr>
      <w:r>
        <w:rPr>
          <w:rStyle w:val="Appelnotedebasdep"/>
        </w:rPr>
        <w:footnoteRef/>
      </w:r>
      <w:r>
        <w:t xml:space="preserve"> </w:t>
      </w:r>
      <w:r w:rsidRPr="009674D0">
        <w:rPr>
          <w:rFonts w:ascii="Book Antiqua" w:eastAsiaTheme="minorHAnsi" w:hAnsi="Book Antiqua" w:cstheme="majorBidi"/>
          <w:color w:val="2F5496" w:themeColor="accent1" w:themeShade="BF"/>
          <w:sz w:val="18"/>
          <w:szCs w:val="18"/>
          <w:lang w:eastAsia="en-US"/>
        </w:rPr>
        <w:t>Elles englob</w:t>
      </w:r>
      <w:r w:rsidR="000F5DA6">
        <w:rPr>
          <w:rFonts w:ascii="Book Antiqua" w:eastAsiaTheme="minorHAnsi" w:hAnsi="Book Antiqua" w:cstheme="majorBidi"/>
          <w:color w:val="2F5496" w:themeColor="accent1" w:themeShade="BF"/>
          <w:sz w:val="18"/>
          <w:szCs w:val="18"/>
          <w:lang w:eastAsia="en-US"/>
        </w:rPr>
        <w:t>ent les industries extractives</w:t>
      </w:r>
      <w:r w:rsidR="000F5DA6">
        <w:rPr>
          <w:rFonts w:ascii="Book Antiqua" w:eastAsiaTheme="minorHAnsi" w:hAnsi="Book Antiqua" w:cstheme="majorBidi"/>
          <w:color w:val="2F5496" w:themeColor="accent1" w:themeShade="BF"/>
          <w:sz w:val="18"/>
          <w:szCs w:val="18"/>
          <w:lang w:eastAsia="en-US" w:bidi="tzm-Arab-MA"/>
        </w:rPr>
        <w:t xml:space="preserve"> et </w:t>
      </w:r>
      <w:r w:rsidRPr="009674D0">
        <w:rPr>
          <w:rFonts w:ascii="Book Antiqua" w:eastAsiaTheme="minorHAnsi" w:hAnsi="Book Antiqua" w:cstheme="majorBidi"/>
          <w:color w:val="2F5496" w:themeColor="accent1" w:themeShade="BF"/>
          <w:sz w:val="18"/>
          <w:szCs w:val="18"/>
          <w:lang w:eastAsia="en-US"/>
        </w:rPr>
        <w:t>manufacturières, de production</w:t>
      </w:r>
      <w:r w:rsidR="000F5DA6">
        <w:rPr>
          <w:rFonts w:ascii="Book Antiqua" w:eastAsiaTheme="minorHAnsi" w:hAnsi="Book Antiqua" w:cstheme="majorBidi"/>
          <w:color w:val="2F5496" w:themeColor="accent1" w:themeShade="BF"/>
          <w:sz w:val="18"/>
          <w:szCs w:val="18"/>
          <w:lang w:eastAsia="en-US"/>
        </w:rPr>
        <w:t xml:space="preserve">, </w:t>
      </w:r>
      <w:r>
        <w:rPr>
          <w:rFonts w:ascii="Book Antiqua" w:eastAsiaTheme="minorHAnsi" w:hAnsi="Book Antiqua" w:cstheme="majorBidi"/>
          <w:color w:val="2F5496" w:themeColor="accent1" w:themeShade="BF"/>
          <w:sz w:val="18"/>
          <w:szCs w:val="18"/>
          <w:lang w:eastAsia="en-US"/>
        </w:rPr>
        <w:t xml:space="preserve">de </w:t>
      </w:r>
      <w:r w:rsidRPr="009674D0">
        <w:rPr>
          <w:rFonts w:ascii="Book Antiqua" w:eastAsiaTheme="minorHAnsi" w:hAnsi="Book Antiqua" w:cstheme="majorBidi"/>
          <w:color w:val="2F5496" w:themeColor="accent1" w:themeShade="BF"/>
          <w:sz w:val="18"/>
          <w:szCs w:val="18"/>
          <w:lang w:eastAsia="en-US"/>
        </w:rPr>
        <w:t>distribution d'électricité, de gaz,</w:t>
      </w:r>
      <w:r w:rsidR="000F5DA6">
        <w:rPr>
          <w:rFonts w:ascii="Book Antiqua" w:eastAsiaTheme="minorHAnsi" w:hAnsi="Book Antiqua" w:cstheme="majorBidi"/>
          <w:color w:val="2F5496" w:themeColor="accent1" w:themeShade="BF"/>
          <w:sz w:val="18"/>
          <w:szCs w:val="18"/>
          <w:lang w:eastAsia="en-US"/>
        </w:rPr>
        <w:t xml:space="preserve"> de vapeur et d'air conditionné, </w:t>
      </w:r>
      <w:r>
        <w:rPr>
          <w:rFonts w:ascii="Book Antiqua" w:eastAsiaTheme="minorHAnsi" w:hAnsi="Book Antiqua" w:cstheme="majorBidi"/>
          <w:color w:val="2F5496" w:themeColor="accent1" w:themeShade="BF"/>
          <w:sz w:val="18"/>
          <w:szCs w:val="18"/>
          <w:lang w:eastAsia="en-US"/>
        </w:rPr>
        <w:t>d</w:t>
      </w:r>
      <w:r w:rsidRPr="009674D0">
        <w:rPr>
          <w:rFonts w:ascii="Book Antiqua" w:eastAsiaTheme="minorHAnsi" w:hAnsi="Book Antiqua" w:cstheme="majorBidi"/>
          <w:color w:val="2F5496" w:themeColor="accent1" w:themeShade="BF"/>
          <w:sz w:val="18"/>
          <w:szCs w:val="18"/>
          <w:lang w:eastAsia="en-US"/>
        </w:rPr>
        <w:t xml:space="preserve">e production et </w:t>
      </w:r>
      <w:r>
        <w:rPr>
          <w:rFonts w:ascii="Book Antiqua" w:eastAsiaTheme="minorHAnsi" w:hAnsi="Book Antiqua" w:cstheme="majorBidi"/>
          <w:color w:val="2F5496" w:themeColor="accent1" w:themeShade="BF"/>
          <w:sz w:val="18"/>
          <w:szCs w:val="18"/>
          <w:lang w:eastAsia="en-US"/>
        </w:rPr>
        <w:t xml:space="preserve">de </w:t>
      </w:r>
      <w:r w:rsidRPr="009674D0">
        <w:rPr>
          <w:rFonts w:ascii="Book Antiqua" w:eastAsiaTheme="minorHAnsi" w:hAnsi="Book Antiqua" w:cstheme="majorBidi"/>
          <w:color w:val="2F5496" w:themeColor="accent1" w:themeShade="BF"/>
          <w:sz w:val="18"/>
          <w:szCs w:val="18"/>
          <w:lang w:eastAsia="en-US"/>
        </w:rPr>
        <w:t xml:space="preserve">distribution d'eau et d’assainissement, </w:t>
      </w:r>
      <w:r>
        <w:rPr>
          <w:rFonts w:ascii="Book Antiqua" w:eastAsiaTheme="minorHAnsi" w:hAnsi="Book Antiqua" w:cstheme="majorBidi"/>
          <w:color w:val="2F5496" w:themeColor="accent1" w:themeShade="BF"/>
          <w:sz w:val="18"/>
          <w:szCs w:val="18"/>
          <w:lang w:eastAsia="en-US"/>
        </w:rPr>
        <w:t xml:space="preserve">de </w:t>
      </w:r>
      <w:r w:rsidRPr="009674D0">
        <w:rPr>
          <w:rFonts w:ascii="Book Antiqua" w:eastAsiaTheme="minorHAnsi" w:hAnsi="Book Antiqua" w:cstheme="majorBidi"/>
          <w:color w:val="2F5496" w:themeColor="accent1" w:themeShade="BF"/>
          <w:sz w:val="18"/>
          <w:szCs w:val="18"/>
          <w:lang w:eastAsia="en-US"/>
        </w:rPr>
        <w:t xml:space="preserve">gestion des déchets et </w:t>
      </w:r>
      <w:r w:rsidR="00916A10">
        <w:rPr>
          <w:rFonts w:ascii="Book Antiqua" w:eastAsiaTheme="minorHAnsi" w:hAnsi="Book Antiqua" w:cstheme="majorBidi"/>
          <w:color w:val="2F5496" w:themeColor="accent1" w:themeShade="BF"/>
          <w:sz w:val="18"/>
          <w:szCs w:val="18"/>
          <w:lang w:eastAsia="en-US"/>
        </w:rPr>
        <w:t xml:space="preserve">de </w:t>
      </w:r>
      <w:r w:rsidRPr="009674D0">
        <w:rPr>
          <w:rFonts w:ascii="Book Antiqua" w:eastAsiaTheme="minorHAnsi" w:hAnsi="Book Antiqua" w:cstheme="majorBidi"/>
          <w:color w:val="2F5496" w:themeColor="accent1" w:themeShade="BF"/>
          <w:sz w:val="18"/>
          <w:szCs w:val="18"/>
          <w:lang w:eastAsia="en-US"/>
        </w:rPr>
        <w:t>dépollution</w:t>
      </w:r>
      <w:r>
        <w:t xml:space="preserve">. </w:t>
      </w:r>
    </w:p>
  </w:footnote>
  <w:footnote w:id="2">
    <w:p w:rsidR="00D84689" w:rsidRDefault="00D84689" w:rsidP="004D3E03">
      <w:pPr>
        <w:pStyle w:val="Notedebasdepage"/>
      </w:pPr>
      <w:r>
        <w:rPr>
          <w:rStyle w:val="Appelnotedebasdep"/>
        </w:rPr>
        <w:footnoteRef/>
      </w:r>
      <w:r w:rsidRPr="00456121">
        <w:rPr>
          <w:rFonts w:ascii="Book Antiqua" w:eastAsia="Book Antiqua" w:hAnsi="Book Antiqua" w:cs="Book Antiqua"/>
          <w:sz w:val="16"/>
          <w:szCs w:val="16"/>
        </w:rPr>
        <w:t>Selon l’auto-détermination des répondants</w:t>
      </w:r>
      <w:r>
        <w:t xml:space="preserve">. </w:t>
      </w:r>
    </w:p>
  </w:footnote>
  <w:footnote w:id="3">
    <w:p w:rsidR="00D84689" w:rsidRPr="00B84F3C" w:rsidRDefault="00D84689" w:rsidP="00EB5A99">
      <w:pPr>
        <w:pStyle w:val="Notedebasdepage"/>
        <w:rPr>
          <w:sz w:val="14"/>
          <w:szCs w:val="14"/>
        </w:rPr>
      </w:pPr>
      <w:r>
        <w:rPr>
          <w:rStyle w:val="Appelnotedebasdep"/>
        </w:rPr>
        <w:footnoteRef/>
      </w:r>
      <w:r w:rsidRPr="00B84F3C">
        <w:rPr>
          <w:sz w:val="14"/>
          <w:szCs w:val="14"/>
        </w:rPr>
        <w:t>L’écart entre la baisse d’emploi au niveau global et par secteurs concerne les activités mal ou non désignées</w:t>
      </w:r>
      <w:r>
        <w:rPr>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148" w:rsidRDefault="00101148" w:rsidP="00101148">
    <w:pPr>
      <w:pStyle w:val="En-tte"/>
      <w:jc w:val="center"/>
    </w:pPr>
    <w:r w:rsidRPr="00101148">
      <w:rPr>
        <w:noProof/>
        <w:lang w:eastAsia="fr-FR"/>
      </w:rPr>
      <w:drawing>
        <wp:inline distT="0" distB="0" distL="0" distR="0">
          <wp:extent cx="1339850" cy="865646"/>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915" cy="86827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BD14565_"/>
      </v:shape>
    </w:pict>
  </w:numPicBullet>
  <w:abstractNum w:abstractNumId="0">
    <w:nsid w:val="0D1920C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182E79"/>
    <w:multiLevelType w:val="hybridMultilevel"/>
    <w:tmpl w:val="D0F6EAC6"/>
    <w:lvl w:ilvl="0" w:tplc="54048DB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2625D9"/>
    <w:multiLevelType w:val="hybridMultilevel"/>
    <w:tmpl w:val="3BB0252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687A91"/>
    <w:multiLevelType w:val="hybridMultilevel"/>
    <w:tmpl w:val="990E3FBC"/>
    <w:lvl w:ilvl="0" w:tplc="040C0003">
      <w:start w:val="1"/>
      <w:numFmt w:val="bullet"/>
      <w:lvlText w:val="o"/>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DC33EF8"/>
    <w:multiLevelType w:val="hybridMultilevel"/>
    <w:tmpl w:val="CD5A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D242CB"/>
    <w:multiLevelType w:val="singleLevel"/>
    <w:tmpl w:val="769EE5B4"/>
    <w:name w:val="Callout Template"/>
    <w:lvl w:ilvl="0">
      <w:start w:val="1"/>
      <w:numFmt w:val="decimal"/>
      <w:suff w:val="space"/>
      <w:lvlText w:val="="/>
      <w:lvlJc w:val="left"/>
      <w:pPr>
        <w:ind w:left="200" w:hanging="200"/>
      </w:pPr>
      <w:rPr>
        <w:rFonts w:ascii="Webdings" w:hAnsi="Webdings"/>
        <w:sz w:val="16"/>
      </w:rPr>
    </w:lvl>
  </w:abstractNum>
  <w:abstractNum w:abstractNumId="8">
    <w:nsid w:val="4202086A"/>
    <w:multiLevelType w:val="hybridMultilevel"/>
    <w:tmpl w:val="7C3202E0"/>
    <w:lvl w:ilvl="0" w:tplc="2A96491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nsid w:val="55A278B9"/>
    <w:multiLevelType w:val="hybridMultilevel"/>
    <w:tmpl w:val="52B2CF52"/>
    <w:lvl w:ilvl="0" w:tplc="BDBE96A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nsid w:val="5E3A162F"/>
    <w:multiLevelType w:val="hybridMultilevel"/>
    <w:tmpl w:val="5E882042"/>
    <w:lvl w:ilvl="0" w:tplc="D76829CC">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F194B70"/>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nsid w:val="70326D3D"/>
    <w:multiLevelType w:val="hybridMultilevel"/>
    <w:tmpl w:val="04C68812"/>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3EB4257"/>
    <w:multiLevelType w:val="hybridMultilevel"/>
    <w:tmpl w:val="77DA5F0A"/>
    <w:lvl w:ilvl="0" w:tplc="040C0003">
      <w:start w:val="1"/>
      <w:numFmt w:val="bullet"/>
      <w:lvlText w:val="o"/>
      <w:lvlJc w:val="left"/>
      <w:pPr>
        <w:ind w:left="778" w:hanging="360"/>
      </w:pPr>
      <w:rPr>
        <w:rFonts w:ascii="Courier New" w:hAnsi="Courier New" w:cs="Courier New"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nsid w:val="7D73003C"/>
    <w:multiLevelType w:val="hybridMultilevel"/>
    <w:tmpl w:val="AC6AF4FE"/>
    <w:lvl w:ilvl="0" w:tplc="7E4C9D8A">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8"/>
  </w:num>
  <w:num w:numId="4">
    <w:abstractNumId w:val="10"/>
  </w:num>
  <w:num w:numId="5">
    <w:abstractNumId w:val="5"/>
  </w:num>
  <w:num w:numId="6">
    <w:abstractNumId w:val="13"/>
  </w:num>
  <w:num w:numId="7">
    <w:abstractNumId w:val="4"/>
  </w:num>
  <w:num w:numId="8">
    <w:abstractNumId w:val="3"/>
  </w:num>
  <w:num w:numId="9">
    <w:abstractNumId w:val="12"/>
  </w:num>
  <w:num w:numId="10">
    <w:abstractNumId w:val="14"/>
  </w:num>
  <w:num w:numId="11">
    <w:abstractNumId w:val="6"/>
  </w:num>
  <w:num w:numId="12">
    <w:abstractNumId w:val="6"/>
  </w:num>
  <w:num w:numId="13">
    <w:abstractNumId w:val="6"/>
  </w:num>
  <w:num w:numId="14">
    <w:abstractNumId w:val="2"/>
  </w:num>
  <w:num w:numId="15">
    <w:abstractNumId w:val="0"/>
  </w:num>
  <w:num w:numId="16">
    <w:abstractNumId w:val="6"/>
  </w:num>
  <w:num w:numId="17">
    <w:abstractNumId w:val="6"/>
  </w:num>
  <w:num w:numId="18">
    <w:abstractNumId w:val="6"/>
  </w:num>
  <w:num w:numId="19">
    <w:abstractNumId w:val="6"/>
  </w:num>
  <w:num w:numId="20">
    <w:abstractNumId w:val="9"/>
  </w:num>
  <w:num w:numId="21">
    <w:abstractNumId w:val="1"/>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85965"/>
    <w:rsid w:val="00000609"/>
    <w:rsid w:val="000148F4"/>
    <w:rsid w:val="00015F97"/>
    <w:rsid w:val="000215D5"/>
    <w:rsid w:val="0003179E"/>
    <w:rsid w:val="00033F4E"/>
    <w:rsid w:val="00034341"/>
    <w:rsid w:val="0003577E"/>
    <w:rsid w:val="00035BB3"/>
    <w:rsid w:val="000410C1"/>
    <w:rsid w:val="00052A83"/>
    <w:rsid w:val="00052C59"/>
    <w:rsid w:val="00061D2F"/>
    <w:rsid w:val="000630F5"/>
    <w:rsid w:val="000726D0"/>
    <w:rsid w:val="0007315E"/>
    <w:rsid w:val="000740C1"/>
    <w:rsid w:val="00076DFC"/>
    <w:rsid w:val="000816D3"/>
    <w:rsid w:val="00084E3B"/>
    <w:rsid w:val="00093BA4"/>
    <w:rsid w:val="000948D2"/>
    <w:rsid w:val="00095DF4"/>
    <w:rsid w:val="000A3014"/>
    <w:rsid w:val="000A32EE"/>
    <w:rsid w:val="000B6099"/>
    <w:rsid w:val="000B688E"/>
    <w:rsid w:val="000E5B92"/>
    <w:rsid w:val="000E6BD5"/>
    <w:rsid w:val="000E7E15"/>
    <w:rsid w:val="000F5DA6"/>
    <w:rsid w:val="00101148"/>
    <w:rsid w:val="001037D8"/>
    <w:rsid w:val="001173B5"/>
    <w:rsid w:val="00121272"/>
    <w:rsid w:val="00127106"/>
    <w:rsid w:val="00144545"/>
    <w:rsid w:val="00146B9D"/>
    <w:rsid w:val="001513F9"/>
    <w:rsid w:val="00151A63"/>
    <w:rsid w:val="001561CA"/>
    <w:rsid w:val="00157552"/>
    <w:rsid w:val="0016011E"/>
    <w:rsid w:val="001610BF"/>
    <w:rsid w:val="0016181E"/>
    <w:rsid w:val="001631E7"/>
    <w:rsid w:val="00165862"/>
    <w:rsid w:val="00167B85"/>
    <w:rsid w:val="00172219"/>
    <w:rsid w:val="00172A9A"/>
    <w:rsid w:val="00176553"/>
    <w:rsid w:val="00181110"/>
    <w:rsid w:val="001817C2"/>
    <w:rsid w:val="00190E2D"/>
    <w:rsid w:val="00195716"/>
    <w:rsid w:val="00196401"/>
    <w:rsid w:val="001A62C8"/>
    <w:rsid w:val="001A7F81"/>
    <w:rsid w:val="001B5A6E"/>
    <w:rsid w:val="001C4D45"/>
    <w:rsid w:val="001C7038"/>
    <w:rsid w:val="001D45AF"/>
    <w:rsid w:val="001D5675"/>
    <w:rsid w:val="001D6579"/>
    <w:rsid w:val="001E0795"/>
    <w:rsid w:val="001E1DF6"/>
    <w:rsid w:val="001E214E"/>
    <w:rsid w:val="001E6589"/>
    <w:rsid w:val="001E75D4"/>
    <w:rsid w:val="001E7C69"/>
    <w:rsid w:val="001F6E0B"/>
    <w:rsid w:val="00202BC3"/>
    <w:rsid w:val="00207292"/>
    <w:rsid w:val="00214268"/>
    <w:rsid w:val="0022296C"/>
    <w:rsid w:val="00227708"/>
    <w:rsid w:val="00231FDD"/>
    <w:rsid w:val="00232B1D"/>
    <w:rsid w:val="00233E1A"/>
    <w:rsid w:val="00234BD0"/>
    <w:rsid w:val="002365B5"/>
    <w:rsid w:val="002522BF"/>
    <w:rsid w:val="00254EBB"/>
    <w:rsid w:val="00260A22"/>
    <w:rsid w:val="002620DE"/>
    <w:rsid w:val="00262EB0"/>
    <w:rsid w:val="00263CFE"/>
    <w:rsid w:val="002646BD"/>
    <w:rsid w:val="00266D76"/>
    <w:rsid w:val="002771FF"/>
    <w:rsid w:val="00280A24"/>
    <w:rsid w:val="00285965"/>
    <w:rsid w:val="00286060"/>
    <w:rsid w:val="002966AE"/>
    <w:rsid w:val="002A6D8E"/>
    <w:rsid w:val="002B0A07"/>
    <w:rsid w:val="002B18F9"/>
    <w:rsid w:val="002B46F4"/>
    <w:rsid w:val="002B507F"/>
    <w:rsid w:val="002B6DD9"/>
    <w:rsid w:val="002B6EBA"/>
    <w:rsid w:val="002C1818"/>
    <w:rsid w:val="002C3E4D"/>
    <w:rsid w:val="002C6A41"/>
    <w:rsid w:val="002C79AD"/>
    <w:rsid w:val="002D324E"/>
    <w:rsid w:val="002D385D"/>
    <w:rsid w:val="002E4619"/>
    <w:rsid w:val="002E4DC1"/>
    <w:rsid w:val="002F3BC4"/>
    <w:rsid w:val="002F4BF8"/>
    <w:rsid w:val="002F60C9"/>
    <w:rsid w:val="00306D84"/>
    <w:rsid w:val="003130F2"/>
    <w:rsid w:val="00314E05"/>
    <w:rsid w:val="00314F7F"/>
    <w:rsid w:val="0031528C"/>
    <w:rsid w:val="00315C73"/>
    <w:rsid w:val="0032706B"/>
    <w:rsid w:val="003367CF"/>
    <w:rsid w:val="00341AE7"/>
    <w:rsid w:val="003537FF"/>
    <w:rsid w:val="00354547"/>
    <w:rsid w:val="003817C8"/>
    <w:rsid w:val="003A1F0F"/>
    <w:rsid w:val="003A3A92"/>
    <w:rsid w:val="003A4C5F"/>
    <w:rsid w:val="003A5C6F"/>
    <w:rsid w:val="003B035F"/>
    <w:rsid w:val="003C446E"/>
    <w:rsid w:val="003C44CE"/>
    <w:rsid w:val="003F555E"/>
    <w:rsid w:val="003F5D19"/>
    <w:rsid w:val="00404D4E"/>
    <w:rsid w:val="004111DF"/>
    <w:rsid w:val="004246D9"/>
    <w:rsid w:val="004264E0"/>
    <w:rsid w:val="00430D5D"/>
    <w:rsid w:val="004337F2"/>
    <w:rsid w:val="00442956"/>
    <w:rsid w:val="00442E1D"/>
    <w:rsid w:val="00445805"/>
    <w:rsid w:val="004473B0"/>
    <w:rsid w:val="0045679B"/>
    <w:rsid w:val="00457DCA"/>
    <w:rsid w:val="00461C49"/>
    <w:rsid w:val="00462C5C"/>
    <w:rsid w:val="004805D0"/>
    <w:rsid w:val="00491A91"/>
    <w:rsid w:val="0049600B"/>
    <w:rsid w:val="004A7501"/>
    <w:rsid w:val="004B06B2"/>
    <w:rsid w:val="004B7A72"/>
    <w:rsid w:val="004C095B"/>
    <w:rsid w:val="004C25F2"/>
    <w:rsid w:val="004C42DC"/>
    <w:rsid w:val="004D3E03"/>
    <w:rsid w:val="004F7BDB"/>
    <w:rsid w:val="00502823"/>
    <w:rsid w:val="00515B04"/>
    <w:rsid w:val="00516C8D"/>
    <w:rsid w:val="0054104E"/>
    <w:rsid w:val="00543385"/>
    <w:rsid w:val="005464AF"/>
    <w:rsid w:val="0055397B"/>
    <w:rsid w:val="00554A03"/>
    <w:rsid w:val="00564871"/>
    <w:rsid w:val="00565EA7"/>
    <w:rsid w:val="0056706F"/>
    <w:rsid w:val="0057563B"/>
    <w:rsid w:val="005756A1"/>
    <w:rsid w:val="00581347"/>
    <w:rsid w:val="005B077A"/>
    <w:rsid w:val="005B0D3E"/>
    <w:rsid w:val="005B7114"/>
    <w:rsid w:val="005C0C27"/>
    <w:rsid w:val="005C5615"/>
    <w:rsid w:val="005C6691"/>
    <w:rsid w:val="005D2105"/>
    <w:rsid w:val="005D443D"/>
    <w:rsid w:val="005E1317"/>
    <w:rsid w:val="005E348B"/>
    <w:rsid w:val="005E3F54"/>
    <w:rsid w:val="005F3AAA"/>
    <w:rsid w:val="006052A0"/>
    <w:rsid w:val="006074CB"/>
    <w:rsid w:val="00612C6A"/>
    <w:rsid w:val="00616864"/>
    <w:rsid w:val="00620013"/>
    <w:rsid w:val="006209A1"/>
    <w:rsid w:val="00621F03"/>
    <w:rsid w:val="006220C7"/>
    <w:rsid w:val="006255A6"/>
    <w:rsid w:val="0063036C"/>
    <w:rsid w:val="0063480B"/>
    <w:rsid w:val="00645CCA"/>
    <w:rsid w:val="00647547"/>
    <w:rsid w:val="00647784"/>
    <w:rsid w:val="0065727D"/>
    <w:rsid w:val="00666CC4"/>
    <w:rsid w:val="00675AD5"/>
    <w:rsid w:val="00683E13"/>
    <w:rsid w:val="00683F3E"/>
    <w:rsid w:val="006849BF"/>
    <w:rsid w:val="00686F85"/>
    <w:rsid w:val="00694716"/>
    <w:rsid w:val="00697171"/>
    <w:rsid w:val="006971EF"/>
    <w:rsid w:val="006A0780"/>
    <w:rsid w:val="006A1A4A"/>
    <w:rsid w:val="006A5427"/>
    <w:rsid w:val="006A7E0E"/>
    <w:rsid w:val="006B5CC2"/>
    <w:rsid w:val="006C333F"/>
    <w:rsid w:val="006C478D"/>
    <w:rsid w:val="006D1971"/>
    <w:rsid w:val="006D262E"/>
    <w:rsid w:val="006D6F75"/>
    <w:rsid w:val="006E3A6E"/>
    <w:rsid w:val="006E599F"/>
    <w:rsid w:val="006F2179"/>
    <w:rsid w:val="006F2A7A"/>
    <w:rsid w:val="007015E0"/>
    <w:rsid w:val="007060D4"/>
    <w:rsid w:val="00720B31"/>
    <w:rsid w:val="00720BC7"/>
    <w:rsid w:val="00725167"/>
    <w:rsid w:val="00725D25"/>
    <w:rsid w:val="00733A4E"/>
    <w:rsid w:val="007362D2"/>
    <w:rsid w:val="00745A50"/>
    <w:rsid w:val="00754384"/>
    <w:rsid w:val="007675DD"/>
    <w:rsid w:val="00770336"/>
    <w:rsid w:val="00780682"/>
    <w:rsid w:val="00780A85"/>
    <w:rsid w:val="007913BC"/>
    <w:rsid w:val="0079437E"/>
    <w:rsid w:val="00797D4A"/>
    <w:rsid w:val="007B5DE3"/>
    <w:rsid w:val="007C6B26"/>
    <w:rsid w:val="007D2CB3"/>
    <w:rsid w:val="007D3392"/>
    <w:rsid w:val="00815AD5"/>
    <w:rsid w:val="008161F0"/>
    <w:rsid w:val="00827F05"/>
    <w:rsid w:val="00845945"/>
    <w:rsid w:val="00850E10"/>
    <w:rsid w:val="00853C86"/>
    <w:rsid w:val="00863BF7"/>
    <w:rsid w:val="00871778"/>
    <w:rsid w:val="008753C0"/>
    <w:rsid w:val="008759D1"/>
    <w:rsid w:val="00877D4C"/>
    <w:rsid w:val="00880C81"/>
    <w:rsid w:val="008A54B7"/>
    <w:rsid w:val="008B0022"/>
    <w:rsid w:val="008B43C7"/>
    <w:rsid w:val="008B4959"/>
    <w:rsid w:val="008D1973"/>
    <w:rsid w:val="008D2989"/>
    <w:rsid w:val="008D2A34"/>
    <w:rsid w:val="008D2A96"/>
    <w:rsid w:val="008D3D1B"/>
    <w:rsid w:val="008D435D"/>
    <w:rsid w:val="008D44C3"/>
    <w:rsid w:val="008D790F"/>
    <w:rsid w:val="008E21DA"/>
    <w:rsid w:val="008F65A3"/>
    <w:rsid w:val="00901E10"/>
    <w:rsid w:val="009055D4"/>
    <w:rsid w:val="00907D68"/>
    <w:rsid w:val="00910387"/>
    <w:rsid w:val="009132AC"/>
    <w:rsid w:val="0091405C"/>
    <w:rsid w:val="009145A3"/>
    <w:rsid w:val="00916A10"/>
    <w:rsid w:val="0091797E"/>
    <w:rsid w:val="009246FB"/>
    <w:rsid w:val="0092728C"/>
    <w:rsid w:val="00940768"/>
    <w:rsid w:val="0095056A"/>
    <w:rsid w:val="00952A83"/>
    <w:rsid w:val="00953339"/>
    <w:rsid w:val="009576F3"/>
    <w:rsid w:val="00964928"/>
    <w:rsid w:val="009674D0"/>
    <w:rsid w:val="00970335"/>
    <w:rsid w:val="00972048"/>
    <w:rsid w:val="009732FA"/>
    <w:rsid w:val="0097469D"/>
    <w:rsid w:val="009749D3"/>
    <w:rsid w:val="0097600C"/>
    <w:rsid w:val="00982DF9"/>
    <w:rsid w:val="00985EEA"/>
    <w:rsid w:val="0098752D"/>
    <w:rsid w:val="00992CAD"/>
    <w:rsid w:val="00992F2C"/>
    <w:rsid w:val="0099497A"/>
    <w:rsid w:val="009A54A3"/>
    <w:rsid w:val="009D235D"/>
    <w:rsid w:val="009D2668"/>
    <w:rsid w:val="009F1175"/>
    <w:rsid w:val="009F7B91"/>
    <w:rsid w:val="00A018A4"/>
    <w:rsid w:val="00A0224C"/>
    <w:rsid w:val="00A052B7"/>
    <w:rsid w:val="00A11323"/>
    <w:rsid w:val="00A1521D"/>
    <w:rsid w:val="00A20FC1"/>
    <w:rsid w:val="00A24C00"/>
    <w:rsid w:val="00A2524F"/>
    <w:rsid w:val="00A2581F"/>
    <w:rsid w:val="00A37E42"/>
    <w:rsid w:val="00A457DA"/>
    <w:rsid w:val="00A55FAE"/>
    <w:rsid w:val="00A64BE0"/>
    <w:rsid w:val="00A83219"/>
    <w:rsid w:val="00A86633"/>
    <w:rsid w:val="00A92112"/>
    <w:rsid w:val="00A92E6B"/>
    <w:rsid w:val="00AB1205"/>
    <w:rsid w:val="00AB58EE"/>
    <w:rsid w:val="00AB6015"/>
    <w:rsid w:val="00AB6B49"/>
    <w:rsid w:val="00AC1405"/>
    <w:rsid w:val="00AC6FF4"/>
    <w:rsid w:val="00AD2871"/>
    <w:rsid w:val="00AD2E74"/>
    <w:rsid w:val="00AF4969"/>
    <w:rsid w:val="00B32FEF"/>
    <w:rsid w:val="00B34C0B"/>
    <w:rsid w:val="00B3721C"/>
    <w:rsid w:val="00B37D68"/>
    <w:rsid w:val="00B4437C"/>
    <w:rsid w:val="00B5105D"/>
    <w:rsid w:val="00B51DE6"/>
    <w:rsid w:val="00B5254B"/>
    <w:rsid w:val="00B675E7"/>
    <w:rsid w:val="00B817FF"/>
    <w:rsid w:val="00B84F3C"/>
    <w:rsid w:val="00B86B9B"/>
    <w:rsid w:val="00BA157D"/>
    <w:rsid w:val="00BA5443"/>
    <w:rsid w:val="00BB0F44"/>
    <w:rsid w:val="00BB5534"/>
    <w:rsid w:val="00BC4B3C"/>
    <w:rsid w:val="00BC5B03"/>
    <w:rsid w:val="00BD026B"/>
    <w:rsid w:val="00BD26D0"/>
    <w:rsid w:val="00BD7EBF"/>
    <w:rsid w:val="00BE7E8B"/>
    <w:rsid w:val="00BF351C"/>
    <w:rsid w:val="00C024D4"/>
    <w:rsid w:val="00C103B4"/>
    <w:rsid w:val="00C2077D"/>
    <w:rsid w:val="00C211A0"/>
    <w:rsid w:val="00C23589"/>
    <w:rsid w:val="00C25CC9"/>
    <w:rsid w:val="00C27C90"/>
    <w:rsid w:val="00C346AA"/>
    <w:rsid w:val="00C42A76"/>
    <w:rsid w:val="00C440A6"/>
    <w:rsid w:val="00C46277"/>
    <w:rsid w:val="00C74E21"/>
    <w:rsid w:val="00C80243"/>
    <w:rsid w:val="00C82EFA"/>
    <w:rsid w:val="00C85203"/>
    <w:rsid w:val="00C87D49"/>
    <w:rsid w:val="00C9609C"/>
    <w:rsid w:val="00CA41D9"/>
    <w:rsid w:val="00CA4A9D"/>
    <w:rsid w:val="00CB1E1D"/>
    <w:rsid w:val="00CD255D"/>
    <w:rsid w:val="00CD269C"/>
    <w:rsid w:val="00CD4A44"/>
    <w:rsid w:val="00CD6737"/>
    <w:rsid w:val="00CE1CCD"/>
    <w:rsid w:val="00CE5110"/>
    <w:rsid w:val="00CF3157"/>
    <w:rsid w:val="00CF3982"/>
    <w:rsid w:val="00D03B76"/>
    <w:rsid w:val="00D24AD3"/>
    <w:rsid w:val="00D309B9"/>
    <w:rsid w:val="00D33DD3"/>
    <w:rsid w:val="00D3401E"/>
    <w:rsid w:val="00D35F35"/>
    <w:rsid w:val="00D401DB"/>
    <w:rsid w:val="00D42D78"/>
    <w:rsid w:val="00D45972"/>
    <w:rsid w:val="00D4727C"/>
    <w:rsid w:val="00D63663"/>
    <w:rsid w:val="00D651A9"/>
    <w:rsid w:val="00D674C6"/>
    <w:rsid w:val="00D67A67"/>
    <w:rsid w:val="00D730C6"/>
    <w:rsid w:val="00D73A59"/>
    <w:rsid w:val="00D773E9"/>
    <w:rsid w:val="00D822FD"/>
    <w:rsid w:val="00D84689"/>
    <w:rsid w:val="00D8774D"/>
    <w:rsid w:val="00D87DCC"/>
    <w:rsid w:val="00D95289"/>
    <w:rsid w:val="00D97825"/>
    <w:rsid w:val="00DA4C4D"/>
    <w:rsid w:val="00DB2439"/>
    <w:rsid w:val="00DB4955"/>
    <w:rsid w:val="00DC4241"/>
    <w:rsid w:val="00DC4BDA"/>
    <w:rsid w:val="00DC5BEF"/>
    <w:rsid w:val="00DC67EF"/>
    <w:rsid w:val="00DE049F"/>
    <w:rsid w:val="00DE2836"/>
    <w:rsid w:val="00DE5202"/>
    <w:rsid w:val="00DF0AE8"/>
    <w:rsid w:val="00DF2983"/>
    <w:rsid w:val="00DF2FF2"/>
    <w:rsid w:val="00DF551A"/>
    <w:rsid w:val="00DF79CB"/>
    <w:rsid w:val="00DF7CDE"/>
    <w:rsid w:val="00E00FAF"/>
    <w:rsid w:val="00E17669"/>
    <w:rsid w:val="00E17A21"/>
    <w:rsid w:val="00E212BC"/>
    <w:rsid w:val="00E251C2"/>
    <w:rsid w:val="00E26361"/>
    <w:rsid w:val="00E30BA4"/>
    <w:rsid w:val="00E31034"/>
    <w:rsid w:val="00E37D1D"/>
    <w:rsid w:val="00E420A8"/>
    <w:rsid w:val="00E43914"/>
    <w:rsid w:val="00E463EA"/>
    <w:rsid w:val="00E52F42"/>
    <w:rsid w:val="00E624BF"/>
    <w:rsid w:val="00E625CB"/>
    <w:rsid w:val="00E62E54"/>
    <w:rsid w:val="00E646B3"/>
    <w:rsid w:val="00E6586C"/>
    <w:rsid w:val="00E67247"/>
    <w:rsid w:val="00E77B54"/>
    <w:rsid w:val="00E81196"/>
    <w:rsid w:val="00E902E3"/>
    <w:rsid w:val="00E903A7"/>
    <w:rsid w:val="00E94CFB"/>
    <w:rsid w:val="00EA13EB"/>
    <w:rsid w:val="00EA1DEE"/>
    <w:rsid w:val="00EA4718"/>
    <w:rsid w:val="00EA6DC2"/>
    <w:rsid w:val="00EB0858"/>
    <w:rsid w:val="00EB5A99"/>
    <w:rsid w:val="00EC1C89"/>
    <w:rsid w:val="00EC41B9"/>
    <w:rsid w:val="00EC4430"/>
    <w:rsid w:val="00EC4B3E"/>
    <w:rsid w:val="00EC79D8"/>
    <w:rsid w:val="00EC7B5D"/>
    <w:rsid w:val="00ED1629"/>
    <w:rsid w:val="00ED5410"/>
    <w:rsid w:val="00EE0108"/>
    <w:rsid w:val="00EF117E"/>
    <w:rsid w:val="00EF260A"/>
    <w:rsid w:val="00F05010"/>
    <w:rsid w:val="00F070A4"/>
    <w:rsid w:val="00F47F4B"/>
    <w:rsid w:val="00F55453"/>
    <w:rsid w:val="00F56F27"/>
    <w:rsid w:val="00F63ECB"/>
    <w:rsid w:val="00F64816"/>
    <w:rsid w:val="00F66777"/>
    <w:rsid w:val="00F72752"/>
    <w:rsid w:val="00F752B4"/>
    <w:rsid w:val="00F7731B"/>
    <w:rsid w:val="00F84545"/>
    <w:rsid w:val="00F877CA"/>
    <w:rsid w:val="00F91DB1"/>
    <w:rsid w:val="00FA0B06"/>
    <w:rsid w:val="00FA107E"/>
    <w:rsid w:val="00FB02D4"/>
    <w:rsid w:val="00FB4D04"/>
    <w:rsid w:val="00FC3D44"/>
    <w:rsid w:val="00FC4347"/>
    <w:rsid w:val="00FC5968"/>
    <w:rsid w:val="00FD743E"/>
    <w:rsid w:val="00FE7112"/>
    <w:rsid w:val="00FF020E"/>
    <w:rsid w:val="00FF05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6C"/>
  </w:style>
  <w:style w:type="paragraph" w:styleId="Titre1">
    <w:name w:val="heading 1"/>
    <w:basedOn w:val="Normal"/>
    <w:next w:val="Normal"/>
    <w:link w:val="Titre1Car"/>
    <w:uiPriority w:val="9"/>
    <w:qFormat/>
    <w:rsid w:val="00C87D4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Titre2">
    <w:name w:val="heading 2"/>
    <w:basedOn w:val="Normal"/>
    <w:next w:val="Normal"/>
    <w:link w:val="Titre2Car"/>
    <w:uiPriority w:val="9"/>
    <w:unhideWhenUsed/>
    <w:qFormat/>
    <w:rsid w:val="00C87D49"/>
    <w:pPr>
      <w:keepNext/>
      <w:keepLines/>
      <w:spacing w:before="40" w:after="0"/>
      <w:outlineLvl w:val="1"/>
    </w:pPr>
    <w:rPr>
      <w:rFonts w:asciiTheme="majorHAnsi" w:eastAsiaTheme="majorEastAsia" w:hAnsiTheme="majorHAnsi"/>
      <w:color w:val="2F5496" w:themeColor="accent1" w:themeShade="BF"/>
      <w:sz w:val="26"/>
      <w:szCs w:val="26"/>
    </w:rPr>
  </w:style>
  <w:style w:type="paragraph" w:styleId="Titre3">
    <w:name w:val="heading 3"/>
    <w:basedOn w:val="Normal"/>
    <w:next w:val="Normal"/>
    <w:link w:val="Titre3Car"/>
    <w:uiPriority w:val="9"/>
    <w:unhideWhenUsed/>
    <w:qFormat/>
    <w:rsid w:val="00C87D49"/>
    <w:pPr>
      <w:keepNext/>
      <w:keepLines/>
      <w:spacing w:before="40" w:after="0"/>
      <w:outlineLvl w:val="2"/>
    </w:pPr>
    <w:rPr>
      <w:rFonts w:asciiTheme="majorHAnsi" w:eastAsiaTheme="majorEastAsia" w:hAnsiTheme="majorHAnsi"/>
      <w:color w:val="1F3763" w:themeColor="accent1" w:themeShade="7F"/>
      <w:sz w:val="24"/>
      <w:szCs w:val="24"/>
    </w:rPr>
  </w:style>
  <w:style w:type="paragraph" w:styleId="Titre4">
    <w:name w:val="heading 4"/>
    <w:basedOn w:val="Normal"/>
    <w:next w:val="Normal"/>
    <w:link w:val="Titre4Car"/>
    <w:uiPriority w:val="9"/>
    <w:unhideWhenUsed/>
    <w:qFormat/>
    <w:rsid w:val="00C87D49"/>
    <w:pPr>
      <w:keepNext/>
      <w:keepLines/>
      <w:spacing w:before="40" w:after="0"/>
      <w:outlineLvl w:val="3"/>
    </w:pPr>
    <w:rPr>
      <w:rFonts w:asciiTheme="majorHAnsi" w:eastAsiaTheme="majorEastAsia" w:hAnsiTheme="majorHAnsi"/>
      <w:i/>
      <w:iCs/>
      <w:color w:val="2F5496" w:themeColor="accent1" w:themeShade="BF"/>
    </w:rPr>
  </w:style>
  <w:style w:type="paragraph" w:styleId="Titre5">
    <w:name w:val="heading 5"/>
    <w:basedOn w:val="Normal"/>
    <w:next w:val="Normal"/>
    <w:link w:val="Titre5Car"/>
    <w:uiPriority w:val="9"/>
    <w:unhideWhenUsed/>
    <w:qFormat/>
    <w:rsid w:val="00C87D49"/>
    <w:pPr>
      <w:keepNext/>
      <w:keepLines/>
      <w:spacing w:before="40" w:after="0"/>
      <w:outlineLvl w:val="4"/>
    </w:pPr>
    <w:rPr>
      <w:rFonts w:asciiTheme="majorHAnsi" w:eastAsiaTheme="majorEastAsia" w:hAnsiTheme="majorHAns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87D49"/>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C87D49"/>
    <w:rPr>
      <w:rFonts w:asciiTheme="majorHAnsi" w:eastAsiaTheme="majorEastAsia" w:hAnsiTheme="majorHAnsi"/>
      <w:spacing w:val="-10"/>
      <w:kern w:val="28"/>
      <w:sz w:val="56"/>
      <w:szCs w:val="56"/>
    </w:rPr>
  </w:style>
  <w:style w:type="paragraph" w:customStyle="1" w:styleId="MMTitle">
    <w:name w:val="MM Title"/>
    <w:basedOn w:val="Titre"/>
    <w:link w:val="MMTitleCar"/>
    <w:rsid w:val="00C87D49"/>
  </w:style>
  <w:style w:type="character" w:customStyle="1" w:styleId="MMTitleCar">
    <w:name w:val="MM Title Car"/>
    <w:basedOn w:val="TitreCar"/>
    <w:link w:val="MMTitle"/>
    <w:rsid w:val="00C87D49"/>
    <w:rPr>
      <w:rFonts w:asciiTheme="majorHAnsi" w:eastAsiaTheme="majorEastAsia" w:hAnsiTheme="majorHAnsi"/>
      <w:spacing w:val="-10"/>
      <w:kern w:val="28"/>
      <w:sz w:val="56"/>
      <w:szCs w:val="56"/>
    </w:rPr>
  </w:style>
  <w:style w:type="character" w:customStyle="1" w:styleId="Titre1Car">
    <w:name w:val="Titre 1 Car"/>
    <w:basedOn w:val="Policepardfaut"/>
    <w:link w:val="Titre1"/>
    <w:uiPriority w:val="9"/>
    <w:rsid w:val="00C87D49"/>
    <w:rPr>
      <w:rFonts w:asciiTheme="majorHAnsi" w:eastAsiaTheme="majorEastAsia" w:hAnsiTheme="majorHAnsi"/>
      <w:color w:val="2F5496" w:themeColor="accent1" w:themeShade="BF"/>
      <w:sz w:val="32"/>
      <w:szCs w:val="32"/>
    </w:rPr>
  </w:style>
  <w:style w:type="paragraph" w:customStyle="1" w:styleId="MMTopic1">
    <w:name w:val="MM Topic 1"/>
    <w:basedOn w:val="Titre1"/>
    <w:link w:val="MMTopic1Car"/>
    <w:rsid w:val="00C87D49"/>
    <w:pPr>
      <w:numPr>
        <w:numId w:val="1"/>
      </w:numPr>
    </w:pPr>
  </w:style>
  <w:style w:type="character" w:customStyle="1" w:styleId="MMTopic1Car">
    <w:name w:val="MM Topic 1 Car"/>
    <w:basedOn w:val="Titre1Car"/>
    <w:link w:val="MMTopic1"/>
    <w:rsid w:val="00C87D49"/>
    <w:rPr>
      <w:rFonts w:asciiTheme="majorHAnsi" w:eastAsiaTheme="majorEastAsia" w:hAnsiTheme="majorHAnsi"/>
      <w:color w:val="2F5496" w:themeColor="accent1" w:themeShade="BF"/>
      <w:sz w:val="32"/>
      <w:szCs w:val="32"/>
    </w:rPr>
  </w:style>
  <w:style w:type="character" w:customStyle="1" w:styleId="Titre2Car">
    <w:name w:val="Titre 2 Car"/>
    <w:basedOn w:val="Policepardfaut"/>
    <w:link w:val="Titre2"/>
    <w:uiPriority w:val="9"/>
    <w:rsid w:val="00C87D49"/>
    <w:rPr>
      <w:rFonts w:asciiTheme="majorHAnsi" w:eastAsiaTheme="majorEastAsia" w:hAnsiTheme="majorHAnsi"/>
      <w:color w:val="2F5496" w:themeColor="accent1" w:themeShade="BF"/>
      <w:sz w:val="26"/>
      <w:szCs w:val="26"/>
    </w:rPr>
  </w:style>
  <w:style w:type="paragraph" w:customStyle="1" w:styleId="MMTopic2">
    <w:name w:val="MM Topic 2"/>
    <w:basedOn w:val="Titre2"/>
    <w:link w:val="MMTopic2Car"/>
    <w:rsid w:val="00C87D49"/>
    <w:pPr>
      <w:numPr>
        <w:ilvl w:val="1"/>
        <w:numId w:val="1"/>
      </w:numPr>
    </w:pPr>
  </w:style>
  <w:style w:type="character" w:customStyle="1" w:styleId="MMTopic2Car">
    <w:name w:val="MM Topic 2 Car"/>
    <w:basedOn w:val="Titre2Car"/>
    <w:link w:val="MMTopic2"/>
    <w:rsid w:val="00C87D49"/>
    <w:rPr>
      <w:rFonts w:asciiTheme="majorHAnsi" w:eastAsiaTheme="majorEastAsia" w:hAnsiTheme="majorHAnsi"/>
      <w:color w:val="2F5496" w:themeColor="accent1" w:themeShade="BF"/>
      <w:sz w:val="26"/>
      <w:szCs w:val="26"/>
    </w:rPr>
  </w:style>
  <w:style w:type="character" w:customStyle="1" w:styleId="Titre3Car">
    <w:name w:val="Titre 3 Car"/>
    <w:basedOn w:val="Policepardfaut"/>
    <w:link w:val="Titre3"/>
    <w:uiPriority w:val="9"/>
    <w:rsid w:val="00C87D49"/>
    <w:rPr>
      <w:rFonts w:asciiTheme="majorHAnsi" w:eastAsiaTheme="majorEastAsia" w:hAnsiTheme="majorHAnsi"/>
      <w:color w:val="1F3763" w:themeColor="accent1" w:themeShade="7F"/>
      <w:sz w:val="24"/>
      <w:szCs w:val="24"/>
    </w:rPr>
  </w:style>
  <w:style w:type="paragraph" w:customStyle="1" w:styleId="MMTopic3">
    <w:name w:val="MM Topic 3"/>
    <w:basedOn w:val="Titre3"/>
    <w:link w:val="MMTopic3Car"/>
    <w:rsid w:val="00C87D49"/>
    <w:pPr>
      <w:numPr>
        <w:ilvl w:val="2"/>
        <w:numId w:val="1"/>
      </w:numPr>
      <w:ind w:left="360"/>
    </w:pPr>
  </w:style>
  <w:style w:type="character" w:customStyle="1" w:styleId="MMTopic3Car">
    <w:name w:val="MM Topic 3 Car"/>
    <w:basedOn w:val="Titre3Car"/>
    <w:link w:val="MMTopic3"/>
    <w:rsid w:val="00C87D49"/>
    <w:rPr>
      <w:rFonts w:asciiTheme="majorHAnsi" w:eastAsiaTheme="majorEastAsia" w:hAnsiTheme="majorHAnsi"/>
      <w:color w:val="1F3763" w:themeColor="accent1" w:themeShade="7F"/>
      <w:sz w:val="24"/>
      <w:szCs w:val="24"/>
    </w:rPr>
  </w:style>
  <w:style w:type="character" w:customStyle="1" w:styleId="Titre4Car">
    <w:name w:val="Titre 4 Car"/>
    <w:basedOn w:val="Policepardfaut"/>
    <w:link w:val="Titre4"/>
    <w:uiPriority w:val="9"/>
    <w:rsid w:val="00C87D49"/>
    <w:rPr>
      <w:rFonts w:asciiTheme="majorHAnsi" w:eastAsiaTheme="majorEastAsia" w:hAnsiTheme="majorHAnsi"/>
      <w:i/>
      <w:iCs/>
      <w:color w:val="2F5496" w:themeColor="accent1" w:themeShade="BF"/>
    </w:rPr>
  </w:style>
  <w:style w:type="paragraph" w:customStyle="1" w:styleId="MMTopic4">
    <w:name w:val="MM Topic 4"/>
    <w:basedOn w:val="Titre4"/>
    <w:link w:val="MMTopic4Car"/>
    <w:rsid w:val="00C87D49"/>
    <w:pPr>
      <w:numPr>
        <w:ilvl w:val="3"/>
        <w:numId w:val="1"/>
      </w:numPr>
      <w:ind w:left="540"/>
    </w:pPr>
  </w:style>
  <w:style w:type="character" w:customStyle="1" w:styleId="MMTopic4Car">
    <w:name w:val="MM Topic 4 Car"/>
    <w:basedOn w:val="Titre4Car"/>
    <w:link w:val="MMTopic4"/>
    <w:rsid w:val="00C87D49"/>
    <w:rPr>
      <w:rFonts w:asciiTheme="majorHAnsi" w:eastAsiaTheme="majorEastAsia" w:hAnsiTheme="majorHAnsi"/>
      <w:i/>
      <w:iCs/>
      <w:color w:val="2F5496" w:themeColor="accent1" w:themeShade="BF"/>
    </w:rPr>
  </w:style>
  <w:style w:type="character" w:customStyle="1" w:styleId="Titre5Car">
    <w:name w:val="Titre 5 Car"/>
    <w:basedOn w:val="Policepardfaut"/>
    <w:link w:val="Titre5"/>
    <w:uiPriority w:val="9"/>
    <w:rsid w:val="00C87D49"/>
    <w:rPr>
      <w:rFonts w:asciiTheme="majorHAnsi" w:eastAsiaTheme="majorEastAsia" w:hAnsiTheme="majorHAnsi"/>
      <w:color w:val="2F5496" w:themeColor="accent1" w:themeShade="BF"/>
    </w:rPr>
  </w:style>
  <w:style w:type="paragraph" w:customStyle="1" w:styleId="MMTopic5">
    <w:name w:val="MM Topic 5"/>
    <w:basedOn w:val="Titre5"/>
    <w:link w:val="MMTopic5Car"/>
    <w:rsid w:val="00C87D49"/>
    <w:pPr>
      <w:numPr>
        <w:ilvl w:val="4"/>
        <w:numId w:val="1"/>
      </w:numPr>
      <w:ind w:left="720"/>
    </w:pPr>
  </w:style>
  <w:style w:type="character" w:customStyle="1" w:styleId="MMTopic5Car">
    <w:name w:val="MM Topic 5 Car"/>
    <w:basedOn w:val="Titre5Car"/>
    <w:link w:val="MMTopic5"/>
    <w:rsid w:val="00C87D49"/>
    <w:rPr>
      <w:rFonts w:asciiTheme="majorHAnsi" w:eastAsiaTheme="majorEastAsia" w:hAnsiTheme="majorHAnsi"/>
      <w:color w:val="2F5496" w:themeColor="accent1" w:themeShade="BF"/>
    </w:rPr>
  </w:style>
  <w:style w:type="paragraph" w:customStyle="1" w:styleId="MMEmpty">
    <w:name w:val="MM Empty"/>
    <w:basedOn w:val="Normal"/>
    <w:link w:val="MMEmptyCar"/>
    <w:rsid w:val="00C87D49"/>
  </w:style>
  <w:style w:type="character" w:customStyle="1" w:styleId="MMEmptyCar">
    <w:name w:val="MM Empty Car"/>
    <w:basedOn w:val="Policepardfaut"/>
    <w:link w:val="MMEmpty"/>
    <w:rsid w:val="00C87D49"/>
  </w:style>
  <w:style w:type="paragraph" w:styleId="Textedebulles">
    <w:name w:val="Balloon Text"/>
    <w:basedOn w:val="Normal"/>
    <w:link w:val="TextedebullesCar"/>
    <w:uiPriority w:val="99"/>
    <w:semiHidden/>
    <w:unhideWhenUsed/>
    <w:rsid w:val="00CE1C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CCD"/>
    <w:rPr>
      <w:rFonts w:ascii="Tahoma" w:hAnsi="Tahoma" w:cs="Tahoma"/>
      <w:sz w:val="16"/>
      <w:szCs w:val="16"/>
    </w:rPr>
  </w:style>
  <w:style w:type="paragraph" w:styleId="Paragraphedeliste">
    <w:name w:val="List Paragraph"/>
    <w:basedOn w:val="Normal"/>
    <w:uiPriority w:val="34"/>
    <w:qFormat/>
    <w:rsid w:val="00964928"/>
    <w:pPr>
      <w:ind w:left="720"/>
      <w:contextualSpacing/>
    </w:pPr>
  </w:style>
  <w:style w:type="paragraph" w:styleId="Notedebasdepage">
    <w:name w:val="footnote text"/>
    <w:basedOn w:val="Normal"/>
    <w:link w:val="NotedebasdepageCar"/>
    <w:uiPriority w:val="99"/>
    <w:semiHidden/>
    <w:rsid w:val="00647547"/>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47547"/>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47547"/>
    <w:rPr>
      <w:vertAlign w:val="superscript"/>
    </w:rPr>
  </w:style>
  <w:style w:type="paragraph" w:styleId="Corpsdetexte">
    <w:name w:val="Body Text"/>
    <w:basedOn w:val="Normal"/>
    <w:link w:val="CorpsdetexteCar"/>
    <w:uiPriority w:val="99"/>
    <w:semiHidden/>
    <w:unhideWhenUsed/>
    <w:rsid w:val="00647547"/>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semiHidden/>
    <w:rsid w:val="00647547"/>
    <w:rPr>
      <w:rFonts w:ascii="Times New Roman" w:eastAsia="Times New Roman" w:hAnsi="Times New Roman" w:cs="Traditional Arabic"/>
      <w:noProof/>
      <w:sz w:val="20"/>
      <w:szCs w:val="20"/>
      <w:lang w:eastAsia="fr-FR"/>
    </w:rPr>
  </w:style>
  <w:style w:type="paragraph" w:styleId="En-tte">
    <w:name w:val="header"/>
    <w:basedOn w:val="Normal"/>
    <w:link w:val="En-tteCar"/>
    <w:uiPriority w:val="99"/>
    <w:semiHidden/>
    <w:unhideWhenUsed/>
    <w:rsid w:val="007B5D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5DE3"/>
  </w:style>
  <w:style w:type="paragraph" w:styleId="Pieddepage">
    <w:name w:val="footer"/>
    <w:basedOn w:val="Normal"/>
    <w:link w:val="PieddepageCar"/>
    <w:uiPriority w:val="99"/>
    <w:unhideWhenUsed/>
    <w:rsid w:val="007B5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DE3"/>
  </w:style>
  <w:style w:type="paragraph" w:styleId="Corpsdetexte2">
    <w:name w:val="Body Text 2"/>
    <w:basedOn w:val="Normal"/>
    <w:link w:val="Corpsdetexte2Car"/>
    <w:uiPriority w:val="99"/>
    <w:semiHidden/>
    <w:unhideWhenUsed/>
    <w:rsid w:val="00AC1405"/>
    <w:pPr>
      <w:spacing w:after="120" w:line="480" w:lineRule="auto"/>
    </w:pPr>
  </w:style>
  <w:style w:type="character" w:customStyle="1" w:styleId="Corpsdetexte2Car">
    <w:name w:val="Corps de texte 2 Car"/>
    <w:basedOn w:val="Policepardfaut"/>
    <w:link w:val="Corpsdetexte2"/>
    <w:uiPriority w:val="99"/>
    <w:semiHidden/>
    <w:rsid w:val="00AC1405"/>
  </w:style>
  <w:style w:type="character" w:styleId="lev">
    <w:name w:val="Strong"/>
    <w:basedOn w:val="Policepardfaut"/>
    <w:uiPriority w:val="22"/>
    <w:qFormat/>
    <w:rsid w:val="00675AD5"/>
    <w:rPr>
      <w:b/>
      <w:bCs/>
    </w:rPr>
  </w:style>
</w:styles>
</file>

<file path=word/webSettings.xml><?xml version="1.0" encoding="utf-8"?>
<w:webSettings xmlns:r="http://schemas.openxmlformats.org/officeDocument/2006/relationships" xmlns:w="http://schemas.openxmlformats.org/wordprocessingml/2006/main">
  <w:divs>
    <w:div w:id="272251103">
      <w:bodyDiv w:val="1"/>
      <w:marLeft w:val="0"/>
      <w:marRight w:val="0"/>
      <w:marTop w:val="0"/>
      <w:marBottom w:val="0"/>
      <w:divBdr>
        <w:top w:val="none" w:sz="0" w:space="0" w:color="auto"/>
        <w:left w:val="none" w:sz="0" w:space="0" w:color="auto"/>
        <w:bottom w:val="none" w:sz="0" w:space="0" w:color="auto"/>
        <w:right w:val="none" w:sz="0" w:space="0" w:color="auto"/>
      </w:divBdr>
    </w:div>
    <w:div w:id="884558524">
      <w:bodyDiv w:val="1"/>
      <w:marLeft w:val="0"/>
      <w:marRight w:val="0"/>
      <w:marTop w:val="0"/>
      <w:marBottom w:val="0"/>
      <w:divBdr>
        <w:top w:val="none" w:sz="0" w:space="0" w:color="auto"/>
        <w:left w:val="none" w:sz="0" w:space="0" w:color="auto"/>
        <w:bottom w:val="none" w:sz="0" w:space="0" w:color="auto"/>
        <w:right w:val="none" w:sz="0" w:space="0" w:color="auto"/>
      </w:divBdr>
    </w:div>
    <w:div w:id="1076635915">
      <w:bodyDiv w:val="1"/>
      <w:marLeft w:val="0"/>
      <w:marRight w:val="0"/>
      <w:marTop w:val="0"/>
      <w:marBottom w:val="0"/>
      <w:divBdr>
        <w:top w:val="none" w:sz="0" w:space="0" w:color="auto"/>
        <w:left w:val="none" w:sz="0" w:space="0" w:color="auto"/>
        <w:bottom w:val="none" w:sz="0" w:space="0" w:color="auto"/>
        <w:right w:val="none" w:sz="0" w:space="0" w:color="auto"/>
      </w:divBdr>
    </w:div>
    <w:div w:id="1077823629">
      <w:bodyDiv w:val="1"/>
      <w:marLeft w:val="0"/>
      <w:marRight w:val="0"/>
      <w:marTop w:val="0"/>
      <w:marBottom w:val="0"/>
      <w:divBdr>
        <w:top w:val="none" w:sz="0" w:space="0" w:color="auto"/>
        <w:left w:val="none" w:sz="0" w:space="0" w:color="auto"/>
        <w:bottom w:val="none" w:sz="0" w:space="0" w:color="auto"/>
        <w:right w:val="none" w:sz="0" w:space="0" w:color="auto"/>
      </w:divBdr>
    </w:div>
    <w:div w:id="1148789630">
      <w:bodyDiv w:val="1"/>
      <w:marLeft w:val="0"/>
      <w:marRight w:val="0"/>
      <w:marTop w:val="0"/>
      <w:marBottom w:val="0"/>
      <w:divBdr>
        <w:top w:val="none" w:sz="0" w:space="0" w:color="auto"/>
        <w:left w:val="none" w:sz="0" w:space="0" w:color="auto"/>
        <w:bottom w:val="none" w:sz="0" w:space="0" w:color="auto"/>
        <w:right w:val="none" w:sz="0" w:space="0" w:color="auto"/>
      </w:divBdr>
    </w:div>
    <w:div w:id="1326202721">
      <w:bodyDiv w:val="1"/>
      <w:marLeft w:val="0"/>
      <w:marRight w:val="0"/>
      <w:marTop w:val="0"/>
      <w:marBottom w:val="0"/>
      <w:divBdr>
        <w:top w:val="none" w:sz="0" w:space="0" w:color="auto"/>
        <w:left w:val="none" w:sz="0" w:space="0" w:color="auto"/>
        <w:bottom w:val="none" w:sz="0" w:space="0" w:color="auto"/>
        <w:right w:val="none" w:sz="0" w:space="0" w:color="auto"/>
      </w:divBdr>
    </w:div>
    <w:div w:id="1681813600">
      <w:bodyDiv w:val="1"/>
      <w:marLeft w:val="0"/>
      <w:marRight w:val="0"/>
      <w:marTop w:val="0"/>
      <w:marBottom w:val="0"/>
      <w:divBdr>
        <w:top w:val="none" w:sz="0" w:space="0" w:color="auto"/>
        <w:left w:val="none" w:sz="0" w:space="0" w:color="auto"/>
        <w:bottom w:val="none" w:sz="0" w:space="0" w:color="auto"/>
        <w:right w:val="none" w:sz="0" w:space="0" w:color="auto"/>
      </w:divBdr>
    </w:div>
    <w:div w:id="18976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AppData\Roaming\Microsoft\Excel\2023T1%20-%20Note%20sur%20les%20chiffres%20cl&#233;s%20-%20Annexe%20-DEE25042023%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ib\Desktop\INDICATEURS%20AVEC%20GRAPHIQUES%20DEE%202504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aib\Desktop\INDICATEURS%20AVEC%20GRAPHIQUES%20DEE%202504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aib\Desktop\INDICATEURS%20AVEC%20GRAPHIQUES%20DEE%2025042023.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Feuil1!$B$2</c:f>
              <c:strCache>
                <c:ptCount val="1"/>
                <c:pt idx="0">
                  <c:v>Urbain</c:v>
                </c:pt>
              </c:strCache>
            </c:strRef>
          </c:tx>
          <c:dLbls>
            <c:spPr>
              <a:noFill/>
              <a:ln>
                <a:noFill/>
              </a:ln>
              <a:effectLst/>
            </c:spPr>
            <c:txPr>
              <a:bodyPr/>
              <a:lstStyle/>
              <a:p>
                <a:pPr>
                  <a:defRPr sz="900">
                    <a:latin typeface="Times New Roman" pitchFamily="18" charset="0"/>
                    <a:cs typeface="Times New Roman" pitchFamily="18" charset="0"/>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Feuil1!$A$3:$A$6</c:f>
              <c:strCache>
                <c:ptCount val="4"/>
                <c:pt idx="0">
                  <c:v>Agriculture, forêt et pêche</c:v>
                </c:pt>
                <c:pt idx="1">
                  <c:v>Industrie (y compris artisanat)</c:v>
                </c:pt>
                <c:pt idx="2">
                  <c:v>BTP</c:v>
                </c:pt>
                <c:pt idx="3">
                  <c:v>Services</c:v>
                </c:pt>
              </c:strCache>
            </c:strRef>
          </c:cat>
          <c:val>
            <c:numRef>
              <c:f>Feuil1!$B$3:$B$6</c:f>
              <c:numCache>
                <c:formatCode>0</c:formatCode>
                <c:ptCount val="4"/>
                <c:pt idx="0">
                  <c:v>5000</c:v>
                </c:pt>
                <c:pt idx="1">
                  <c:v>-23000</c:v>
                </c:pt>
                <c:pt idx="2">
                  <c:v>-22000</c:v>
                </c:pt>
                <c:pt idx="3">
                  <c:v>-17000</c:v>
                </c:pt>
              </c:numCache>
            </c:numRef>
          </c:val>
          <c:extLst xmlns:c16r2="http://schemas.microsoft.com/office/drawing/2015/06/chart">
            <c:ext xmlns:c16="http://schemas.microsoft.com/office/drawing/2014/chart" uri="{C3380CC4-5D6E-409C-BE32-E72D297353CC}">
              <c16:uniqueId val="{00000000-6261-4F6C-8B3A-BFD3D17F04BC}"/>
            </c:ext>
          </c:extLst>
        </c:ser>
        <c:ser>
          <c:idx val="1"/>
          <c:order val="1"/>
          <c:tx>
            <c:strRef>
              <c:f>Feuil1!$C$2</c:f>
              <c:strCache>
                <c:ptCount val="1"/>
                <c:pt idx="0">
                  <c:v>Rural</c:v>
                </c:pt>
              </c:strCache>
            </c:strRef>
          </c:tx>
          <c:dLbls>
            <c:dLbl>
              <c:idx val="0"/>
              <c:layout>
                <c:manualLayout>
                  <c:x val="-8.3945435466947164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261-4F6C-8B3A-BFD3D17F04BC}"/>
                </c:ext>
              </c:extLst>
            </c:dLbl>
            <c:spPr>
              <a:noFill/>
              <a:ln>
                <a:noFill/>
              </a:ln>
              <a:effectLst/>
            </c:spPr>
            <c:txPr>
              <a:bodyPr/>
              <a:lstStyle/>
              <a:p>
                <a:pPr>
                  <a:defRPr sz="800">
                    <a:latin typeface="Times New Roman" pitchFamily="18" charset="0"/>
                    <a:cs typeface="Times New Roman" pitchFamily="18" charset="0"/>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Feuil1!$A$3:$A$6</c:f>
              <c:strCache>
                <c:ptCount val="4"/>
                <c:pt idx="0">
                  <c:v>Agriculture, forêt et pêche</c:v>
                </c:pt>
                <c:pt idx="1">
                  <c:v>Industrie (y compris artisanat)</c:v>
                </c:pt>
                <c:pt idx="2">
                  <c:v>BTP</c:v>
                </c:pt>
                <c:pt idx="3">
                  <c:v>Services</c:v>
                </c:pt>
              </c:strCache>
            </c:strRef>
          </c:cat>
          <c:val>
            <c:numRef>
              <c:f>Feuil1!$C$3:$C$6</c:f>
              <c:numCache>
                <c:formatCode>0</c:formatCode>
                <c:ptCount val="4"/>
                <c:pt idx="0">
                  <c:v>-252000</c:v>
                </c:pt>
                <c:pt idx="1">
                  <c:v>13000</c:v>
                </c:pt>
                <c:pt idx="2">
                  <c:v>50000</c:v>
                </c:pt>
                <c:pt idx="3">
                  <c:v>-39000</c:v>
                </c:pt>
              </c:numCache>
            </c:numRef>
          </c:val>
          <c:extLst xmlns:c16r2="http://schemas.microsoft.com/office/drawing/2015/06/chart">
            <c:ext xmlns:c16="http://schemas.microsoft.com/office/drawing/2014/chart" uri="{C3380CC4-5D6E-409C-BE32-E72D297353CC}">
              <c16:uniqueId val="{00000002-6261-4F6C-8B3A-BFD3D17F04BC}"/>
            </c:ext>
          </c:extLst>
        </c:ser>
        <c:ser>
          <c:idx val="2"/>
          <c:order val="2"/>
          <c:tx>
            <c:strRef>
              <c:f>Feuil1!$D$2</c:f>
              <c:strCache>
                <c:ptCount val="1"/>
                <c:pt idx="0">
                  <c:v>Ensemble</c:v>
                </c:pt>
              </c:strCache>
            </c:strRef>
          </c:tx>
          <c:dLbls>
            <c:dLbl>
              <c:idx val="0"/>
              <c:layout>
                <c:manualLayout>
                  <c:x val="1.20598854838843E-2"/>
                  <c:y val="1.18349230736401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261-4F6C-8B3A-BFD3D17F04BC}"/>
                </c:ext>
              </c:extLst>
            </c:dLbl>
            <c:spPr>
              <a:noFill/>
              <a:ln>
                <a:noFill/>
              </a:ln>
              <a:effectLst/>
            </c:spPr>
            <c:txPr>
              <a:bodyPr/>
              <a:lstStyle/>
              <a:p>
                <a:pPr>
                  <a:defRPr sz="800">
                    <a:latin typeface="Times New Roman" pitchFamily="18" charset="0"/>
                    <a:cs typeface="Times New Roman" pitchFamily="18" charset="0"/>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Feuil1!$A$3:$A$6</c:f>
              <c:strCache>
                <c:ptCount val="4"/>
                <c:pt idx="0">
                  <c:v>Agriculture, forêt et pêche</c:v>
                </c:pt>
                <c:pt idx="1">
                  <c:v>Industrie (y compris artisanat)</c:v>
                </c:pt>
                <c:pt idx="2">
                  <c:v>BTP</c:v>
                </c:pt>
                <c:pt idx="3">
                  <c:v>Services</c:v>
                </c:pt>
              </c:strCache>
            </c:strRef>
          </c:cat>
          <c:val>
            <c:numRef>
              <c:f>Feuil1!$D$3:$D$6</c:f>
              <c:numCache>
                <c:formatCode>0</c:formatCode>
                <c:ptCount val="4"/>
                <c:pt idx="0">
                  <c:v>-247000</c:v>
                </c:pt>
                <c:pt idx="1">
                  <c:v>-10000</c:v>
                </c:pt>
                <c:pt idx="2">
                  <c:v>28000</c:v>
                </c:pt>
                <c:pt idx="3">
                  <c:v>-56000</c:v>
                </c:pt>
              </c:numCache>
            </c:numRef>
          </c:val>
          <c:extLst xmlns:c16r2="http://schemas.microsoft.com/office/drawing/2015/06/chart">
            <c:ext xmlns:c16="http://schemas.microsoft.com/office/drawing/2014/chart" uri="{C3380CC4-5D6E-409C-BE32-E72D297353CC}">
              <c16:uniqueId val="{00000004-6261-4F6C-8B3A-BFD3D17F04BC}"/>
            </c:ext>
          </c:extLst>
        </c:ser>
        <c:overlap val="-16"/>
        <c:axId val="106819584"/>
        <c:axId val="106821120"/>
      </c:barChart>
      <c:catAx>
        <c:axId val="106819584"/>
        <c:scaling>
          <c:orientation val="minMax"/>
        </c:scaling>
        <c:axPos val="b"/>
        <c:numFmt formatCode="General" sourceLinked="0"/>
        <c:tickLblPos val="low"/>
        <c:txPr>
          <a:bodyPr/>
          <a:lstStyle/>
          <a:p>
            <a:pPr>
              <a:defRPr>
                <a:latin typeface="Times New Roman" pitchFamily="18" charset="0"/>
                <a:cs typeface="Times New Roman" pitchFamily="18" charset="0"/>
              </a:defRPr>
            </a:pPr>
            <a:endParaRPr lang="fr-FR"/>
          </a:p>
        </c:txPr>
        <c:crossAx val="106821120"/>
        <c:crosses val="autoZero"/>
        <c:auto val="1"/>
        <c:lblAlgn val="ctr"/>
        <c:lblOffset val="100"/>
      </c:catAx>
      <c:valAx>
        <c:axId val="106821120"/>
        <c:scaling>
          <c:orientation val="minMax"/>
        </c:scaling>
        <c:delete val="1"/>
        <c:axPos val="l"/>
        <c:numFmt formatCode="0" sourceLinked="1"/>
        <c:tickLblPos val="none"/>
        <c:crossAx val="106819584"/>
        <c:crosses val="autoZero"/>
        <c:crossBetween val="between"/>
      </c:valAx>
    </c:plotArea>
    <c:legend>
      <c:legendPos val="b"/>
      <c:txPr>
        <a:bodyPr/>
        <a:lstStyle/>
        <a:p>
          <a:pPr>
            <a:defRPr>
              <a:latin typeface="Times New Roman" pitchFamily="18" charset="0"/>
              <a:cs typeface="Times New Roman" pitchFamily="18" charset="0"/>
            </a:defRPr>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Graphiques!$C$38</c:f>
              <c:strCache>
                <c:ptCount val="1"/>
                <c:pt idx="0">
                  <c:v>2022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Graphiques!$B$39:$B$45</c:f>
              <c:strCache>
                <c:ptCount val="7"/>
                <c:pt idx="0">
                  <c:v>Urbain</c:v>
                </c:pt>
                <c:pt idx="1">
                  <c:v>Rural</c:v>
                </c:pt>
                <c:pt idx="2">
                  <c:v>Masculin</c:v>
                </c:pt>
                <c:pt idx="3">
                  <c:v>Féminin</c:v>
                </c:pt>
                <c:pt idx="4">
                  <c:v>15-24 ans</c:v>
                </c:pt>
                <c:pt idx="5">
                  <c:v>Ayant un diplôme</c:v>
                </c:pt>
                <c:pt idx="6">
                  <c:v>National</c:v>
                </c:pt>
              </c:strCache>
            </c:strRef>
          </c:cat>
          <c:val>
            <c:numRef>
              <c:f>Graphiques!$C$39:$C$45</c:f>
              <c:numCache>
                <c:formatCode>0.0</c:formatCode>
                <c:ptCount val="7"/>
                <c:pt idx="0">
                  <c:v>16.297739329689687</c:v>
                </c:pt>
                <c:pt idx="1">
                  <c:v>5.124858038117754</c:v>
                </c:pt>
                <c:pt idx="2">
                  <c:v>10.491538522826676</c:v>
                </c:pt>
                <c:pt idx="3">
                  <c:v>17.313812111846733</c:v>
                </c:pt>
                <c:pt idx="4">
                  <c:v>33.419809785590886</c:v>
                </c:pt>
                <c:pt idx="5">
                  <c:v>18.920677638664579</c:v>
                </c:pt>
                <c:pt idx="6" formatCode="General">
                  <c:v>12.1</c:v>
                </c:pt>
              </c:numCache>
            </c:numRef>
          </c:val>
          <c:extLst xmlns:c16r2="http://schemas.microsoft.com/office/drawing/2015/06/chart">
            <c:ext xmlns:c16="http://schemas.microsoft.com/office/drawing/2014/chart" uri="{C3380CC4-5D6E-409C-BE32-E72D297353CC}">
              <c16:uniqueId val="{00000000-0293-49BF-B262-A9E3B0B9BF08}"/>
            </c:ext>
          </c:extLst>
        </c:ser>
        <c:ser>
          <c:idx val="1"/>
          <c:order val="1"/>
          <c:tx>
            <c:strRef>
              <c:f>Graphiques!$D$38</c:f>
              <c:strCache>
                <c:ptCount val="1"/>
                <c:pt idx="0">
                  <c:v>2023</c:v>
                </c:pt>
              </c:strCache>
            </c:strRef>
          </c:tx>
          <c:spPr>
            <a:solidFill>
              <a:schemeClr val="accent4"/>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Graphiques!$B$39:$B$45</c:f>
              <c:strCache>
                <c:ptCount val="7"/>
                <c:pt idx="0">
                  <c:v>Urbain</c:v>
                </c:pt>
                <c:pt idx="1">
                  <c:v>Rural</c:v>
                </c:pt>
                <c:pt idx="2">
                  <c:v>Masculin</c:v>
                </c:pt>
                <c:pt idx="3">
                  <c:v>Féminin</c:v>
                </c:pt>
                <c:pt idx="4">
                  <c:v>15-24 ans</c:v>
                </c:pt>
                <c:pt idx="5">
                  <c:v>Ayant un diplôme</c:v>
                </c:pt>
                <c:pt idx="6">
                  <c:v>National</c:v>
                </c:pt>
              </c:strCache>
            </c:strRef>
          </c:cat>
          <c:val>
            <c:numRef>
              <c:f>Graphiques!$D$39:$D$45</c:f>
              <c:numCache>
                <c:formatCode>0.0</c:formatCode>
                <c:ptCount val="7"/>
                <c:pt idx="0">
                  <c:v>17.147407727208535</c:v>
                </c:pt>
                <c:pt idx="1">
                  <c:v>5.7342166014291562</c:v>
                </c:pt>
                <c:pt idx="2">
                  <c:v>11.471472595966441</c:v>
                </c:pt>
                <c:pt idx="3">
                  <c:v>18.097488499240175</c:v>
                </c:pt>
                <c:pt idx="4">
                  <c:v>35.29466074742745</c:v>
                </c:pt>
                <c:pt idx="5">
                  <c:v>19.846199725195177</c:v>
                </c:pt>
                <c:pt idx="6" formatCode="General">
                  <c:v>12.9</c:v>
                </c:pt>
              </c:numCache>
            </c:numRef>
          </c:val>
          <c:extLst xmlns:c16r2="http://schemas.microsoft.com/office/drawing/2015/06/chart">
            <c:ext xmlns:c16="http://schemas.microsoft.com/office/drawing/2014/chart" uri="{C3380CC4-5D6E-409C-BE32-E72D297353CC}">
              <c16:uniqueId val="{00000001-0293-49BF-B262-A9E3B0B9BF08}"/>
            </c:ext>
          </c:extLst>
        </c:ser>
        <c:gapWidth val="75"/>
        <c:overlap val="-25"/>
        <c:axId val="106458112"/>
        <c:axId val="106464000"/>
      </c:barChart>
      <c:catAx>
        <c:axId val="106458112"/>
        <c:scaling>
          <c:orientation val="minMax"/>
        </c:scaling>
        <c:axPos val="b"/>
        <c:numFmt formatCode="General" sourceLinked="0"/>
        <c:majorTickMark val="none"/>
        <c:tickLblPos val="nextTo"/>
        <c:crossAx val="106464000"/>
        <c:crosses val="autoZero"/>
        <c:auto val="1"/>
        <c:lblAlgn val="ctr"/>
        <c:lblOffset val="100"/>
      </c:catAx>
      <c:valAx>
        <c:axId val="106464000"/>
        <c:scaling>
          <c:orientation val="minMax"/>
        </c:scaling>
        <c:delete val="1"/>
        <c:axPos val="l"/>
        <c:numFmt formatCode="0.0" sourceLinked="1"/>
        <c:majorTickMark val="none"/>
        <c:tickLblPos val="none"/>
        <c:crossAx val="106458112"/>
        <c:crosses val="autoZero"/>
        <c:crossBetween val="between"/>
      </c:valAx>
    </c:plotArea>
    <c:legend>
      <c:legendPos val="b"/>
    </c:legend>
    <c:plotVisOnly val="1"/>
    <c:dispBlanksAs val="gap"/>
  </c:chart>
  <c:spPr>
    <a:ln>
      <a:noFill/>
    </a:ln>
  </c:spPr>
  <c:txPr>
    <a:bodyPr/>
    <a:lstStyle/>
    <a:p>
      <a:pPr>
        <a:defRPr sz="800">
          <a:latin typeface="Times New Roman" pitchFamily="18" charset="0"/>
          <a:cs typeface="Times New Roman"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Graphiques!$C$3</c:f>
              <c:strCache>
                <c:ptCount val="1"/>
                <c:pt idx="0">
                  <c:v>2022</c:v>
                </c:pt>
              </c:strCache>
            </c:strRef>
          </c:tx>
          <c:spPr>
            <a:solidFill>
              <a:schemeClr val="accent1"/>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Graphiques!$B$4:$B$10</c:f>
              <c:strCache>
                <c:ptCount val="7"/>
                <c:pt idx="0">
                  <c:v>Urbain</c:v>
                </c:pt>
                <c:pt idx="1">
                  <c:v>Rural</c:v>
                </c:pt>
                <c:pt idx="2">
                  <c:v>Masculin</c:v>
                </c:pt>
                <c:pt idx="3">
                  <c:v>Féminin</c:v>
                </c:pt>
                <c:pt idx="4">
                  <c:v>15-24 ans</c:v>
                </c:pt>
                <c:pt idx="5">
                  <c:v>Aucun diplôme</c:v>
                </c:pt>
                <c:pt idx="6">
                  <c:v>National</c:v>
                </c:pt>
              </c:strCache>
            </c:strRef>
          </c:cat>
          <c:val>
            <c:numRef>
              <c:f>Graphiques!$C$4:$C$10</c:f>
              <c:numCache>
                <c:formatCode>General</c:formatCode>
                <c:ptCount val="7"/>
                <c:pt idx="0">
                  <c:v>8.3000000000000007</c:v>
                </c:pt>
                <c:pt idx="1">
                  <c:v>10.6</c:v>
                </c:pt>
                <c:pt idx="2">
                  <c:v>10.5</c:v>
                </c:pt>
                <c:pt idx="3">
                  <c:v>4.8</c:v>
                </c:pt>
                <c:pt idx="4">
                  <c:v>15.9</c:v>
                </c:pt>
                <c:pt idx="5">
                  <c:v>8.9</c:v>
                </c:pt>
                <c:pt idx="6">
                  <c:v>9.2000000000000011</c:v>
                </c:pt>
              </c:numCache>
            </c:numRef>
          </c:val>
          <c:extLst xmlns:c16r2="http://schemas.microsoft.com/office/drawing/2015/06/chart">
            <c:ext xmlns:c16="http://schemas.microsoft.com/office/drawing/2014/chart" uri="{C3380CC4-5D6E-409C-BE32-E72D297353CC}">
              <c16:uniqueId val="{00000000-1809-449A-AB36-BC2FDB36DBEC}"/>
            </c:ext>
          </c:extLst>
        </c:ser>
        <c:ser>
          <c:idx val="1"/>
          <c:order val="1"/>
          <c:tx>
            <c:strRef>
              <c:f>Graphiques!$D$3</c:f>
              <c:strCache>
                <c:ptCount val="1"/>
                <c:pt idx="0">
                  <c:v>2023</c:v>
                </c:pt>
              </c:strCache>
            </c:strRef>
          </c:tx>
          <c:spPr>
            <a:solidFill>
              <a:schemeClr val="accent4"/>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Graphiques!$B$4:$B$10</c:f>
              <c:strCache>
                <c:ptCount val="7"/>
                <c:pt idx="0">
                  <c:v>Urbain</c:v>
                </c:pt>
                <c:pt idx="1">
                  <c:v>Rural</c:v>
                </c:pt>
                <c:pt idx="2">
                  <c:v>Masculin</c:v>
                </c:pt>
                <c:pt idx="3">
                  <c:v>Féminin</c:v>
                </c:pt>
                <c:pt idx="4">
                  <c:v>15-24 ans</c:v>
                </c:pt>
                <c:pt idx="5">
                  <c:v>Aucun diplôme</c:v>
                </c:pt>
                <c:pt idx="6">
                  <c:v>National</c:v>
                </c:pt>
              </c:strCache>
            </c:strRef>
          </c:cat>
          <c:val>
            <c:numRef>
              <c:f>Graphiques!$D$4:$D$10</c:f>
              <c:numCache>
                <c:formatCode>General</c:formatCode>
                <c:ptCount val="7"/>
                <c:pt idx="0">
                  <c:v>9.1</c:v>
                </c:pt>
                <c:pt idx="1">
                  <c:v>12.1</c:v>
                </c:pt>
                <c:pt idx="2">
                  <c:v>11.6</c:v>
                </c:pt>
                <c:pt idx="3">
                  <c:v>5.5</c:v>
                </c:pt>
                <c:pt idx="4">
                  <c:v>16.399999999999999</c:v>
                </c:pt>
                <c:pt idx="5">
                  <c:v>10.5</c:v>
                </c:pt>
                <c:pt idx="6">
                  <c:v>10.3</c:v>
                </c:pt>
              </c:numCache>
            </c:numRef>
          </c:val>
          <c:extLst xmlns:c16r2="http://schemas.microsoft.com/office/drawing/2015/06/chart">
            <c:ext xmlns:c16="http://schemas.microsoft.com/office/drawing/2014/chart" uri="{C3380CC4-5D6E-409C-BE32-E72D297353CC}">
              <c16:uniqueId val="{00000001-1809-449A-AB36-BC2FDB36DBEC}"/>
            </c:ext>
          </c:extLst>
        </c:ser>
        <c:gapWidth val="75"/>
        <c:overlap val="-25"/>
        <c:axId val="105842944"/>
        <c:axId val="105848832"/>
      </c:barChart>
      <c:catAx>
        <c:axId val="105842944"/>
        <c:scaling>
          <c:orientation val="minMax"/>
        </c:scaling>
        <c:axPos val="b"/>
        <c:numFmt formatCode="General" sourceLinked="0"/>
        <c:majorTickMark val="none"/>
        <c:tickLblPos val="nextTo"/>
        <c:crossAx val="105848832"/>
        <c:crosses val="autoZero"/>
        <c:auto val="1"/>
        <c:lblAlgn val="ctr"/>
        <c:lblOffset val="100"/>
      </c:catAx>
      <c:valAx>
        <c:axId val="105848832"/>
        <c:scaling>
          <c:orientation val="minMax"/>
        </c:scaling>
        <c:delete val="1"/>
        <c:axPos val="l"/>
        <c:numFmt formatCode="General" sourceLinked="1"/>
        <c:majorTickMark val="none"/>
        <c:tickLblPos val="none"/>
        <c:crossAx val="105842944"/>
        <c:crosses val="autoZero"/>
        <c:crossBetween val="between"/>
      </c:valAx>
    </c:plotArea>
    <c:legend>
      <c:legendPos val="b"/>
    </c:legend>
    <c:plotVisOnly val="1"/>
    <c:dispBlanksAs val="gap"/>
  </c:chart>
  <c:spPr>
    <a:ln>
      <a:noFill/>
    </a:ln>
  </c:spPr>
  <c:txPr>
    <a:bodyPr/>
    <a:lstStyle/>
    <a:p>
      <a:pPr>
        <a:defRPr sz="800">
          <a:latin typeface="Times New Roman" pitchFamily="18" charset="0"/>
          <a:cs typeface="Times New Roman"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Graphiques!$C$19</c:f>
              <c:strCache>
                <c:ptCount val="1"/>
                <c:pt idx="0">
                  <c:v>2022</c:v>
                </c:pt>
              </c:strCache>
            </c:strRef>
          </c:tx>
          <c:spPr>
            <a:solidFill>
              <a:schemeClr val="accent1"/>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Graphiques!$B$20:$B$23</c:f>
              <c:strCache>
                <c:ptCount val="4"/>
                <c:pt idx="0">
                  <c:v>Agriculture, forêt et pêche</c:v>
                </c:pt>
                <c:pt idx="1">
                  <c:v>Industrie (y compris artisanat)</c:v>
                </c:pt>
                <c:pt idx="2">
                  <c:v>BTP</c:v>
                </c:pt>
                <c:pt idx="3">
                  <c:v>Services</c:v>
                </c:pt>
              </c:strCache>
            </c:strRef>
          </c:cat>
          <c:val>
            <c:numRef>
              <c:f>Graphiques!$C$20:$C$23</c:f>
              <c:numCache>
                <c:formatCode>0.0</c:formatCode>
                <c:ptCount val="4"/>
                <c:pt idx="0">
                  <c:v>10.346382109903336</c:v>
                </c:pt>
                <c:pt idx="1">
                  <c:v>6.5636485953342092</c:v>
                </c:pt>
                <c:pt idx="2">
                  <c:v>18.135061315457325</c:v>
                </c:pt>
                <c:pt idx="3">
                  <c:v>7.0410365807930724</c:v>
                </c:pt>
              </c:numCache>
            </c:numRef>
          </c:val>
          <c:extLst xmlns:c16r2="http://schemas.microsoft.com/office/drawing/2015/06/chart">
            <c:ext xmlns:c16="http://schemas.microsoft.com/office/drawing/2014/chart" uri="{C3380CC4-5D6E-409C-BE32-E72D297353CC}">
              <c16:uniqueId val="{00000000-6BBA-474F-B67B-EBBFF0585DD9}"/>
            </c:ext>
          </c:extLst>
        </c:ser>
        <c:ser>
          <c:idx val="1"/>
          <c:order val="1"/>
          <c:tx>
            <c:strRef>
              <c:f>Graphiques!$D$19</c:f>
              <c:strCache>
                <c:ptCount val="1"/>
                <c:pt idx="0">
                  <c:v>2023</c:v>
                </c:pt>
              </c:strCache>
            </c:strRef>
          </c:tx>
          <c:spPr>
            <a:solidFill>
              <a:schemeClr val="accent4"/>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Graphiques!$B$20:$B$23</c:f>
              <c:strCache>
                <c:ptCount val="4"/>
                <c:pt idx="0">
                  <c:v>Agriculture, forêt et pêche</c:v>
                </c:pt>
                <c:pt idx="1">
                  <c:v>Industrie (y compris artisanat)</c:v>
                </c:pt>
                <c:pt idx="2">
                  <c:v>BTP</c:v>
                </c:pt>
                <c:pt idx="3">
                  <c:v>Services</c:v>
                </c:pt>
              </c:strCache>
            </c:strRef>
          </c:cat>
          <c:val>
            <c:numRef>
              <c:f>Graphiques!$D$20:$D$23</c:f>
              <c:numCache>
                <c:formatCode>0.0</c:formatCode>
                <c:ptCount val="4"/>
                <c:pt idx="0">
                  <c:v>11.735645467958818</c:v>
                </c:pt>
                <c:pt idx="1">
                  <c:v>7.1364417715507074</c:v>
                </c:pt>
                <c:pt idx="2">
                  <c:v>20.351058283221139</c:v>
                </c:pt>
                <c:pt idx="3">
                  <c:v>7.7866693214498506</c:v>
                </c:pt>
              </c:numCache>
            </c:numRef>
          </c:val>
          <c:extLst xmlns:c16r2="http://schemas.microsoft.com/office/drawing/2015/06/chart">
            <c:ext xmlns:c16="http://schemas.microsoft.com/office/drawing/2014/chart" uri="{C3380CC4-5D6E-409C-BE32-E72D297353CC}">
              <c16:uniqueId val="{00000001-6BBA-474F-B67B-EBBFF0585DD9}"/>
            </c:ext>
          </c:extLst>
        </c:ser>
        <c:gapWidth val="75"/>
        <c:overlap val="-25"/>
        <c:axId val="105882752"/>
        <c:axId val="105884288"/>
      </c:barChart>
      <c:catAx>
        <c:axId val="105882752"/>
        <c:scaling>
          <c:orientation val="minMax"/>
        </c:scaling>
        <c:axPos val="b"/>
        <c:numFmt formatCode="General" sourceLinked="0"/>
        <c:majorTickMark val="none"/>
        <c:tickLblPos val="nextTo"/>
        <c:crossAx val="105884288"/>
        <c:crosses val="autoZero"/>
        <c:auto val="1"/>
        <c:lblAlgn val="ctr"/>
        <c:lblOffset val="100"/>
      </c:catAx>
      <c:valAx>
        <c:axId val="105884288"/>
        <c:scaling>
          <c:orientation val="minMax"/>
        </c:scaling>
        <c:delete val="1"/>
        <c:axPos val="l"/>
        <c:numFmt formatCode="0.0" sourceLinked="1"/>
        <c:majorTickMark val="none"/>
        <c:tickLblPos val="none"/>
        <c:crossAx val="105882752"/>
        <c:crosses val="autoZero"/>
        <c:crossBetween val="between"/>
      </c:valAx>
    </c:plotArea>
    <c:legend>
      <c:legendPos val="b"/>
    </c:legend>
    <c:plotVisOnly val="1"/>
    <c:dispBlanksAs val="gap"/>
  </c:chart>
  <c:spPr>
    <a:ln>
      <a:noFill/>
    </a:ln>
  </c:spPr>
  <c:txPr>
    <a:bodyPr/>
    <a:lstStyle/>
    <a:p>
      <a:pPr>
        <a:defRPr sz="800">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spPr>
            <a:solidFill>
              <a:srgbClr val="0099CC"/>
            </a:solidFill>
            <a:ln>
              <a:noFill/>
            </a:ln>
          </c:spPr>
          <c:dPt>
            <c:idx val="5"/>
            <c:spPr>
              <a:solidFill>
                <a:srgbClr val="FFC000"/>
              </a:solidFill>
              <a:ln>
                <a:noFill/>
              </a:ln>
            </c:spPr>
            <c:extLst xmlns:c16r2="http://schemas.microsoft.com/office/drawing/2015/06/chart">
              <c:ext xmlns:c16="http://schemas.microsoft.com/office/drawing/2014/chart" uri="{C3380CC4-5D6E-409C-BE32-E72D297353CC}">
                <c16:uniqueId val="{00000001-A581-4D90-B3D2-668C46F0C644}"/>
              </c:ext>
            </c:extLst>
          </c:dPt>
          <c:dLbls>
            <c:spPr>
              <a:noFill/>
              <a:ln>
                <a:noFill/>
              </a:ln>
              <a:effectLst/>
            </c:spPr>
            <c:txPr>
              <a:bodyPr/>
              <a:lstStyle/>
              <a:p>
                <a:pPr>
                  <a:defRPr sz="800">
                    <a:latin typeface="Times New Roman" pitchFamily="18" charset="0"/>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Feuil1!$A$3:$A$13</c:f>
              <c:strCache>
                <c:ptCount val="11"/>
                <c:pt idx="0">
                  <c:v>Souss-Massa</c:v>
                </c:pt>
                <c:pt idx="1">
                  <c:v>Oriental</c:v>
                </c:pt>
                <c:pt idx="2">
                  <c:v>Béni Mellal-Khénifra</c:v>
                </c:pt>
                <c:pt idx="3">
                  <c:v>Drâa-Tafilalet</c:v>
                </c:pt>
                <c:pt idx="4">
                  <c:v>Fès-Meknès</c:v>
                </c:pt>
                <c:pt idx="5">
                  <c:v>National</c:v>
                </c:pt>
                <c:pt idx="6">
                  <c:v>Rabat-Salé-Kénitra</c:v>
                </c:pt>
                <c:pt idx="7">
                  <c:v>Régions du Sud</c:v>
                </c:pt>
                <c:pt idx="8">
                  <c:v>Marrakech-Safi</c:v>
                </c:pt>
                <c:pt idx="9">
                  <c:v>Casablanca-Settat</c:v>
                </c:pt>
                <c:pt idx="10">
                  <c:v>Tanger-Tétouan-Al Hoceïma</c:v>
                </c:pt>
              </c:strCache>
            </c:strRef>
          </c:cat>
          <c:val>
            <c:numRef>
              <c:f>Feuil1!$C$3:$C$13</c:f>
              <c:numCache>
                <c:formatCode>0.0</c:formatCode>
                <c:ptCount val="11"/>
                <c:pt idx="0">
                  <c:v>36.042389375774889</c:v>
                </c:pt>
                <c:pt idx="1">
                  <c:v>39.010469497951995</c:v>
                </c:pt>
                <c:pt idx="2">
                  <c:v>39.871454860334794</c:v>
                </c:pt>
                <c:pt idx="3">
                  <c:v>41.024598726734233</c:v>
                </c:pt>
                <c:pt idx="4">
                  <c:v>41.479596973989068</c:v>
                </c:pt>
                <c:pt idx="5">
                  <c:v>43.133033579079182</c:v>
                </c:pt>
                <c:pt idx="6">
                  <c:v>43.240593164836596</c:v>
                </c:pt>
                <c:pt idx="7">
                  <c:v>43.820350734399469</c:v>
                </c:pt>
                <c:pt idx="8">
                  <c:v>44.328023522575563</c:v>
                </c:pt>
                <c:pt idx="9">
                  <c:v>45.757700211205595</c:v>
                </c:pt>
                <c:pt idx="10">
                  <c:v>49.232375116376254</c:v>
                </c:pt>
              </c:numCache>
            </c:numRef>
          </c:val>
          <c:extLst xmlns:c16r2="http://schemas.microsoft.com/office/drawing/2015/06/chart">
            <c:ext xmlns:c16="http://schemas.microsoft.com/office/drawing/2014/chart" uri="{C3380CC4-5D6E-409C-BE32-E72D297353CC}">
              <c16:uniqueId val="{00000002-A581-4D90-B3D2-668C46F0C644}"/>
            </c:ext>
          </c:extLst>
        </c:ser>
        <c:dLbls>
          <c:showVal val="1"/>
        </c:dLbls>
        <c:axId val="106761600"/>
        <c:axId val="108921984"/>
      </c:barChart>
      <c:catAx>
        <c:axId val="106761600"/>
        <c:scaling>
          <c:orientation val="minMax"/>
        </c:scaling>
        <c:axPos val="l"/>
        <c:numFmt formatCode="General" sourceLinked="0"/>
        <c:tickLblPos val="nextTo"/>
        <c:txPr>
          <a:bodyPr/>
          <a:lstStyle/>
          <a:p>
            <a:pPr>
              <a:defRPr sz="900">
                <a:latin typeface="Times New Roman" pitchFamily="18" charset="0"/>
                <a:cs typeface="Times New Roman" pitchFamily="18" charset="0"/>
              </a:defRPr>
            </a:pPr>
            <a:endParaRPr lang="fr-FR"/>
          </a:p>
        </c:txPr>
        <c:crossAx val="108921984"/>
        <c:crosses val="autoZero"/>
        <c:auto val="1"/>
        <c:lblAlgn val="ctr"/>
        <c:lblOffset val="100"/>
      </c:catAx>
      <c:valAx>
        <c:axId val="108921984"/>
        <c:scaling>
          <c:orientation val="minMax"/>
        </c:scaling>
        <c:delete val="1"/>
        <c:axPos val="b"/>
        <c:numFmt formatCode="0.0" sourceLinked="1"/>
        <c:tickLblPos val="none"/>
        <c:crossAx val="106761600"/>
        <c:crosses val="autoZero"/>
        <c:crossBetween val="between"/>
      </c:valAx>
      <c:spPr>
        <a:noFill/>
      </c:spPr>
    </c:plotArea>
    <c:plotVisOnly val="1"/>
    <c:dispBlanksAs val="gap"/>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spPr>
            <a:solidFill>
              <a:srgbClr val="0099CC"/>
            </a:solidFill>
            <a:ln>
              <a:noFill/>
            </a:ln>
          </c:spPr>
          <c:dPt>
            <c:idx val="5"/>
            <c:spPr>
              <a:solidFill>
                <a:srgbClr val="FFC000"/>
              </a:solidFill>
              <a:ln>
                <a:noFill/>
              </a:ln>
            </c:spPr>
            <c:extLst xmlns:c16r2="http://schemas.microsoft.com/office/drawing/2015/06/chart">
              <c:ext xmlns:c16="http://schemas.microsoft.com/office/drawing/2014/chart" uri="{C3380CC4-5D6E-409C-BE32-E72D297353CC}">
                <c16:uniqueId val="{00000001-6757-4CE1-97C3-2BDF87660BED}"/>
              </c:ext>
            </c:extLst>
          </c:dPt>
          <c:dLbls>
            <c:spPr>
              <a:noFill/>
              <a:ln>
                <a:noFill/>
              </a:ln>
              <a:effectLst/>
            </c:spPr>
            <c:txPr>
              <a:bodyPr/>
              <a:lstStyle/>
              <a:p>
                <a:pPr>
                  <a:defRPr sz="800">
                    <a:latin typeface="Times New Roman" pitchFamily="18" charset="0"/>
                    <a:cs typeface="Times New Roman"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0"/>
              </c:ext>
            </c:extLst>
          </c:dLbls>
          <c:cat>
            <c:strRef>
              <c:f>Feuil1!$A$27:$A$37</c:f>
              <c:strCache>
                <c:ptCount val="11"/>
                <c:pt idx="0">
                  <c:v>Marrakech-Safi</c:v>
                </c:pt>
                <c:pt idx="1">
                  <c:v>Drâa-Tafilalet</c:v>
                </c:pt>
                <c:pt idx="2">
                  <c:v>Tanger-Tétouan-Al Hoceïma</c:v>
                </c:pt>
                <c:pt idx="3">
                  <c:v>Rabat-Salé-Kénitra</c:v>
                </c:pt>
                <c:pt idx="4">
                  <c:v>Béni Mellal-Khénifra</c:v>
                </c:pt>
                <c:pt idx="5">
                  <c:v>National</c:v>
                </c:pt>
                <c:pt idx="6">
                  <c:v>Souss-Massa</c:v>
                </c:pt>
                <c:pt idx="7">
                  <c:v>Fès-Meknès</c:v>
                </c:pt>
                <c:pt idx="8">
                  <c:v>Casablanca-Settat</c:v>
                </c:pt>
                <c:pt idx="9">
                  <c:v>Oriental</c:v>
                </c:pt>
                <c:pt idx="10">
                  <c:v>Régions du Sud</c:v>
                </c:pt>
              </c:strCache>
            </c:strRef>
          </c:cat>
          <c:val>
            <c:numRef>
              <c:f>Feuil1!$C$27:$C$37</c:f>
              <c:numCache>
                <c:formatCode>0.0</c:formatCode>
                <c:ptCount val="11"/>
                <c:pt idx="0">
                  <c:v>7.7186052056045424</c:v>
                </c:pt>
                <c:pt idx="1">
                  <c:v>10.946968876999163</c:v>
                </c:pt>
                <c:pt idx="2">
                  <c:v>11.225417339347526</c:v>
                </c:pt>
                <c:pt idx="3">
                  <c:v>11.270425029702096</c:v>
                </c:pt>
                <c:pt idx="4">
                  <c:v>12.241910524177648</c:v>
                </c:pt>
                <c:pt idx="5">
                  <c:v>12.942331745864101</c:v>
                </c:pt>
                <c:pt idx="6">
                  <c:v>13.590595297177376</c:v>
                </c:pt>
                <c:pt idx="7">
                  <c:v>14.508120247515548</c:v>
                </c:pt>
                <c:pt idx="8">
                  <c:v>15.066412472661154</c:v>
                </c:pt>
                <c:pt idx="9">
                  <c:v>18.529893687413534</c:v>
                </c:pt>
                <c:pt idx="10">
                  <c:v>19.912441968467729</c:v>
                </c:pt>
              </c:numCache>
            </c:numRef>
          </c:val>
          <c:extLst xmlns:c16r2="http://schemas.microsoft.com/office/drawing/2015/06/chart">
            <c:ext xmlns:c16="http://schemas.microsoft.com/office/drawing/2014/chart" uri="{C3380CC4-5D6E-409C-BE32-E72D297353CC}">
              <c16:uniqueId val="{00000002-6757-4CE1-97C3-2BDF87660BED}"/>
            </c:ext>
          </c:extLst>
        </c:ser>
        <c:dLbls>
          <c:showVal val="1"/>
        </c:dLbls>
        <c:axId val="106128896"/>
        <c:axId val="106130432"/>
      </c:barChart>
      <c:catAx>
        <c:axId val="106128896"/>
        <c:scaling>
          <c:orientation val="minMax"/>
        </c:scaling>
        <c:axPos val="l"/>
        <c:numFmt formatCode="General" sourceLinked="0"/>
        <c:tickLblPos val="nextTo"/>
        <c:txPr>
          <a:bodyPr/>
          <a:lstStyle/>
          <a:p>
            <a:pPr>
              <a:defRPr sz="900">
                <a:latin typeface="Times New Roman" pitchFamily="18" charset="0"/>
                <a:cs typeface="Times New Roman" pitchFamily="18" charset="0"/>
              </a:defRPr>
            </a:pPr>
            <a:endParaRPr lang="fr-FR"/>
          </a:p>
        </c:txPr>
        <c:crossAx val="106130432"/>
        <c:crosses val="autoZero"/>
        <c:auto val="1"/>
        <c:lblAlgn val="ctr"/>
        <c:lblOffset val="100"/>
      </c:catAx>
      <c:valAx>
        <c:axId val="106130432"/>
        <c:scaling>
          <c:orientation val="minMax"/>
        </c:scaling>
        <c:delete val="1"/>
        <c:axPos val="b"/>
        <c:numFmt formatCode="0.0" sourceLinked="1"/>
        <c:tickLblPos val="none"/>
        <c:crossAx val="106128896"/>
        <c:crosses val="autoZero"/>
        <c:crossBetween val="between"/>
      </c:valAx>
      <c:spPr>
        <a:noFill/>
      </c:spPr>
    </c:plotArea>
    <c:plotVisOnly val="1"/>
    <c:dispBlanksAs val="gap"/>
  </c:chart>
  <c:spPr>
    <a:noFill/>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2555-0E6D-43AB-B63D-6F405EDE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2001</Words>
  <Characters>11011</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c:creator>
  <cp:lastModifiedBy>HCP</cp:lastModifiedBy>
  <cp:revision>4</cp:revision>
  <cp:lastPrinted>2023-04-27T13:04:00Z</cp:lastPrinted>
  <dcterms:created xsi:type="dcterms:W3CDTF">2023-05-02T08:22:00Z</dcterms:created>
  <dcterms:modified xsi:type="dcterms:W3CDTF">2023-05-02T20:45:00Z</dcterms:modified>
</cp:coreProperties>
</file>