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mai </w:t>
      </w:r>
      <w:r w:rsidR="00BA43F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86391A" w:rsidP="0086391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</w:t>
      </w:r>
    </w:p>
    <w:p w:rsidR="002959F6" w:rsidRPr="00746945" w:rsidRDefault="00C37B00" w:rsidP="00612B50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sse de 0,</w:t>
      </w:r>
      <w:r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 alimentaires et de 0,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non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alimentaires. L’indicateur d’inflation sous-jacente en hausse </w:t>
      </w:r>
      <w:r w:rsidR="00612B50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B2A0A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5B2A0A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B2A0A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mai </w:t>
      </w:r>
      <w:r w:rsidR="00BA43FE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, une </w:t>
      </w:r>
      <w:r w:rsidR="00EC04FA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EC04F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EC04FA">
        <w:rPr>
          <w:rFonts w:ascii="Arial" w:hAnsi="Arial" w:cs="Arial"/>
          <w:lang w:bidi="ar-MA"/>
        </w:rPr>
        <w:t>bais</w:t>
      </w:r>
      <w:r w:rsidRPr="004B513F">
        <w:rPr>
          <w:rFonts w:ascii="Arial" w:hAnsi="Arial" w:cs="Arial"/>
          <w:lang w:bidi="ar-MA"/>
        </w:rPr>
        <w:t>se de 0,</w:t>
      </w:r>
      <w:r w:rsidR="00EC04F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 de l’indice des produits alimentaires et de 0,</w:t>
      </w:r>
      <w:r w:rsidR="00EC04F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de l’indice des produits </w:t>
      </w:r>
      <w:r w:rsidR="00EC04FA" w:rsidRPr="004B513F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>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baisses des produits alimentaires observées entre avril et mai </w:t>
      </w:r>
      <w:r w:rsidR="00BA43FE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«Légumes» avec </w:t>
      </w:r>
      <w:r w:rsidR="00153A16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1902E3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%, les «Poissons et fruits de mer» avec </w:t>
      </w:r>
      <w:r w:rsidR="00153A16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153A16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>,</w:t>
      </w:r>
      <w:r w:rsidRPr="004B513F">
        <w:rPr>
          <w:rFonts w:ascii="Arial" w:hAnsi="Arial" w:cs="Arial"/>
          <w:lang w:bidi="ar-MA"/>
        </w:rPr>
        <w:t xml:space="preserve"> le «Lait, fromage et </w:t>
      </w:r>
      <w:r w:rsidR="00A307F2" w:rsidRPr="004B513F">
        <w:rPr>
          <w:rFonts w:ascii="Arial" w:hAnsi="Arial" w:cs="Arial"/>
          <w:lang w:bidi="ar-MA"/>
        </w:rPr>
        <w:t>œufs</w:t>
      </w:r>
      <w:r w:rsidRPr="004B513F">
        <w:rPr>
          <w:rFonts w:ascii="Arial" w:hAnsi="Arial" w:cs="Arial"/>
          <w:lang w:bidi="ar-MA"/>
        </w:rPr>
        <w:t>» avec 0,</w:t>
      </w:r>
      <w:r w:rsidR="00153A16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 xml:space="preserve">, </w:t>
      </w:r>
      <w:r w:rsidR="00153A16" w:rsidRPr="004B513F">
        <w:rPr>
          <w:rFonts w:ascii="Arial" w:hAnsi="Arial" w:cs="Arial"/>
          <w:lang w:bidi="ar-MA"/>
        </w:rPr>
        <w:t>le «Pain et céréales»</w:t>
      </w:r>
      <w:r w:rsidR="00153A16" w:rsidRPr="00153A16">
        <w:rPr>
          <w:rFonts w:ascii="Arial" w:hAnsi="Arial" w:cs="Arial"/>
          <w:lang w:bidi="ar-MA"/>
        </w:rPr>
        <w:t xml:space="preserve"> </w:t>
      </w:r>
      <w:r w:rsidR="00153A16" w:rsidRPr="004B513F">
        <w:rPr>
          <w:rFonts w:ascii="Arial" w:hAnsi="Arial" w:cs="Arial"/>
          <w:lang w:bidi="ar-MA"/>
        </w:rPr>
        <w:t>avec 0,</w:t>
      </w:r>
      <w:r w:rsidR="00153A16">
        <w:rPr>
          <w:rFonts w:ascii="Arial" w:hAnsi="Arial" w:cs="Arial"/>
          <w:lang w:bidi="ar-MA"/>
        </w:rPr>
        <w:t>4</w:t>
      </w:r>
      <w:r w:rsidR="00153A16"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 xml:space="preserve"> et</w:t>
      </w:r>
      <w:r w:rsidR="00153A16" w:rsidRPr="004B513F">
        <w:rPr>
          <w:rFonts w:ascii="Arial" w:hAnsi="Arial" w:cs="Arial"/>
          <w:lang w:bidi="ar-MA"/>
        </w:rPr>
        <w:t xml:space="preserve"> les «Huiles et graisses»</w:t>
      </w:r>
      <w:r w:rsidR="00153A16">
        <w:rPr>
          <w:rFonts w:ascii="Arial" w:hAnsi="Arial" w:cs="Arial"/>
          <w:lang w:bidi="ar-MA"/>
        </w:rPr>
        <w:t xml:space="preserve"> et le </w:t>
      </w:r>
      <w:r w:rsidR="00153A16" w:rsidRPr="004B513F">
        <w:rPr>
          <w:rFonts w:ascii="Arial" w:hAnsi="Arial" w:cs="Arial"/>
          <w:lang w:bidi="ar-MA"/>
        </w:rPr>
        <w:t>«</w:t>
      </w:r>
      <w:r w:rsidR="00153A16" w:rsidRPr="00153A16">
        <w:rPr>
          <w:rFonts w:ascii="Arial" w:hAnsi="Arial" w:cs="Arial"/>
          <w:lang w:bidi="ar-MA"/>
        </w:rPr>
        <w:t>Café, thé et cacao</w:t>
      </w:r>
      <w:r w:rsidR="00153A16" w:rsidRPr="004B513F">
        <w:rPr>
          <w:rFonts w:ascii="Arial" w:hAnsi="Arial" w:cs="Arial"/>
          <w:lang w:bidi="ar-MA"/>
        </w:rPr>
        <w:t>»</w:t>
      </w:r>
      <w:r w:rsidR="00153A16">
        <w:rPr>
          <w:rFonts w:ascii="Arial" w:hAnsi="Arial" w:cs="Arial"/>
          <w:lang w:bidi="ar-MA"/>
        </w:rPr>
        <w:t xml:space="preserve"> avec 0,1</w:t>
      </w:r>
      <w:r w:rsidR="00153A16" w:rsidRPr="004B513F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En revanche, les prix ont augmenté de </w:t>
      </w:r>
      <w:r w:rsidR="00153A1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1902E3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</w:t>
      </w:r>
      <w:r w:rsidR="00153A16">
        <w:rPr>
          <w:rFonts w:ascii="Arial" w:hAnsi="Arial" w:cs="Arial"/>
          <w:lang w:bidi="ar-MA"/>
        </w:rPr>
        <w:t xml:space="preserve">pour </w:t>
      </w:r>
      <w:r w:rsidR="00153A16" w:rsidRPr="004B513F">
        <w:rPr>
          <w:rFonts w:ascii="Arial" w:hAnsi="Arial" w:cs="Arial"/>
          <w:lang w:bidi="ar-MA"/>
        </w:rPr>
        <w:t xml:space="preserve">les «Viandes» </w:t>
      </w:r>
      <w:r w:rsidR="00153A16">
        <w:rPr>
          <w:rFonts w:ascii="Arial" w:hAnsi="Arial" w:cs="Arial"/>
          <w:lang w:bidi="ar-MA"/>
        </w:rPr>
        <w:t xml:space="preserve">et de 2,2% </w:t>
      </w:r>
      <w:r w:rsidRPr="004B513F">
        <w:rPr>
          <w:rFonts w:ascii="Arial" w:hAnsi="Arial" w:cs="Arial"/>
          <w:lang w:bidi="ar-MA"/>
        </w:rPr>
        <w:t>pour les «</w:t>
      </w:r>
      <w:r w:rsidR="00153A16" w:rsidRPr="004B513F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». Pour les produits non alimentaires, la </w:t>
      </w:r>
      <w:r w:rsidR="00153A16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153A1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153A16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>Les</w:t>
      </w:r>
      <w:r w:rsidR="0061772C" w:rsidRPr="0061772C">
        <w:rPr>
          <w:rFonts w:ascii="Arial" w:hAnsi="Arial" w:cs="Arial"/>
          <w:lang w:bidi="ar-MA"/>
        </w:rPr>
        <w:t xml:space="preserve"> </w:t>
      </w:r>
      <w:r w:rsidR="0061772C" w:rsidRPr="004B513F">
        <w:rPr>
          <w:rFonts w:ascii="Arial" w:hAnsi="Arial" w:cs="Arial"/>
          <w:lang w:bidi="ar-MA"/>
        </w:rPr>
        <w:t xml:space="preserve">baisses </w:t>
      </w:r>
      <w:r w:rsidRPr="004B513F">
        <w:rPr>
          <w:rFonts w:ascii="Arial" w:hAnsi="Arial" w:cs="Arial"/>
          <w:lang w:bidi="ar-MA"/>
        </w:rPr>
        <w:t xml:space="preserve">les plus importantes de l’IPC ont été enregistrées à </w:t>
      </w:r>
      <w:r w:rsidR="0061772C" w:rsidRPr="0061772C">
        <w:rPr>
          <w:rFonts w:ascii="Arial" w:hAnsi="Arial" w:cs="Arial"/>
          <w:lang w:bidi="ar-MA"/>
        </w:rPr>
        <w:t xml:space="preserve">Al-hoceima avec 1,9%, à Oujda avec 1,2%, à Safi avec 1,0%, à Tanger avec 0,8%, à Marrakech et Settat avec 0,6%, à Casablanca et Guelmim avec 0,4%, à Rabat et Dakhla avec 0,3%, à Agadir, </w:t>
      </w:r>
      <w:r w:rsidR="0061772C">
        <w:rPr>
          <w:rFonts w:ascii="Arial" w:hAnsi="Arial" w:cs="Arial"/>
          <w:lang w:bidi="ar-MA"/>
        </w:rPr>
        <w:t>Tétouan et Errachidia avec 0,2%</w:t>
      </w:r>
      <w:r w:rsidRPr="004B513F">
        <w:rPr>
          <w:rFonts w:ascii="Arial" w:hAnsi="Arial" w:cs="Arial"/>
          <w:lang w:bidi="ar-MA"/>
        </w:rPr>
        <w:t xml:space="preserve">. En revanche, des </w:t>
      </w:r>
      <w:r w:rsidR="0061772C" w:rsidRPr="004B513F">
        <w:rPr>
          <w:rFonts w:ascii="Arial" w:hAnsi="Arial" w:cs="Arial"/>
          <w:lang w:bidi="ar-MA"/>
        </w:rPr>
        <w:t>hausses</w:t>
      </w:r>
      <w:r w:rsidRPr="004B513F">
        <w:rPr>
          <w:rFonts w:ascii="Arial" w:hAnsi="Arial" w:cs="Arial"/>
          <w:lang w:bidi="ar-MA"/>
        </w:rPr>
        <w:t xml:space="preserve"> ont été enregistrées à </w:t>
      </w:r>
      <w:r w:rsidR="001902E3">
        <w:rPr>
          <w:rFonts w:ascii="Arial" w:hAnsi="Arial" w:cs="Arial"/>
          <w:lang w:bidi="ar-MA"/>
        </w:rPr>
        <w:t>Meknès avec 0,3% et</w:t>
      </w:r>
      <w:r w:rsidR="0061772C" w:rsidRPr="0061772C">
        <w:rPr>
          <w:rFonts w:ascii="Arial" w:hAnsi="Arial" w:cs="Arial"/>
          <w:lang w:bidi="ar-MA"/>
        </w:rPr>
        <w:t xml:space="preserve"> à Beni-Mellal avec 0,2%</w:t>
      </w:r>
      <w:r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592620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592620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au cours du mois de mai </w:t>
      </w:r>
      <w:r w:rsidR="00BA43FE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592620">
        <w:rPr>
          <w:rFonts w:ascii="Arial" w:hAnsi="Arial" w:cs="Arial"/>
          <w:lang w:bidi="ar-MA"/>
        </w:rPr>
        <w:t>15</w:t>
      </w:r>
      <w:r w:rsidRPr="004B513F">
        <w:rPr>
          <w:rFonts w:ascii="Arial" w:hAnsi="Arial" w:cs="Arial"/>
          <w:lang w:bidi="ar-MA"/>
        </w:rPr>
        <w:t>,</w:t>
      </w:r>
      <w:r w:rsidR="00592620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592620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36B04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592620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592620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592620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pour </w:t>
      </w:r>
      <w:r w:rsidR="00592620" w:rsidRPr="004B513F">
        <w:rPr>
          <w:rFonts w:ascii="Arial" w:hAnsi="Arial" w:cs="Arial"/>
          <w:lang w:bidi="ar-MA"/>
        </w:rPr>
        <w:t>le «Transport»</w:t>
      </w:r>
      <w:r w:rsidR="00592620">
        <w:rPr>
          <w:rFonts w:ascii="Arial" w:hAnsi="Arial" w:cs="Arial"/>
          <w:lang w:bidi="ar-MA"/>
        </w:rPr>
        <w:t xml:space="preserve"> </w:t>
      </w:r>
      <w:r w:rsidR="00592620" w:rsidRPr="00592620">
        <w:rPr>
          <w:rFonts w:ascii="Arial" w:hAnsi="Arial" w:cs="Arial"/>
          <w:lang w:bidi="ar-MA"/>
        </w:rPr>
        <w:t xml:space="preserve">à une hausse de </w:t>
      </w:r>
      <w:r w:rsidR="00E203D6">
        <w:rPr>
          <w:rFonts w:ascii="Arial" w:hAnsi="Arial" w:cs="Arial"/>
          <w:lang w:bidi="ar-MA"/>
        </w:rPr>
        <w:t>6</w:t>
      </w:r>
      <w:r w:rsidR="00592620" w:rsidRPr="00592620">
        <w:rPr>
          <w:rFonts w:ascii="Arial" w:hAnsi="Arial" w:cs="Arial"/>
          <w:lang w:bidi="ar-MA"/>
        </w:rPr>
        <w:t>,</w:t>
      </w:r>
      <w:r w:rsidR="00E203D6">
        <w:rPr>
          <w:rFonts w:ascii="Arial" w:hAnsi="Arial" w:cs="Arial"/>
          <w:lang w:bidi="ar-MA"/>
        </w:rPr>
        <w:t>9</w:t>
      </w:r>
      <w:r w:rsidR="00592620" w:rsidRPr="00592620">
        <w:rPr>
          <w:rFonts w:ascii="Arial" w:hAnsi="Arial" w:cs="Arial"/>
          <w:lang w:bidi="ar-MA"/>
        </w:rPr>
        <w:t xml:space="preserve">% </w:t>
      </w:r>
      <w:r w:rsidR="00592620">
        <w:rPr>
          <w:rFonts w:ascii="Arial" w:hAnsi="Arial" w:cs="Arial"/>
          <w:lang w:bidi="ar-MA"/>
        </w:rPr>
        <w:t xml:space="preserve">pour </w:t>
      </w:r>
      <w:r w:rsidRPr="004B513F">
        <w:rPr>
          <w:rFonts w:ascii="Arial" w:hAnsi="Arial" w:cs="Arial"/>
          <w:lang w:bidi="ar-MA"/>
        </w:rPr>
        <w:t>l</w:t>
      </w:r>
      <w:r w:rsidR="00592620">
        <w:rPr>
          <w:rFonts w:ascii="Arial" w:hAnsi="Arial" w:cs="Arial"/>
          <w:lang w:bidi="ar-MA"/>
        </w:rPr>
        <w:t>es</w:t>
      </w:r>
      <w:r w:rsidRPr="004B513F">
        <w:rPr>
          <w:rFonts w:ascii="Arial" w:hAnsi="Arial" w:cs="Arial"/>
          <w:lang w:bidi="ar-MA"/>
        </w:rPr>
        <w:t xml:space="preserve"> «</w:t>
      </w:r>
      <w:r w:rsidR="00592620" w:rsidRPr="00592620">
        <w:rPr>
          <w:rFonts w:ascii="Arial" w:hAnsi="Arial" w:cs="Arial"/>
          <w:lang w:bidi="ar-MA"/>
        </w:rPr>
        <w:t>Restaurants et hôtels</w:t>
      </w:r>
      <w:r w:rsidR="00592620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mai </w:t>
      </w:r>
      <w:r w:rsidR="00BA43FE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926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B2A0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d’avril </w:t>
      </w:r>
      <w:r w:rsidR="00BA43FE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5B2A0A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5B2A0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de mai </w:t>
      </w:r>
      <w:r w:rsidR="00BA43FE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592620" w:rsidRDefault="00592620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C06E10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06E10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</w:t>
            </w:r>
            <w:r w:rsidR="00BA43FE">
              <w:rPr>
                <w:b/>
                <w:bCs/>
                <w:lang w:bidi="ar-MA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Mai </w:t>
            </w:r>
            <w:r w:rsidR="00BA43FE">
              <w:rPr>
                <w:b/>
                <w:bCs/>
                <w:lang w:bidi="ar-MA"/>
              </w:rPr>
              <w:t>2023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036B04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36B04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36B04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36B04" w:rsidRPr="00402008" w:rsidTr="00C06E10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036B04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16,9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17,6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036B04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036B04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036B04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C06E10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311B1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 </w:t>
            </w:r>
            <w:r w:rsidR="00BA43FE"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DB00D9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A43FE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036B04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</w:tr>
      <w:tr w:rsidR="00036B04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</w:tr>
      <w:tr w:rsidR="00036B04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036B04" w:rsidRPr="00B0316A" w:rsidTr="00C06E10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036B04" w:rsidRPr="00402008" w:rsidRDefault="00036B04" w:rsidP="00C06E10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36B04" w:rsidRDefault="00036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4A0B88" w:rsidP="002959F6">
      <w:pPr>
        <w:rPr>
          <w:rtl/>
          <w:lang w:bidi="ar-MA"/>
        </w:rPr>
      </w:pPr>
      <w:r>
        <w:rPr>
          <w:lang w:bidi="ar-MA"/>
        </w:rPr>
        <w:t xml:space="preserve">   </w:t>
      </w: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19" w:rsidRDefault="00CD7C19">
      <w:r>
        <w:separator/>
      </w:r>
    </w:p>
  </w:endnote>
  <w:endnote w:type="continuationSeparator" w:id="0">
    <w:p w:rsidR="00CD7C19" w:rsidRDefault="00CD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A4F0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A4F0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A0B8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A0B8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A4F0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19" w:rsidRDefault="00CD7C19">
      <w:r>
        <w:separator/>
      </w:r>
    </w:p>
  </w:footnote>
  <w:footnote w:type="continuationSeparator" w:id="0">
    <w:p w:rsidR="00CD7C19" w:rsidRDefault="00CD7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36B04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1E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2677"/>
    <w:rsid w:val="00153A16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02E3"/>
    <w:rsid w:val="001A1A9C"/>
    <w:rsid w:val="001A250E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2A6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620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0A8"/>
    <w:rsid w:val="0049060D"/>
    <w:rsid w:val="004A0B88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4F743F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2620"/>
    <w:rsid w:val="00594250"/>
    <w:rsid w:val="00594D60"/>
    <w:rsid w:val="00595235"/>
    <w:rsid w:val="00596CDD"/>
    <w:rsid w:val="005B0675"/>
    <w:rsid w:val="005B2A0A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B50"/>
    <w:rsid w:val="00613BEE"/>
    <w:rsid w:val="0061442D"/>
    <w:rsid w:val="0061772C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D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391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2C4"/>
    <w:rsid w:val="008A4CF7"/>
    <w:rsid w:val="008A6A9C"/>
    <w:rsid w:val="008B1707"/>
    <w:rsid w:val="008B1E6D"/>
    <w:rsid w:val="008B32BE"/>
    <w:rsid w:val="008B3A97"/>
    <w:rsid w:val="008C2C3C"/>
    <w:rsid w:val="008C5B87"/>
    <w:rsid w:val="008C6145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07F2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D70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3FE"/>
    <w:rsid w:val="00BA4F00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37B00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5F37"/>
    <w:rsid w:val="00CB055F"/>
    <w:rsid w:val="00CB05C8"/>
    <w:rsid w:val="00CB21EC"/>
    <w:rsid w:val="00CB3A44"/>
    <w:rsid w:val="00CC289A"/>
    <w:rsid w:val="00CC5A17"/>
    <w:rsid w:val="00CC5F3B"/>
    <w:rsid w:val="00CD50DC"/>
    <w:rsid w:val="00CD6E99"/>
    <w:rsid w:val="00CD7C19"/>
    <w:rsid w:val="00CD7C5C"/>
    <w:rsid w:val="00CE08CE"/>
    <w:rsid w:val="00CE3DCB"/>
    <w:rsid w:val="00CE718A"/>
    <w:rsid w:val="00CE7BB5"/>
    <w:rsid w:val="00CF3217"/>
    <w:rsid w:val="00D01031"/>
    <w:rsid w:val="00D05BFC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463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269B"/>
    <w:rsid w:val="00DE635A"/>
    <w:rsid w:val="00E022E3"/>
    <w:rsid w:val="00E03B7C"/>
    <w:rsid w:val="00E052C6"/>
    <w:rsid w:val="00E10773"/>
    <w:rsid w:val="00E1478F"/>
    <w:rsid w:val="00E15AA3"/>
    <w:rsid w:val="00E20239"/>
    <w:rsid w:val="00E203D6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2BC0"/>
    <w:rsid w:val="00EA5644"/>
    <w:rsid w:val="00EB537F"/>
    <w:rsid w:val="00EB5AC5"/>
    <w:rsid w:val="00EB7741"/>
    <w:rsid w:val="00EC04FA"/>
    <w:rsid w:val="00EC23C9"/>
    <w:rsid w:val="00EC6140"/>
    <w:rsid w:val="00EE0046"/>
    <w:rsid w:val="00EE549F"/>
    <w:rsid w:val="00EE5D39"/>
    <w:rsid w:val="00EF11E3"/>
    <w:rsid w:val="00EF13CA"/>
    <w:rsid w:val="00EF2E82"/>
    <w:rsid w:val="00F0674C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4BF1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2023-06-16T08:57:00Z</cp:lastPrinted>
  <dcterms:created xsi:type="dcterms:W3CDTF">2023-06-16T11:34:00Z</dcterms:created>
  <dcterms:modified xsi:type="dcterms:W3CDTF">2023-06-19T22:25:00Z</dcterms:modified>
</cp:coreProperties>
</file>