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BD" w:rsidRPr="00D318E9" w:rsidRDefault="00D215A5" w:rsidP="00D215A5">
      <w:pPr>
        <w:spacing w:line="300" w:lineRule="auto"/>
        <w:jc w:val="center"/>
        <w:rPr>
          <w:rFonts w:asciiTheme="majorHAnsi" w:hAnsiTheme="majorHAnsi"/>
          <w:b/>
          <w:bCs/>
          <w:color w:val="548DD4" w:themeColor="text2" w:themeTint="99"/>
          <w:sz w:val="26"/>
          <w:szCs w:val="26"/>
        </w:rPr>
      </w:pPr>
      <w:r w:rsidRPr="00D318E9">
        <w:rPr>
          <w:rFonts w:asciiTheme="majorHAnsi" w:hAnsiTheme="majorHAnsi"/>
          <w:b/>
          <w:bCs/>
          <w:color w:val="548DD4" w:themeColor="text2" w:themeTint="99"/>
          <w:sz w:val="26"/>
          <w:szCs w:val="26"/>
        </w:rPr>
        <w:t>Note sur la journée internationale de la jeunesse</w:t>
      </w:r>
    </w:p>
    <w:p w:rsidR="00902D4D" w:rsidRDefault="00415897" w:rsidP="00DF67E7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 w:rsidRPr="00415897">
        <w:rPr>
          <w:rFonts w:asciiTheme="majorHAnsi" w:hAnsiTheme="majorHAnsi"/>
          <w:sz w:val="23"/>
          <w:szCs w:val="23"/>
        </w:rPr>
        <w:t xml:space="preserve">Dans un monde en constante évolution, marqué par des défis complexes et des opportunités sans précédent, la jeunesse </w:t>
      </w:r>
      <w:r w:rsidR="00902D4D">
        <w:rPr>
          <w:rFonts w:asciiTheme="majorHAnsi" w:hAnsiTheme="majorHAnsi"/>
          <w:sz w:val="23"/>
          <w:szCs w:val="23"/>
        </w:rPr>
        <w:t>se révèle comme un réservoir d</w:t>
      </w:r>
      <w:r w:rsidRPr="00415897">
        <w:rPr>
          <w:rFonts w:asciiTheme="majorHAnsi" w:hAnsiTheme="majorHAnsi"/>
          <w:sz w:val="23"/>
          <w:szCs w:val="23"/>
        </w:rPr>
        <w:t xml:space="preserve">'énergie, </w:t>
      </w:r>
      <w:r w:rsidR="00902D4D">
        <w:rPr>
          <w:rFonts w:asciiTheme="majorHAnsi" w:hAnsiTheme="majorHAnsi"/>
          <w:sz w:val="23"/>
          <w:szCs w:val="23"/>
        </w:rPr>
        <w:t xml:space="preserve">de </w:t>
      </w:r>
      <w:r w:rsidRPr="00415897">
        <w:rPr>
          <w:rFonts w:asciiTheme="majorHAnsi" w:hAnsiTheme="majorHAnsi"/>
          <w:sz w:val="23"/>
          <w:szCs w:val="23"/>
        </w:rPr>
        <w:t xml:space="preserve">créativité et </w:t>
      </w:r>
      <w:r w:rsidR="00902D4D">
        <w:rPr>
          <w:rFonts w:asciiTheme="majorHAnsi" w:hAnsiTheme="majorHAnsi"/>
          <w:sz w:val="23"/>
          <w:szCs w:val="23"/>
        </w:rPr>
        <w:t>d</w:t>
      </w:r>
      <w:r w:rsidRPr="00415897">
        <w:rPr>
          <w:rFonts w:asciiTheme="majorHAnsi" w:hAnsiTheme="majorHAnsi"/>
          <w:sz w:val="23"/>
          <w:szCs w:val="23"/>
        </w:rPr>
        <w:t xml:space="preserve">'espoir nécessaires pour façonner l'avenir. </w:t>
      </w:r>
      <w:r w:rsidR="00D215A5" w:rsidRPr="00D215A5">
        <w:rPr>
          <w:rFonts w:asciiTheme="majorHAnsi" w:hAnsiTheme="majorHAnsi"/>
          <w:sz w:val="23"/>
          <w:szCs w:val="23"/>
        </w:rPr>
        <w:t>La journée internationale de la jeunesse</w:t>
      </w:r>
      <w:r>
        <w:rPr>
          <w:rFonts w:asciiTheme="majorHAnsi" w:hAnsiTheme="majorHAnsi"/>
          <w:sz w:val="23"/>
          <w:szCs w:val="23"/>
        </w:rPr>
        <w:t>,</w:t>
      </w:r>
      <w:r w:rsidR="00D215A5" w:rsidRPr="00D215A5">
        <w:rPr>
          <w:rFonts w:asciiTheme="majorHAnsi" w:hAnsiTheme="majorHAnsi"/>
          <w:sz w:val="23"/>
          <w:szCs w:val="23"/>
        </w:rPr>
        <w:t xml:space="preserve"> célébrée chaque année le 12 Août</w:t>
      </w:r>
      <w:r w:rsidR="00902D4D">
        <w:rPr>
          <w:rFonts w:asciiTheme="majorHAnsi" w:hAnsiTheme="majorHAnsi"/>
          <w:sz w:val="23"/>
          <w:szCs w:val="23"/>
        </w:rPr>
        <w:t xml:space="preserve">, </w:t>
      </w:r>
      <w:r w:rsidR="00902D4D" w:rsidRPr="00415897">
        <w:rPr>
          <w:rFonts w:asciiTheme="majorHAnsi" w:hAnsiTheme="majorHAnsi"/>
          <w:sz w:val="23"/>
          <w:szCs w:val="23"/>
        </w:rPr>
        <w:t xml:space="preserve">offre un moment de réflexion </w:t>
      </w:r>
      <w:r w:rsidR="00D215A5" w:rsidRPr="00D215A5">
        <w:rPr>
          <w:rFonts w:asciiTheme="majorHAnsi" w:hAnsiTheme="majorHAnsi"/>
          <w:sz w:val="23"/>
          <w:szCs w:val="23"/>
        </w:rPr>
        <w:t xml:space="preserve">de la communauté internationale </w:t>
      </w:r>
      <w:r w:rsidR="00D215A5">
        <w:rPr>
          <w:rFonts w:asciiTheme="majorHAnsi" w:hAnsiTheme="majorHAnsi"/>
          <w:sz w:val="23"/>
          <w:szCs w:val="23"/>
        </w:rPr>
        <w:t xml:space="preserve">sur le problème de </w:t>
      </w:r>
      <w:r w:rsidR="00902D4D">
        <w:rPr>
          <w:rFonts w:asciiTheme="majorHAnsi" w:hAnsiTheme="majorHAnsi"/>
          <w:sz w:val="23"/>
          <w:szCs w:val="23"/>
        </w:rPr>
        <w:t xml:space="preserve">la </w:t>
      </w:r>
      <w:r w:rsidR="00D215A5">
        <w:rPr>
          <w:rFonts w:asciiTheme="majorHAnsi" w:hAnsiTheme="majorHAnsi"/>
          <w:sz w:val="23"/>
          <w:szCs w:val="23"/>
        </w:rPr>
        <w:t xml:space="preserve">jeunesse et </w:t>
      </w:r>
      <w:r w:rsidR="00902D4D" w:rsidRPr="00415897">
        <w:rPr>
          <w:rFonts w:asciiTheme="majorHAnsi" w:hAnsiTheme="majorHAnsi"/>
          <w:sz w:val="23"/>
          <w:szCs w:val="23"/>
        </w:rPr>
        <w:t>de célébration de la vitalité, de la créativité et du potentiel incommensurable incarnés par la génération montante</w:t>
      </w:r>
      <w:r w:rsidR="00902D4D">
        <w:rPr>
          <w:rFonts w:asciiTheme="majorHAnsi" w:hAnsiTheme="majorHAnsi"/>
          <w:sz w:val="23"/>
          <w:szCs w:val="23"/>
        </w:rPr>
        <w:t>.</w:t>
      </w:r>
      <w:r w:rsidR="008438E6">
        <w:rPr>
          <w:rFonts w:asciiTheme="majorHAnsi" w:hAnsiTheme="majorHAnsi"/>
          <w:sz w:val="23"/>
          <w:szCs w:val="23"/>
        </w:rPr>
        <w:t xml:space="preserve">  </w:t>
      </w:r>
    </w:p>
    <w:p w:rsidR="00A8169B" w:rsidRDefault="00D215A5" w:rsidP="00DF67E7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Conscient du rôle que peuvent jouer les jeunes dans la société, le Maroc</w:t>
      </w:r>
      <w:r w:rsidR="008B7569">
        <w:rPr>
          <w:rFonts w:asciiTheme="majorHAnsi" w:hAnsiTheme="majorHAnsi"/>
          <w:sz w:val="23"/>
          <w:szCs w:val="23"/>
        </w:rPr>
        <w:t xml:space="preserve"> a adopté plusieurs stratégies en faveur de la jeunesse visant, en</w:t>
      </w:r>
      <w:r w:rsidR="00A8169B">
        <w:rPr>
          <w:rFonts w:asciiTheme="majorHAnsi" w:hAnsiTheme="majorHAnsi"/>
          <w:sz w:val="23"/>
          <w:szCs w:val="23"/>
        </w:rPr>
        <w:t>tre</w:t>
      </w:r>
      <w:r w:rsidR="008B7569">
        <w:rPr>
          <w:rFonts w:asciiTheme="majorHAnsi" w:hAnsiTheme="majorHAnsi"/>
          <w:sz w:val="23"/>
          <w:szCs w:val="23"/>
        </w:rPr>
        <w:t xml:space="preserve"> autres, à augmenter les opportunités économiques pour les jeunes</w:t>
      </w:r>
      <w:r w:rsidR="00A8169B">
        <w:rPr>
          <w:rFonts w:asciiTheme="majorHAnsi" w:hAnsiTheme="majorHAnsi"/>
          <w:sz w:val="23"/>
          <w:szCs w:val="23"/>
        </w:rPr>
        <w:t xml:space="preserve">, à </w:t>
      </w:r>
      <w:r w:rsidR="008B7569">
        <w:rPr>
          <w:rFonts w:asciiTheme="majorHAnsi" w:hAnsiTheme="majorHAnsi"/>
          <w:sz w:val="23"/>
          <w:szCs w:val="23"/>
        </w:rPr>
        <w:t xml:space="preserve">promouvoir leur employabilité et </w:t>
      </w:r>
      <w:r w:rsidR="00A8169B">
        <w:rPr>
          <w:rFonts w:asciiTheme="majorHAnsi" w:hAnsiTheme="majorHAnsi"/>
          <w:sz w:val="23"/>
          <w:szCs w:val="23"/>
        </w:rPr>
        <w:t xml:space="preserve">à </w:t>
      </w:r>
      <w:r w:rsidR="008B7569">
        <w:rPr>
          <w:rFonts w:asciiTheme="majorHAnsi" w:hAnsiTheme="majorHAnsi"/>
          <w:sz w:val="23"/>
          <w:szCs w:val="23"/>
        </w:rPr>
        <w:t xml:space="preserve">accroître </w:t>
      </w:r>
      <w:r w:rsidR="00A8169B">
        <w:rPr>
          <w:rFonts w:asciiTheme="majorHAnsi" w:hAnsiTheme="majorHAnsi"/>
          <w:sz w:val="23"/>
          <w:szCs w:val="23"/>
        </w:rPr>
        <w:t>l’</w:t>
      </w:r>
      <w:r w:rsidR="008B7569">
        <w:rPr>
          <w:rFonts w:asciiTheme="majorHAnsi" w:hAnsiTheme="majorHAnsi"/>
          <w:sz w:val="23"/>
          <w:szCs w:val="23"/>
        </w:rPr>
        <w:t xml:space="preserve">accès et la qualité des </w:t>
      </w:r>
      <w:r w:rsidR="00A8169B" w:rsidRPr="00A8169B">
        <w:rPr>
          <w:rFonts w:asciiTheme="majorHAnsi" w:hAnsiTheme="majorHAnsi"/>
          <w:sz w:val="23"/>
          <w:szCs w:val="23"/>
        </w:rPr>
        <w:t>services fondamentaux qui leur sont destinés.</w:t>
      </w:r>
    </w:p>
    <w:p w:rsidR="00D97121" w:rsidRPr="00B43CA1" w:rsidRDefault="008B7569" w:rsidP="00B43CA1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 w:rsidRPr="00B43CA1">
        <w:rPr>
          <w:rFonts w:asciiTheme="majorHAnsi" w:hAnsiTheme="majorHAnsi"/>
          <w:sz w:val="23"/>
          <w:szCs w:val="23"/>
        </w:rPr>
        <w:t xml:space="preserve">C’est ainsi que des progrès notables ont été réalisés durant les deux dernières décennies en matière d’accès des jeunes à l’éducation et la formation, à un emploi décent, etc. </w:t>
      </w:r>
      <w:r w:rsidR="00D97121" w:rsidRPr="00B43CA1">
        <w:rPr>
          <w:rFonts w:asciiTheme="majorHAnsi" w:hAnsiTheme="majorHAnsi"/>
          <w:sz w:val="23"/>
          <w:szCs w:val="23"/>
        </w:rPr>
        <w:t xml:space="preserve">Cette note aborde </w:t>
      </w:r>
      <w:r w:rsidR="00A8169B" w:rsidRPr="00B43CA1">
        <w:rPr>
          <w:rFonts w:asciiTheme="majorHAnsi" w:hAnsiTheme="majorHAnsi"/>
          <w:sz w:val="23"/>
          <w:szCs w:val="23"/>
        </w:rPr>
        <w:t xml:space="preserve">le poids et </w:t>
      </w:r>
      <w:r w:rsidR="00D97121" w:rsidRPr="00B43CA1">
        <w:rPr>
          <w:rFonts w:asciiTheme="majorHAnsi" w:hAnsiTheme="majorHAnsi"/>
          <w:sz w:val="23"/>
          <w:szCs w:val="23"/>
        </w:rPr>
        <w:t xml:space="preserve">l’évolution démographique de cette frange de population </w:t>
      </w:r>
      <w:r w:rsidR="008A075F" w:rsidRPr="00B43CA1">
        <w:rPr>
          <w:rFonts w:asciiTheme="majorHAnsi" w:hAnsiTheme="majorHAnsi"/>
          <w:sz w:val="23"/>
          <w:szCs w:val="23"/>
        </w:rPr>
        <w:t xml:space="preserve">tout en </w:t>
      </w:r>
      <w:r w:rsidR="00D97121" w:rsidRPr="00B43CA1">
        <w:rPr>
          <w:rFonts w:asciiTheme="majorHAnsi" w:hAnsiTheme="majorHAnsi"/>
          <w:sz w:val="23"/>
          <w:szCs w:val="23"/>
        </w:rPr>
        <w:t>met</w:t>
      </w:r>
      <w:r w:rsidR="008A075F" w:rsidRPr="00B43CA1">
        <w:rPr>
          <w:rFonts w:asciiTheme="majorHAnsi" w:hAnsiTheme="majorHAnsi"/>
          <w:sz w:val="23"/>
          <w:szCs w:val="23"/>
        </w:rPr>
        <w:t>tant</w:t>
      </w:r>
      <w:r w:rsidR="00D97121" w:rsidRPr="00B43CA1">
        <w:rPr>
          <w:rFonts w:asciiTheme="majorHAnsi" w:hAnsiTheme="majorHAnsi"/>
          <w:sz w:val="23"/>
          <w:szCs w:val="23"/>
        </w:rPr>
        <w:t xml:space="preserve"> l’accent sur les progrès réalisés, depuis le début du millénaire, en matière d’accès à l’éducation et la </w:t>
      </w:r>
      <w:r w:rsidR="00B43CA1">
        <w:rPr>
          <w:rFonts w:asciiTheme="majorHAnsi" w:hAnsiTheme="majorHAnsi"/>
          <w:sz w:val="23"/>
          <w:szCs w:val="23"/>
        </w:rPr>
        <w:t>formation, à l’emploi de qualité.</w:t>
      </w:r>
    </w:p>
    <w:p w:rsidR="00D97121" w:rsidRPr="00D97121" w:rsidRDefault="00D97121" w:rsidP="00A8169B">
      <w:pPr>
        <w:spacing w:line="30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D97121">
        <w:rPr>
          <w:rFonts w:asciiTheme="majorHAnsi" w:hAnsiTheme="majorHAnsi"/>
          <w:b/>
          <w:bCs/>
          <w:sz w:val="23"/>
          <w:szCs w:val="23"/>
        </w:rPr>
        <w:t>Un recul de la part des jeunes dans la population totale au profit de la population du troisième âge</w:t>
      </w:r>
    </w:p>
    <w:p w:rsidR="00FE0363" w:rsidRDefault="00D97121" w:rsidP="00CC2C7B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  <w:r w:rsidR="004F38B9">
        <w:rPr>
          <w:rFonts w:asciiTheme="majorHAnsi" w:hAnsiTheme="majorHAnsi"/>
          <w:sz w:val="23"/>
          <w:szCs w:val="23"/>
        </w:rPr>
        <w:t>L’effectif des jeunes âgés de 15 à 34 ans demeure important et continuera de s’accroître à l’horizon de 2030 mais avec un rythme d’accroissement inférieur à celui de la population totale, soit respectivement 0,3% et 0,9% entre 2023 et 2030.</w:t>
      </w:r>
      <w:r w:rsidR="00FE0363">
        <w:rPr>
          <w:rFonts w:asciiTheme="majorHAnsi" w:hAnsiTheme="majorHAnsi"/>
          <w:sz w:val="23"/>
          <w:szCs w:val="23"/>
        </w:rPr>
        <w:t xml:space="preserve"> Cette population des jeunes est passée de 11,5 millions en 2014 à 11,8 millions en 2023 et en proportion de 34,2% à 31,9% respectivement. A eux seuls, les jeunes âgés de 15 à 24 ans représentent 16,1% en 2023 contre 18,0% en 2014. La part des jeunes citadins dans la population des jeunes est passée quant à elle de 60,0% à 66,0% entre 2014 et 2023.</w:t>
      </w:r>
      <w:r w:rsidR="00CC2C7B">
        <w:rPr>
          <w:rFonts w:asciiTheme="majorHAnsi" w:hAnsiTheme="majorHAnsi"/>
          <w:sz w:val="23"/>
          <w:szCs w:val="23"/>
        </w:rPr>
        <w:t xml:space="preserve"> Durant la même période, la part des personnes âgées de 60 ans et plus est passée de 9,4% en 2014 à 12,7% en 2023, soit une augmentation de 3,3 points de pourcentage. </w:t>
      </w:r>
    </w:p>
    <w:p w:rsidR="00FE0363" w:rsidRPr="00FE0363" w:rsidRDefault="00FE0363" w:rsidP="004F38B9">
      <w:pPr>
        <w:spacing w:line="30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FE0363">
        <w:rPr>
          <w:rFonts w:asciiTheme="majorHAnsi" w:hAnsiTheme="majorHAnsi"/>
          <w:b/>
          <w:bCs/>
          <w:sz w:val="23"/>
          <w:szCs w:val="23"/>
        </w:rPr>
        <w:t>Une amélioration notable du niveau d’éducation et de formation des jeunes et notamment parmi les femmes depuis le début du millénaire</w:t>
      </w:r>
    </w:p>
    <w:p w:rsidR="008B7569" w:rsidRDefault="00F712EE" w:rsidP="00DF67E7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Selon les données de l’Enquête Nationale sur l’Emploi, la part des jeunes âgés de 15-34 ans qui n’ont aucun niveau scolaire a considérablement baissé entre 2000 et 20</w:t>
      </w:r>
      <w:r w:rsidR="00DF67E7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 xml:space="preserve">, elle est passée de 35,7% à </w:t>
      </w:r>
      <w:r w:rsidR="00DF67E7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 xml:space="preserve">9%, soit une baisse de </w:t>
      </w:r>
      <w:r>
        <w:rPr>
          <w:rFonts w:asciiTheme="majorHAnsi" w:hAnsiTheme="majorHAnsi"/>
          <w:sz w:val="23"/>
          <w:szCs w:val="23"/>
        </w:rPr>
        <w:t>2</w:t>
      </w:r>
      <w:r w:rsidR="00DF67E7">
        <w:rPr>
          <w:rFonts w:asciiTheme="majorHAnsi" w:hAnsiTheme="majorHAnsi"/>
          <w:sz w:val="23"/>
          <w:szCs w:val="23"/>
        </w:rPr>
        <w:t>6,8</w:t>
      </w:r>
      <w:r>
        <w:rPr>
          <w:rFonts w:asciiTheme="majorHAnsi" w:hAnsiTheme="majorHAnsi"/>
          <w:sz w:val="23"/>
          <w:szCs w:val="23"/>
        </w:rPr>
        <w:t xml:space="preserve"> points de pourcentages durant cette période. La plus grande baisse a été observée parmi les femmes (de 47,7% à 1</w:t>
      </w:r>
      <w:r w:rsidR="00DF67E7">
        <w:rPr>
          <w:rFonts w:asciiTheme="majorHAnsi" w:hAnsiTheme="majorHAnsi"/>
          <w:sz w:val="23"/>
          <w:szCs w:val="23"/>
        </w:rPr>
        <w:t>2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1</w:t>
      </w:r>
      <w:r>
        <w:rPr>
          <w:rFonts w:asciiTheme="majorHAnsi" w:hAnsiTheme="majorHAnsi"/>
          <w:sz w:val="23"/>
          <w:szCs w:val="23"/>
        </w:rPr>
        <w:t xml:space="preserve">%) et les ruraux (de 59,5% à </w:t>
      </w:r>
      <w:r w:rsidR="00DF67E7">
        <w:rPr>
          <w:rFonts w:asciiTheme="majorHAnsi" w:hAnsiTheme="majorHAnsi"/>
          <w:sz w:val="23"/>
          <w:szCs w:val="23"/>
        </w:rPr>
        <w:t>15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6</w:t>
      </w:r>
      <w:r>
        <w:rPr>
          <w:rFonts w:asciiTheme="majorHAnsi" w:hAnsiTheme="majorHAnsi"/>
          <w:sz w:val="23"/>
          <w:szCs w:val="23"/>
        </w:rPr>
        <w:t xml:space="preserve">%) soit respectivement une baisse de </w:t>
      </w:r>
      <w:r w:rsidR="00DF67E7">
        <w:rPr>
          <w:rFonts w:asciiTheme="majorHAnsi" w:hAnsiTheme="majorHAnsi"/>
          <w:sz w:val="23"/>
          <w:szCs w:val="23"/>
        </w:rPr>
        <w:t>35,6</w:t>
      </w:r>
      <w:r>
        <w:rPr>
          <w:rFonts w:asciiTheme="majorHAnsi" w:hAnsiTheme="majorHAnsi"/>
          <w:sz w:val="23"/>
          <w:szCs w:val="23"/>
        </w:rPr>
        <w:t xml:space="preserve"> points</w:t>
      </w:r>
      <w:r w:rsidR="00084DB4">
        <w:rPr>
          <w:rFonts w:asciiTheme="majorHAnsi" w:hAnsiTheme="majorHAnsi"/>
          <w:sz w:val="23"/>
          <w:szCs w:val="23"/>
        </w:rPr>
        <w:t xml:space="preserve"> et </w:t>
      </w:r>
      <w:r w:rsidR="00DF67E7">
        <w:rPr>
          <w:rFonts w:asciiTheme="majorHAnsi" w:hAnsiTheme="majorHAnsi"/>
          <w:sz w:val="23"/>
          <w:szCs w:val="23"/>
        </w:rPr>
        <w:t>49</w:t>
      </w:r>
      <w:r w:rsidR="00084DB4"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9</w:t>
      </w:r>
      <w:r w:rsidR="00084DB4">
        <w:rPr>
          <w:rFonts w:asciiTheme="majorHAnsi" w:hAnsiTheme="majorHAnsi"/>
          <w:sz w:val="23"/>
          <w:szCs w:val="23"/>
        </w:rPr>
        <w:t xml:space="preserve"> points de pourcentage.</w:t>
      </w:r>
    </w:p>
    <w:p w:rsidR="00795202" w:rsidRDefault="00795202" w:rsidP="00DF67E7">
      <w:pPr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lastRenderedPageBreak/>
        <w:t>Graphique 1 : Evolution de la part des jeunes 15-34 ans sans aucun niveau scolaire selon le milieu et le sexe 2000-20</w:t>
      </w:r>
      <w:r w:rsidR="00DF67E7">
        <w:rPr>
          <w:rFonts w:asciiTheme="majorHAnsi" w:hAnsiTheme="majorHAnsi"/>
          <w:b/>
          <w:bCs/>
          <w:sz w:val="23"/>
          <w:szCs w:val="23"/>
        </w:rPr>
        <w:t>22</w:t>
      </w:r>
    </w:p>
    <w:p w:rsidR="00DF67E7" w:rsidRDefault="00DF67E7" w:rsidP="00DF67E7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noProof/>
          <w:lang w:eastAsia="fr-FR"/>
        </w:rPr>
        <w:drawing>
          <wp:inline distT="0" distB="0" distL="0" distR="0">
            <wp:extent cx="4572000" cy="2400300"/>
            <wp:effectExtent l="0" t="0" r="19050" b="1905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5202" w:rsidRPr="00795202" w:rsidRDefault="00795202" w:rsidP="00DF67E7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>Source : Enquêtes Nationales sur l’Emploi 2000-20</w:t>
      </w:r>
      <w:r w:rsidR="00DF67E7">
        <w:rPr>
          <w:rFonts w:asciiTheme="majorHAnsi" w:hAnsiTheme="majorHAnsi"/>
          <w:b/>
          <w:bCs/>
          <w:sz w:val="23"/>
          <w:szCs w:val="23"/>
        </w:rPr>
        <w:t>22</w:t>
      </w:r>
      <w:r w:rsidRPr="00795202">
        <w:rPr>
          <w:rFonts w:asciiTheme="majorHAnsi" w:hAnsiTheme="majorHAnsi"/>
          <w:b/>
          <w:bCs/>
          <w:sz w:val="23"/>
          <w:szCs w:val="23"/>
        </w:rPr>
        <w:t>, HCP.</w:t>
      </w:r>
    </w:p>
    <w:p w:rsidR="00795202" w:rsidRDefault="00795202" w:rsidP="00084DB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</w:p>
    <w:p w:rsidR="00084DB4" w:rsidRDefault="00CC489D" w:rsidP="00DF67E7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A l’opposé, la part des jeunes ayant le niveau secondaire ou plus a connu une augmentation importante passant de 19,7% en 2000 à </w:t>
      </w:r>
      <w:r w:rsidR="00DF67E7">
        <w:rPr>
          <w:rFonts w:asciiTheme="majorHAnsi" w:hAnsiTheme="majorHAnsi"/>
          <w:sz w:val="23"/>
          <w:szCs w:val="23"/>
        </w:rPr>
        <w:t>42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% en 20</w:t>
      </w:r>
      <w:r w:rsidR="00DF67E7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 xml:space="preserve">. Les plus grandes performances sont également enregistrées parmi les femmes et les ruraux. L’écart des jeunes ayant le niveau secondaire ou plus entre les hommes et les femmes s’est </w:t>
      </w:r>
      <w:r w:rsidR="00DF67E7">
        <w:rPr>
          <w:rFonts w:asciiTheme="majorHAnsi" w:hAnsiTheme="majorHAnsi"/>
          <w:sz w:val="23"/>
          <w:szCs w:val="23"/>
        </w:rPr>
        <w:t>annulé</w:t>
      </w:r>
      <w:r>
        <w:rPr>
          <w:rFonts w:asciiTheme="majorHAnsi" w:hAnsiTheme="majorHAnsi"/>
          <w:sz w:val="23"/>
          <w:szCs w:val="23"/>
        </w:rPr>
        <w:t xml:space="preserve"> </w:t>
      </w:r>
      <w:r w:rsidR="00DF67E7">
        <w:rPr>
          <w:rFonts w:asciiTheme="majorHAnsi" w:hAnsiTheme="majorHAnsi"/>
          <w:sz w:val="23"/>
          <w:szCs w:val="23"/>
        </w:rPr>
        <w:t>après avoir été de 5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1</w:t>
      </w:r>
      <w:r>
        <w:rPr>
          <w:rFonts w:asciiTheme="majorHAnsi" w:hAnsiTheme="majorHAnsi"/>
          <w:sz w:val="23"/>
          <w:szCs w:val="23"/>
        </w:rPr>
        <w:t xml:space="preserve"> points de pourcentage en 2000. Pour les ruraux, cette part est passée de 5,0% à </w:t>
      </w:r>
      <w:r w:rsidR="00DF67E7">
        <w:rPr>
          <w:rFonts w:asciiTheme="majorHAnsi" w:hAnsiTheme="majorHAnsi"/>
          <w:sz w:val="23"/>
          <w:szCs w:val="23"/>
        </w:rPr>
        <w:t>21</w:t>
      </w:r>
      <w:r>
        <w:rPr>
          <w:rFonts w:asciiTheme="majorHAnsi" w:hAnsiTheme="majorHAnsi"/>
          <w:sz w:val="23"/>
          <w:szCs w:val="23"/>
        </w:rPr>
        <w:t>,</w:t>
      </w:r>
      <w:r w:rsidR="00DF67E7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>% respectivement.</w:t>
      </w:r>
    </w:p>
    <w:p w:rsidR="00035709" w:rsidRDefault="00035709" w:rsidP="00DF67E7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 xml:space="preserve">Graphique </w:t>
      </w:r>
      <w:r>
        <w:rPr>
          <w:rFonts w:asciiTheme="majorHAnsi" w:hAnsiTheme="majorHAnsi"/>
          <w:b/>
          <w:bCs/>
          <w:sz w:val="23"/>
          <w:szCs w:val="23"/>
        </w:rPr>
        <w:t>2</w:t>
      </w:r>
      <w:r w:rsidRPr="00795202">
        <w:rPr>
          <w:rFonts w:asciiTheme="majorHAnsi" w:hAnsiTheme="majorHAnsi"/>
          <w:b/>
          <w:bCs/>
          <w:sz w:val="23"/>
          <w:szCs w:val="23"/>
        </w:rPr>
        <w:t xml:space="preserve"> : Evolution de la part des jeunes 15-34 ans </w:t>
      </w:r>
      <w:r>
        <w:rPr>
          <w:rFonts w:asciiTheme="majorHAnsi" w:hAnsiTheme="majorHAnsi"/>
          <w:b/>
          <w:bCs/>
          <w:sz w:val="23"/>
          <w:szCs w:val="23"/>
        </w:rPr>
        <w:t>ayant le</w:t>
      </w:r>
      <w:r w:rsidRPr="00795202">
        <w:rPr>
          <w:rFonts w:asciiTheme="majorHAnsi" w:hAnsiTheme="majorHAnsi"/>
          <w:b/>
          <w:bCs/>
          <w:sz w:val="23"/>
          <w:szCs w:val="23"/>
        </w:rPr>
        <w:t xml:space="preserve"> niveau scolaire </w:t>
      </w:r>
      <w:r>
        <w:rPr>
          <w:rFonts w:asciiTheme="majorHAnsi" w:hAnsiTheme="majorHAnsi"/>
          <w:b/>
          <w:bCs/>
          <w:sz w:val="23"/>
          <w:szCs w:val="23"/>
        </w:rPr>
        <w:t xml:space="preserve">secondaire ou plus </w:t>
      </w:r>
      <w:r w:rsidRPr="00795202">
        <w:rPr>
          <w:rFonts w:asciiTheme="majorHAnsi" w:hAnsiTheme="majorHAnsi"/>
          <w:b/>
          <w:bCs/>
          <w:sz w:val="23"/>
          <w:szCs w:val="23"/>
        </w:rPr>
        <w:t>selon le milieu et le sexe 2000-20</w:t>
      </w:r>
      <w:r w:rsidR="00DF67E7">
        <w:rPr>
          <w:rFonts w:asciiTheme="majorHAnsi" w:hAnsiTheme="majorHAnsi"/>
          <w:b/>
          <w:bCs/>
          <w:sz w:val="23"/>
          <w:szCs w:val="23"/>
        </w:rPr>
        <w:t>22</w:t>
      </w:r>
    </w:p>
    <w:p w:rsidR="00B43CA1" w:rsidRDefault="00C36524" w:rsidP="00C36524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noProof/>
          <w:lang w:eastAsia="fr-FR"/>
        </w:rPr>
        <w:drawing>
          <wp:inline distT="0" distB="0" distL="0" distR="0">
            <wp:extent cx="4572000" cy="2255520"/>
            <wp:effectExtent l="0" t="0" r="19050" b="1143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36524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="00C36524" w:rsidRPr="00795202" w:rsidRDefault="00C36524" w:rsidP="00C36524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>Source : Enquêtes Nationales sur l’Emploi 2000-20</w:t>
      </w:r>
      <w:r>
        <w:rPr>
          <w:rFonts w:asciiTheme="majorHAnsi" w:hAnsiTheme="majorHAnsi"/>
          <w:b/>
          <w:bCs/>
          <w:sz w:val="23"/>
          <w:szCs w:val="23"/>
        </w:rPr>
        <w:t>22</w:t>
      </w:r>
      <w:r w:rsidRPr="00795202">
        <w:rPr>
          <w:rFonts w:asciiTheme="majorHAnsi" w:hAnsiTheme="majorHAnsi"/>
          <w:b/>
          <w:bCs/>
          <w:sz w:val="23"/>
          <w:szCs w:val="23"/>
        </w:rPr>
        <w:t>, HCP.</w:t>
      </w:r>
    </w:p>
    <w:p w:rsidR="00B43CA1" w:rsidRDefault="00B43CA1" w:rsidP="002676C8">
      <w:pPr>
        <w:rPr>
          <w:rFonts w:asciiTheme="majorHAnsi" w:hAnsiTheme="majorHAnsi"/>
          <w:b/>
          <w:bCs/>
          <w:sz w:val="23"/>
          <w:szCs w:val="23"/>
        </w:rPr>
      </w:pPr>
    </w:p>
    <w:p w:rsidR="00B43CA1" w:rsidRDefault="00B43CA1" w:rsidP="002676C8">
      <w:pPr>
        <w:rPr>
          <w:rFonts w:asciiTheme="majorHAnsi" w:hAnsiTheme="majorHAnsi"/>
          <w:b/>
          <w:bCs/>
          <w:sz w:val="23"/>
          <w:szCs w:val="23"/>
        </w:rPr>
      </w:pPr>
    </w:p>
    <w:p w:rsidR="00B43CA1" w:rsidRDefault="00B43CA1" w:rsidP="002676C8">
      <w:pPr>
        <w:rPr>
          <w:rFonts w:asciiTheme="majorHAnsi" w:hAnsiTheme="majorHAnsi"/>
          <w:b/>
          <w:bCs/>
          <w:sz w:val="23"/>
          <w:szCs w:val="23"/>
        </w:rPr>
      </w:pPr>
    </w:p>
    <w:p w:rsidR="00CC489D" w:rsidRDefault="00CC489D" w:rsidP="00B43CA1">
      <w:pPr>
        <w:jc w:val="both"/>
        <w:rPr>
          <w:rFonts w:asciiTheme="majorHAnsi" w:hAnsiTheme="majorHAnsi"/>
          <w:b/>
          <w:bCs/>
          <w:sz w:val="23"/>
          <w:szCs w:val="23"/>
        </w:rPr>
      </w:pPr>
      <w:r w:rsidRPr="00CC489D">
        <w:rPr>
          <w:rFonts w:asciiTheme="majorHAnsi" w:hAnsiTheme="majorHAnsi"/>
          <w:b/>
          <w:bCs/>
          <w:sz w:val="23"/>
          <w:szCs w:val="23"/>
        </w:rPr>
        <w:lastRenderedPageBreak/>
        <w:t>Une baisse continue des indicateurs d’</w:t>
      </w:r>
      <w:r w:rsidR="00B43CA1">
        <w:rPr>
          <w:rFonts w:asciiTheme="majorHAnsi" w:hAnsiTheme="majorHAnsi"/>
          <w:b/>
          <w:bCs/>
          <w:sz w:val="23"/>
          <w:szCs w:val="23"/>
        </w:rPr>
        <w:t>activité et d’emploi</w:t>
      </w:r>
      <w:r w:rsidRPr="00CC489D">
        <w:rPr>
          <w:rFonts w:asciiTheme="majorHAnsi" w:hAnsiTheme="majorHAnsi"/>
          <w:b/>
          <w:bCs/>
          <w:sz w:val="23"/>
          <w:szCs w:val="23"/>
        </w:rPr>
        <w:t xml:space="preserve"> des jeunes durant cette période</w:t>
      </w:r>
    </w:p>
    <w:p w:rsidR="00CC489D" w:rsidRDefault="00CC489D" w:rsidP="00C3652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Par rapport à l’insertion dans la vie active, la p</w:t>
      </w:r>
      <w:r w:rsidR="00542E36">
        <w:rPr>
          <w:rFonts w:asciiTheme="majorHAnsi" w:hAnsiTheme="majorHAnsi"/>
          <w:sz w:val="23"/>
          <w:szCs w:val="23"/>
        </w:rPr>
        <w:t>art des jeunes dans le marché de</w:t>
      </w:r>
      <w:r>
        <w:rPr>
          <w:rFonts w:asciiTheme="majorHAnsi" w:hAnsiTheme="majorHAnsi"/>
          <w:sz w:val="23"/>
          <w:szCs w:val="23"/>
        </w:rPr>
        <w:t xml:space="preserve"> travail </w:t>
      </w:r>
      <w:r w:rsidR="00542E36">
        <w:rPr>
          <w:rFonts w:asciiTheme="majorHAnsi" w:hAnsiTheme="majorHAnsi"/>
          <w:sz w:val="23"/>
          <w:szCs w:val="23"/>
        </w:rPr>
        <w:t>a régressé durant ces deux dernières décennies, en raison notamment de leur forte rétention dans le système scolaire. En effet, le taux d’activité des jeunes âgés de 15-34 ans est passé de 53,5% en 2000 à 4</w:t>
      </w:r>
      <w:r w:rsidR="00C36524">
        <w:rPr>
          <w:rFonts w:asciiTheme="majorHAnsi" w:hAnsiTheme="majorHAnsi"/>
          <w:sz w:val="23"/>
          <w:szCs w:val="23"/>
        </w:rPr>
        <w:t>1</w:t>
      </w:r>
      <w:r w:rsidR="00542E36"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2</w:t>
      </w:r>
      <w:r w:rsidR="00542E36">
        <w:rPr>
          <w:rFonts w:asciiTheme="majorHAnsi" w:hAnsiTheme="majorHAnsi"/>
          <w:sz w:val="23"/>
          <w:szCs w:val="23"/>
        </w:rPr>
        <w:t>% en 20</w:t>
      </w:r>
      <w:r w:rsidR="00C36524">
        <w:rPr>
          <w:rFonts w:asciiTheme="majorHAnsi" w:hAnsiTheme="majorHAnsi"/>
          <w:sz w:val="23"/>
          <w:szCs w:val="23"/>
        </w:rPr>
        <w:t>22</w:t>
      </w:r>
      <w:r w:rsidR="00542E36">
        <w:rPr>
          <w:rFonts w:asciiTheme="majorHAnsi" w:hAnsiTheme="majorHAnsi"/>
          <w:sz w:val="23"/>
          <w:szCs w:val="23"/>
        </w:rPr>
        <w:t xml:space="preserve">. En ce qui concerne le taux d’emploi, il est passé de 42,8% </w:t>
      </w:r>
      <w:r w:rsidR="00884E7D">
        <w:rPr>
          <w:rFonts w:asciiTheme="majorHAnsi" w:hAnsiTheme="majorHAnsi"/>
          <w:sz w:val="23"/>
          <w:szCs w:val="23"/>
        </w:rPr>
        <w:t xml:space="preserve">à </w:t>
      </w:r>
      <w:r w:rsidR="00C36524">
        <w:rPr>
          <w:rFonts w:asciiTheme="majorHAnsi" w:hAnsiTheme="majorHAnsi"/>
          <w:sz w:val="23"/>
          <w:szCs w:val="23"/>
        </w:rPr>
        <w:t>31</w:t>
      </w:r>
      <w:r w:rsidR="00884E7D"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8</w:t>
      </w:r>
      <w:r w:rsidR="00884E7D">
        <w:rPr>
          <w:rFonts w:asciiTheme="majorHAnsi" w:hAnsiTheme="majorHAnsi"/>
          <w:sz w:val="23"/>
          <w:szCs w:val="23"/>
        </w:rPr>
        <w:t>% durant la même période.</w:t>
      </w:r>
    </w:p>
    <w:p w:rsidR="007C1839" w:rsidRDefault="007C1839" w:rsidP="00C36524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 xml:space="preserve">Graphique </w:t>
      </w:r>
      <w:r w:rsidR="00206B52">
        <w:rPr>
          <w:rFonts w:asciiTheme="majorHAnsi" w:hAnsiTheme="majorHAnsi"/>
          <w:b/>
          <w:bCs/>
          <w:sz w:val="23"/>
          <w:szCs w:val="23"/>
        </w:rPr>
        <w:t>3</w:t>
      </w:r>
      <w:r w:rsidRPr="00795202">
        <w:rPr>
          <w:rFonts w:asciiTheme="majorHAnsi" w:hAnsiTheme="majorHAnsi"/>
          <w:b/>
          <w:bCs/>
          <w:sz w:val="23"/>
          <w:szCs w:val="23"/>
        </w:rPr>
        <w:t> : Evolution de</w:t>
      </w:r>
      <w:r>
        <w:rPr>
          <w:rFonts w:asciiTheme="majorHAnsi" w:hAnsiTheme="majorHAnsi"/>
          <w:b/>
          <w:bCs/>
          <w:sz w:val="23"/>
          <w:szCs w:val="23"/>
        </w:rPr>
        <w:t xml:space="preserve">s taux d’activité et d’emploi </w:t>
      </w:r>
      <w:r w:rsidRPr="00795202">
        <w:rPr>
          <w:rFonts w:asciiTheme="majorHAnsi" w:hAnsiTheme="majorHAnsi"/>
          <w:b/>
          <w:bCs/>
          <w:sz w:val="23"/>
          <w:szCs w:val="23"/>
        </w:rPr>
        <w:t>des jeunes 15-34 ans selon le milieu et le sexe 2000-20</w:t>
      </w:r>
      <w:r w:rsidR="00C36524">
        <w:rPr>
          <w:rFonts w:asciiTheme="majorHAnsi" w:hAnsiTheme="majorHAnsi"/>
          <w:b/>
          <w:bCs/>
          <w:sz w:val="23"/>
          <w:szCs w:val="23"/>
        </w:rPr>
        <w:t>22</w:t>
      </w:r>
    </w:p>
    <w:p w:rsidR="00C36524" w:rsidRDefault="00C36524" w:rsidP="00C36524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noProof/>
          <w:lang w:eastAsia="fr-FR"/>
        </w:rPr>
        <w:drawing>
          <wp:inline distT="0" distB="0" distL="0" distR="0">
            <wp:extent cx="4572000" cy="2430780"/>
            <wp:effectExtent l="0" t="0" r="19050" b="2667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36524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="00C36524" w:rsidRPr="00795202" w:rsidRDefault="00C36524" w:rsidP="00C36524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>Source : Enquêtes Nationales sur l’Emploi 2000-20</w:t>
      </w:r>
      <w:r>
        <w:rPr>
          <w:rFonts w:asciiTheme="majorHAnsi" w:hAnsiTheme="majorHAnsi"/>
          <w:b/>
          <w:bCs/>
          <w:sz w:val="23"/>
          <w:szCs w:val="23"/>
        </w:rPr>
        <w:t>22</w:t>
      </w:r>
      <w:r w:rsidRPr="00795202">
        <w:rPr>
          <w:rFonts w:asciiTheme="majorHAnsi" w:hAnsiTheme="majorHAnsi"/>
          <w:b/>
          <w:bCs/>
          <w:sz w:val="23"/>
          <w:szCs w:val="23"/>
        </w:rPr>
        <w:t>, HCP.</w:t>
      </w:r>
    </w:p>
    <w:p w:rsidR="00C36524" w:rsidRDefault="00C36524" w:rsidP="00C36524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</w:p>
    <w:p w:rsidR="00884E7D" w:rsidRDefault="00884E7D" w:rsidP="00C3652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Durant la même période, le chômage des jeunes a </w:t>
      </w:r>
      <w:r w:rsidR="00C36524">
        <w:rPr>
          <w:rFonts w:asciiTheme="majorHAnsi" w:hAnsiTheme="majorHAnsi"/>
          <w:sz w:val="23"/>
          <w:szCs w:val="23"/>
        </w:rPr>
        <w:t>augmenté</w:t>
      </w:r>
      <w:r>
        <w:rPr>
          <w:rFonts w:asciiTheme="majorHAnsi" w:hAnsiTheme="majorHAnsi"/>
          <w:sz w:val="23"/>
          <w:szCs w:val="23"/>
        </w:rPr>
        <w:t xml:space="preserve"> de </w:t>
      </w:r>
      <w:r w:rsidR="00C36524">
        <w:rPr>
          <w:rFonts w:asciiTheme="majorHAnsi" w:hAnsiTheme="majorHAnsi"/>
          <w:sz w:val="23"/>
          <w:szCs w:val="23"/>
        </w:rPr>
        <w:t>2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 xml:space="preserve"> points de pourcentage passant de 20,0% en 2000 à </w:t>
      </w:r>
      <w:r w:rsidR="00C36524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>% en 20</w:t>
      </w:r>
      <w:r w:rsidR="00C36524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>, avec au passage un taux de chômage de 14,8% seulement en 2014. Le chômage des jeunes touche davantage les citadins, les femmes et les diplômés.</w:t>
      </w:r>
    </w:p>
    <w:p w:rsidR="00F97F21" w:rsidRDefault="00F97F21" w:rsidP="00C3652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En effet, en 20</w:t>
      </w:r>
      <w:r w:rsidR="00C36524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>, p</w:t>
      </w:r>
      <w:r w:rsidR="00C36524">
        <w:rPr>
          <w:rFonts w:asciiTheme="majorHAnsi" w:hAnsiTheme="majorHAnsi"/>
          <w:sz w:val="23"/>
          <w:szCs w:val="23"/>
        </w:rPr>
        <w:t>rès</w:t>
      </w:r>
      <w:r>
        <w:rPr>
          <w:rFonts w:asciiTheme="majorHAnsi" w:hAnsiTheme="majorHAnsi"/>
          <w:sz w:val="23"/>
          <w:szCs w:val="23"/>
        </w:rPr>
        <w:t xml:space="preserve"> d’une femme </w:t>
      </w:r>
      <w:r w:rsidR="00F4166D">
        <w:rPr>
          <w:rFonts w:asciiTheme="majorHAnsi" w:hAnsiTheme="majorHAnsi"/>
          <w:sz w:val="23"/>
          <w:szCs w:val="23"/>
        </w:rPr>
        <w:t xml:space="preserve">active </w:t>
      </w:r>
      <w:r>
        <w:rPr>
          <w:rFonts w:asciiTheme="majorHAnsi" w:hAnsiTheme="majorHAnsi"/>
          <w:sz w:val="23"/>
          <w:szCs w:val="23"/>
        </w:rPr>
        <w:t xml:space="preserve">âgée de 15-34 ans sur </w:t>
      </w:r>
      <w:r w:rsidR="00C36524">
        <w:rPr>
          <w:rFonts w:asciiTheme="majorHAnsi" w:hAnsiTheme="majorHAnsi"/>
          <w:sz w:val="23"/>
          <w:szCs w:val="23"/>
        </w:rPr>
        <w:t>trois</w:t>
      </w:r>
      <w:r>
        <w:rPr>
          <w:rFonts w:asciiTheme="majorHAnsi" w:hAnsiTheme="majorHAnsi"/>
          <w:sz w:val="23"/>
          <w:szCs w:val="23"/>
        </w:rPr>
        <w:t xml:space="preserve"> (</w:t>
      </w:r>
      <w:r w:rsidR="00C36524">
        <w:rPr>
          <w:rFonts w:asciiTheme="majorHAnsi" w:hAnsiTheme="majorHAnsi"/>
          <w:sz w:val="23"/>
          <w:szCs w:val="23"/>
        </w:rPr>
        <w:t>32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%) est en situation de chômage contre 1</w:t>
      </w:r>
      <w:r w:rsidR="00C36524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 xml:space="preserve">% pour les hommes. Selon le milieu de résidence, le taux de chômage des citadins s’élève à </w:t>
      </w:r>
      <w:r w:rsidR="00C36524">
        <w:rPr>
          <w:rFonts w:asciiTheme="majorHAnsi" w:hAnsiTheme="majorHAnsi"/>
          <w:sz w:val="23"/>
          <w:szCs w:val="23"/>
        </w:rPr>
        <w:t>29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 xml:space="preserve">% contre </w:t>
      </w:r>
      <w:r w:rsidR="00C36524">
        <w:rPr>
          <w:rFonts w:asciiTheme="majorHAnsi" w:hAnsiTheme="majorHAnsi"/>
          <w:sz w:val="23"/>
          <w:szCs w:val="23"/>
        </w:rPr>
        <w:t>10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% parmi les ruraux.</w:t>
      </w:r>
    </w:p>
    <w:p w:rsidR="00884E7D" w:rsidRDefault="00F97F21" w:rsidP="00B43CA1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Selon le diplôme, le taux de chômage des jeunes ayant un diplôme supérieur</w:t>
      </w:r>
      <w:r>
        <w:rPr>
          <w:rStyle w:val="Appelnotedebasdep"/>
          <w:rFonts w:asciiTheme="majorHAnsi" w:hAnsiTheme="majorHAnsi"/>
          <w:sz w:val="23"/>
          <w:szCs w:val="23"/>
        </w:rPr>
        <w:footnoteReference w:id="1"/>
      </w:r>
      <w:r>
        <w:rPr>
          <w:rFonts w:asciiTheme="majorHAnsi" w:hAnsiTheme="majorHAnsi"/>
          <w:sz w:val="23"/>
          <w:szCs w:val="23"/>
        </w:rPr>
        <w:t xml:space="preserve"> (</w:t>
      </w:r>
      <w:r w:rsidR="00B43CA1">
        <w:rPr>
          <w:rFonts w:asciiTheme="majorHAnsi" w:hAnsiTheme="majorHAnsi"/>
          <w:sz w:val="23"/>
          <w:szCs w:val="23"/>
        </w:rPr>
        <w:t>40</w:t>
      </w:r>
      <w:r>
        <w:rPr>
          <w:rFonts w:asciiTheme="majorHAnsi" w:hAnsiTheme="majorHAnsi"/>
          <w:sz w:val="23"/>
          <w:szCs w:val="23"/>
        </w:rPr>
        <w:t>,</w:t>
      </w:r>
      <w:r w:rsidR="00B43CA1">
        <w:rPr>
          <w:rFonts w:asciiTheme="majorHAnsi" w:hAnsiTheme="majorHAnsi"/>
          <w:sz w:val="23"/>
          <w:szCs w:val="23"/>
        </w:rPr>
        <w:t>3</w:t>
      </w:r>
      <w:r>
        <w:rPr>
          <w:rFonts w:asciiTheme="majorHAnsi" w:hAnsiTheme="majorHAnsi"/>
          <w:sz w:val="23"/>
          <w:szCs w:val="23"/>
        </w:rPr>
        <w:t>%) est près du double que celui des jeunes ayant un diplôme de niveau moyen</w:t>
      </w:r>
      <w:r w:rsidR="003B42F3">
        <w:rPr>
          <w:rStyle w:val="Appelnotedebasdep"/>
          <w:rFonts w:asciiTheme="majorHAnsi" w:hAnsiTheme="majorHAnsi"/>
          <w:sz w:val="23"/>
          <w:szCs w:val="23"/>
        </w:rPr>
        <w:footnoteReference w:id="2"/>
      </w:r>
      <w:r>
        <w:rPr>
          <w:rFonts w:asciiTheme="majorHAnsi" w:hAnsiTheme="majorHAnsi"/>
          <w:sz w:val="23"/>
          <w:szCs w:val="23"/>
        </w:rPr>
        <w:t xml:space="preserve"> (20,</w:t>
      </w:r>
      <w:r w:rsidR="00B43CA1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 xml:space="preserve">%) et plus de </w:t>
      </w:r>
      <w:r w:rsidR="00B43CA1">
        <w:rPr>
          <w:rFonts w:asciiTheme="majorHAnsi" w:hAnsiTheme="majorHAnsi"/>
          <w:sz w:val="23"/>
          <w:szCs w:val="23"/>
        </w:rPr>
        <w:t>cinq</w:t>
      </w:r>
      <w:r>
        <w:rPr>
          <w:rFonts w:asciiTheme="majorHAnsi" w:hAnsiTheme="majorHAnsi"/>
          <w:sz w:val="23"/>
          <w:szCs w:val="23"/>
        </w:rPr>
        <w:t xml:space="preserve"> fois que celui des jeunes sans diplôme (</w:t>
      </w:r>
      <w:r w:rsidR="00B43CA1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,</w:t>
      </w:r>
      <w:r w:rsidR="00B43CA1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 xml:space="preserve">%). </w:t>
      </w:r>
    </w:p>
    <w:p w:rsidR="00C36524" w:rsidRDefault="00C36524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br w:type="page"/>
      </w:r>
    </w:p>
    <w:p w:rsidR="00206B52" w:rsidRDefault="00206B52" w:rsidP="00C36524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lastRenderedPageBreak/>
        <w:t xml:space="preserve">Graphique </w:t>
      </w:r>
      <w:r>
        <w:rPr>
          <w:rFonts w:asciiTheme="majorHAnsi" w:hAnsiTheme="majorHAnsi"/>
          <w:b/>
          <w:bCs/>
          <w:sz w:val="23"/>
          <w:szCs w:val="23"/>
        </w:rPr>
        <w:t>4</w:t>
      </w:r>
      <w:r w:rsidRPr="00795202">
        <w:rPr>
          <w:rFonts w:asciiTheme="majorHAnsi" w:hAnsiTheme="majorHAnsi"/>
          <w:b/>
          <w:bCs/>
          <w:sz w:val="23"/>
          <w:szCs w:val="23"/>
        </w:rPr>
        <w:t xml:space="preserve"> : </w:t>
      </w:r>
      <w:r>
        <w:rPr>
          <w:rFonts w:asciiTheme="majorHAnsi" w:hAnsiTheme="majorHAnsi"/>
          <w:b/>
          <w:bCs/>
          <w:sz w:val="23"/>
          <w:szCs w:val="23"/>
        </w:rPr>
        <w:t xml:space="preserve">Taux de chômage des jeunes de 15-34 ans </w:t>
      </w:r>
      <w:r w:rsidR="00B43CA1">
        <w:rPr>
          <w:rFonts w:asciiTheme="majorHAnsi" w:hAnsiTheme="majorHAnsi"/>
          <w:b/>
          <w:bCs/>
          <w:sz w:val="23"/>
          <w:szCs w:val="23"/>
        </w:rPr>
        <w:t>–</w:t>
      </w:r>
      <w:r>
        <w:rPr>
          <w:rFonts w:asciiTheme="majorHAnsi" w:hAnsiTheme="majorHAnsi"/>
          <w:b/>
          <w:bCs/>
          <w:sz w:val="23"/>
          <w:szCs w:val="23"/>
        </w:rPr>
        <w:t xml:space="preserve"> 20</w:t>
      </w:r>
      <w:r w:rsidR="00C36524">
        <w:rPr>
          <w:rFonts w:asciiTheme="majorHAnsi" w:hAnsiTheme="majorHAnsi"/>
          <w:b/>
          <w:bCs/>
          <w:sz w:val="23"/>
          <w:szCs w:val="23"/>
        </w:rPr>
        <w:t>22</w:t>
      </w:r>
    </w:p>
    <w:p w:rsidR="00B43CA1" w:rsidRDefault="00B43CA1" w:rsidP="00B43CA1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noProof/>
          <w:lang w:eastAsia="fr-FR"/>
        </w:rPr>
        <w:drawing>
          <wp:inline distT="0" distB="0" distL="0" distR="0">
            <wp:extent cx="4511040" cy="2308860"/>
            <wp:effectExtent l="0" t="0" r="22860" b="1524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6B52" w:rsidRPr="00795202" w:rsidRDefault="00206B52" w:rsidP="00B43CA1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>Source : Enquêtes Nationales sur l’Emploi 2000-20</w:t>
      </w:r>
      <w:r w:rsidR="00C36524">
        <w:rPr>
          <w:rFonts w:asciiTheme="majorHAnsi" w:hAnsiTheme="majorHAnsi"/>
          <w:b/>
          <w:bCs/>
          <w:sz w:val="23"/>
          <w:szCs w:val="23"/>
        </w:rPr>
        <w:t>22</w:t>
      </w:r>
      <w:r w:rsidRPr="00795202">
        <w:rPr>
          <w:rFonts w:asciiTheme="majorHAnsi" w:hAnsiTheme="majorHAnsi"/>
          <w:b/>
          <w:bCs/>
          <w:sz w:val="23"/>
          <w:szCs w:val="23"/>
        </w:rPr>
        <w:t>, HCP.</w:t>
      </w:r>
    </w:p>
    <w:p w:rsidR="00206B52" w:rsidRDefault="00206B52" w:rsidP="00206B52">
      <w:pPr>
        <w:spacing w:line="300" w:lineRule="auto"/>
        <w:jc w:val="center"/>
        <w:rPr>
          <w:rFonts w:asciiTheme="majorHAnsi" w:hAnsiTheme="majorHAnsi"/>
          <w:sz w:val="23"/>
          <w:szCs w:val="23"/>
        </w:rPr>
      </w:pPr>
    </w:p>
    <w:p w:rsidR="003B42F3" w:rsidRPr="003B42F3" w:rsidRDefault="003B42F3" w:rsidP="003B42F3">
      <w:pPr>
        <w:spacing w:line="30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3B42F3">
        <w:rPr>
          <w:rFonts w:asciiTheme="majorHAnsi" w:hAnsiTheme="majorHAnsi"/>
          <w:b/>
          <w:bCs/>
          <w:sz w:val="23"/>
          <w:szCs w:val="23"/>
        </w:rPr>
        <w:t xml:space="preserve">Une </w:t>
      </w:r>
      <w:r>
        <w:rPr>
          <w:rFonts w:asciiTheme="majorHAnsi" w:hAnsiTheme="majorHAnsi"/>
          <w:b/>
          <w:bCs/>
          <w:sz w:val="23"/>
          <w:szCs w:val="23"/>
        </w:rPr>
        <w:t>nette</w:t>
      </w:r>
      <w:r w:rsidRPr="003B42F3">
        <w:rPr>
          <w:rFonts w:asciiTheme="majorHAnsi" w:hAnsiTheme="majorHAnsi"/>
          <w:b/>
          <w:bCs/>
          <w:sz w:val="23"/>
          <w:szCs w:val="23"/>
        </w:rPr>
        <w:t xml:space="preserve"> amélioration de l’emploi formel pour les jeunes</w:t>
      </w:r>
      <w:r>
        <w:rPr>
          <w:rFonts w:asciiTheme="majorHAnsi" w:hAnsiTheme="majorHAnsi"/>
          <w:b/>
          <w:bCs/>
          <w:sz w:val="23"/>
          <w:szCs w:val="23"/>
        </w:rPr>
        <w:t xml:space="preserve"> durant les deux dernières décennies</w:t>
      </w:r>
    </w:p>
    <w:p w:rsidR="003B42F3" w:rsidRDefault="003B42F3" w:rsidP="00C3652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Selon la qualité de l’emploi, quoique seulement un jeune actif occupé sur </w:t>
      </w:r>
      <w:r w:rsidR="00C36524">
        <w:rPr>
          <w:rFonts w:asciiTheme="majorHAnsi" w:hAnsiTheme="majorHAnsi"/>
          <w:sz w:val="23"/>
          <w:szCs w:val="23"/>
        </w:rPr>
        <w:t>quatre</w:t>
      </w:r>
      <w:r>
        <w:rPr>
          <w:rFonts w:asciiTheme="majorHAnsi" w:hAnsiTheme="majorHAnsi"/>
          <w:sz w:val="23"/>
          <w:szCs w:val="23"/>
        </w:rPr>
        <w:t xml:space="preserve"> (2</w:t>
      </w:r>
      <w:r w:rsidR="00C36524">
        <w:rPr>
          <w:rFonts w:asciiTheme="majorHAnsi" w:hAnsiTheme="majorHAnsi"/>
          <w:sz w:val="23"/>
          <w:szCs w:val="23"/>
        </w:rPr>
        <w:t>4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%) exerce un emploi formel</w:t>
      </w:r>
      <w:r>
        <w:rPr>
          <w:rStyle w:val="Appelnotedebasdep"/>
          <w:rFonts w:asciiTheme="majorHAnsi" w:hAnsiTheme="majorHAnsi"/>
          <w:sz w:val="23"/>
          <w:szCs w:val="23"/>
        </w:rPr>
        <w:footnoteReference w:id="3"/>
      </w:r>
      <w:r>
        <w:rPr>
          <w:rFonts w:asciiTheme="majorHAnsi" w:hAnsiTheme="majorHAnsi"/>
          <w:sz w:val="23"/>
          <w:szCs w:val="23"/>
        </w:rPr>
        <w:t xml:space="preserve">, nous notons qu’il y a une nette amélioration de l’emploi des jeunes durant les deux dernières décennies. En 2000, 6,8% des jeunes actifs occupés âgés de 15-34 ans disposaient d’une assurance maladie liée à l’emploi, soit </w:t>
      </w:r>
      <w:r w:rsidR="00C36524">
        <w:rPr>
          <w:rFonts w:asciiTheme="majorHAnsi" w:hAnsiTheme="majorHAnsi"/>
          <w:sz w:val="23"/>
          <w:szCs w:val="23"/>
        </w:rPr>
        <w:t>près</w:t>
      </w:r>
      <w:r>
        <w:rPr>
          <w:rFonts w:asciiTheme="majorHAnsi" w:hAnsiTheme="majorHAnsi"/>
          <w:sz w:val="23"/>
          <w:szCs w:val="23"/>
        </w:rPr>
        <w:t xml:space="preserve"> du </w:t>
      </w:r>
      <w:r w:rsidR="00C36524">
        <w:rPr>
          <w:rFonts w:asciiTheme="majorHAnsi" w:hAnsiTheme="majorHAnsi"/>
          <w:sz w:val="23"/>
          <w:szCs w:val="23"/>
        </w:rPr>
        <w:t xml:space="preserve">quart seulement </w:t>
      </w:r>
      <w:r>
        <w:rPr>
          <w:rFonts w:asciiTheme="majorHAnsi" w:hAnsiTheme="majorHAnsi"/>
          <w:sz w:val="23"/>
          <w:szCs w:val="23"/>
        </w:rPr>
        <w:t xml:space="preserve"> du niveau observé en 20</w:t>
      </w:r>
      <w:r w:rsidR="00C36524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>.</w:t>
      </w:r>
    </w:p>
    <w:p w:rsidR="003B42F3" w:rsidRDefault="003B42F3" w:rsidP="00C36524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L’exercice d’un emploi formel est plus répandu par</w:t>
      </w:r>
      <w:r w:rsidR="00CC2C7B">
        <w:rPr>
          <w:rFonts w:asciiTheme="majorHAnsi" w:hAnsiTheme="majorHAnsi"/>
          <w:sz w:val="23"/>
          <w:szCs w:val="23"/>
        </w:rPr>
        <w:t>mi</w:t>
      </w:r>
      <w:r>
        <w:rPr>
          <w:rFonts w:asciiTheme="majorHAnsi" w:hAnsiTheme="majorHAnsi"/>
          <w:sz w:val="23"/>
          <w:szCs w:val="23"/>
        </w:rPr>
        <w:t xml:space="preserve"> les jeunes femmes (</w:t>
      </w:r>
      <w:r w:rsidR="00C36524">
        <w:rPr>
          <w:rFonts w:asciiTheme="majorHAnsi" w:hAnsiTheme="majorHAnsi"/>
          <w:sz w:val="23"/>
          <w:szCs w:val="23"/>
        </w:rPr>
        <w:t>38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2</w:t>
      </w:r>
      <w:r>
        <w:rPr>
          <w:rFonts w:asciiTheme="majorHAnsi" w:hAnsiTheme="majorHAnsi"/>
          <w:sz w:val="23"/>
          <w:szCs w:val="23"/>
        </w:rPr>
        <w:t>%) que parmi les hommes (</w:t>
      </w:r>
      <w:r w:rsidR="00C36524">
        <w:rPr>
          <w:rFonts w:asciiTheme="majorHAnsi" w:hAnsiTheme="majorHAnsi"/>
          <w:sz w:val="23"/>
          <w:szCs w:val="23"/>
        </w:rPr>
        <w:t>21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1</w:t>
      </w:r>
      <w:r>
        <w:rPr>
          <w:rFonts w:asciiTheme="majorHAnsi" w:hAnsiTheme="majorHAnsi"/>
          <w:sz w:val="23"/>
          <w:szCs w:val="23"/>
        </w:rPr>
        <w:t>%) et parmi les citadins (3</w:t>
      </w:r>
      <w:r w:rsidR="00C36524">
        <w:rPr>
          <w:rFonts w:asciiTheme="majorHAnsi" w:hAnsiTheme="majorHAnsi"/>
          <w:sz w:val="23"/>
          <w:szCs w:val="23"/>
        </w:rPr>
        <w:t>6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2</w:t>
      </w:r>
      <w:r>
        <w:rPr>
          <w:rFonts w:asciiTheme="majorHAnsi" w:hAnsiTheme="majorHAnsi"/>
          <w:sz w:val="23"/>
          <w:szCs w:val="23"/>
        </w:rPr>
        <w:t>%) que parmi les ruraux (</w:t>
      </w:r>
      <w:r w:rsidR="00C36524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>,</w:t>
      </w:r>
      <w:r w:rsidR="00C36524">
        <w:rPr>
          <w:rFonts w:asciiTheme="majorHAnsi" w:hAnsiTheme="majorHAnsi"/>
          <w:sz w:val="23"/>
          <w:szCs w:val="23"/>
        </w:rPr>
        <w:t>9</w:t>
      </w:r>
      <w:r>
        <w:rPr>
          <w:rFonts w:asciiTheme="majorHAnsi" w:hAnsiTheme="majorHAnsi"/>
          <w:sz w:val="23"/>
          <w:szCs w:val="23"/>
        </w:rPr>
        <w:t>%).</w:t>
      </w:r>
    </w:p>
    <w:p w:rsidR="005E45FD" w:rsidRDefault="005E45FD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br w:type="page"/>
      </w:r>
    </w:p>
    <w:p w:rsidR="005E45FD" w:rsidRDefault="005E45FD" w:rsidP="00C36524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lastRenderedPageBreak/>
        <w:t xml:space="preserve">Graphique </w:t>
      </w:r>
      <w:r>
        <w:rPr>
          <w:rFonts w:asciiTheme="majorHAnsi" w:hAnsiTheme="majorHAnsi"/>
          <w:b/>
          <w:bCs/>
          <w:sz w:val="23"/>
          <w:szCs w:val="23"/>
        </w:rPr>
        <w:t>5</w:t>
      </w:r>
      <w:r w:rsidRPr="00795202">
        <w:rPr>
          <w:rFonts w:asciiTheme="majorHAnsi" w:hAnsiTheme="majorHAnsi"/>
          <w:b/>
          <w:bCs/>
          <w:sz w:val="23"/>
          <w:szCs w:val="23"/>
        </w:rPr>
        <w:t xml:space="preserve"> : Evolution de la part </w:t>
      </w:r>
      <w:r>
        <w:rPr>
          <w:rFonts w:asciiTheme="majorHAnsi" w:hAnsiTheme="majorHAnsi"/>
          <w:b/>
          <w:bCs/>
          <w:sz w:val="23"/>
          <w:szCs w:val="23"/>
        </w:rPr>
        <w:t xml:space="preserve">de l’emploi formel </w:t>
      </w:r>
      <w:r w:rsidRPr="00795202">
        <w:rPr>
          <w:rFonts w:asciiTheme="majorHAnsi" w:hAnsiTheme="majorHAnsi"/>
          <w:b/>
          <w:bCs/>
          <w:sz w:val="23"/>
          <w:szCs w:val="23"/>
        </w:rPr>
        <w:t>des jeunes 15-34 ans selon le milieu et le sexe 2000-20</w:t>
      </w:r>
      <w:r w:rsidR="00C36524">
        <w:rPr>
          <w:rFonts w:asciiTheme="majorHAnsi" w:hAnsiTheme="majorHAnsi"/>
          <w:b/>
          <w:bCs/>
          <w:sz w:val="23"/>
          <w:szCs w:val="23"/>
        </w:rPr>
        <w:t>22</w:t>
      </w:r>
    </w:p>
    <w:p w:rsidR="00E52AAD" w:rsidRDefault="00E52AAD" w:rsidP="00E52AAD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noProof/>
          <w:lang w:eastAsia="fr-FR"/>
        </w:rPr>
        <w:drawing>
          <wp:inline distT="0" distB="0" distL="0" distR="0">
            <wp:extent cx="4259580" cy="2164080"/>
            <wp:effectExtent l="0" t="0" r="26670" b="2667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52AAD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="00E52AAD" w:rsidRPr="00795202" w:rsidRDefault="00E52AAD" w:rsidP="00E52AAD">
      <w:pPr>
        <w:spacing w:after="0" w:line="24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95202">
        <w:rPr>
          <w:rFonts w:asciiTheme="majorHAnsi" w:hAnsiTheme="majorHAnsi"/>
          <w:b/>
          <w:bCs/>
          <w:sz w:val="23"/>
          <w:szCs w:val="23"/>
        </w:rPr>
        <w:t>Source : Enquêtes Nationales sur l’Emploi 2000-20</w:t>
      </w:r>
      <w:r>
        <w:rPr>
          <w:rFonts w:asciiTheme="majorHAnsi" w:hAnsiTheme="majorHAnsi"/>
          <w:b/>
          <w:bCs/>
          <w:sz w:val="23"/>
          <w:szCs w:val="23"/>
        </w:rPr>
        <w:t>22</w:t>
      </w:r>
      <w:r w:rsidRPr="00795202">
        <w:rPr>
          <w:rFonts w:asciiTheme="majorHAnsi" w:hAnsiTheme="majorHAnsi"/>
          <w:b/>
          <w:bCs/>
          <w:sz w:val="23"/>
          <w:szCs w:val="23"/>
        </w:rPr>
        <w:t>, HCP.</w:t>
      </w:r>
    </w:p>
    <w:p w:rsidR="00E52AAD" w:rsidRDefault="00E52AAD" w:rsidP="00C36524">
      <w:pPr>
        <w:spacing w:line="300" w:lineRule="auto"/>
        <w:jc w:val="center"/>
        <w:rPr>
          <w:rFonts w:asciiTheme="majorHAnsi" w:hAnsiTheme="majorHAnsi"/>
          <w:b/>
          <w:bCs/>
          <w:sz w:val="23"/>
          <w:szCs w:val="23"/>
        </w:rPr>
      </w:pPr>
    </w:p>
    <w:p w:rsidR="003B42F3" w:rsidRDefault="007F1F70" w:rsidP="00FD1722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Dans un autre registre, l’exercice d’un emploi en dessous de la qualification des jeunes diplômés a pris de l’ampleur durant cette période. En effet, en 20</w:t>
      </w:r>
      <w:r w:rsidR="00FD1722">
        <w:rPr>
          <w:rFonts w:asciiTheme="majorHAnsi" w:hAnsiTheme="majorHAnsi"/>
          <w:sz w:val="23"/>
          <w:szCs w:val="23"/>
        </w:rPr>
        <w:t>22</w:t>
      </w:r>
      <w:r>
        <w:rPr>
          <w:rFonts w:asciiTheme="majorHAnsi" w:hAnsiTheme="majorHAnsi"/>
          <w:sz w:val="23"/>
          <w:szCs w:val="23"/>
        </w:rPr>
        <w:t xml:space="preserve">, </w:t>
      </w:r>
      <w:r w:rsidR="00FD1722">
        <w:rPr>
          <w:rFonts w:asciiTheme="majorHAnsi" w:hAnsiTheme="majorHAnsi"/>
          <w:sz w:val="23"/>
          <w:szCs w:val="23"/>
        </w:rPr>
        <w:t>50</w:t>
      </w:r>
      <w:r>
        <w:rPr>
          <w:rFonts w:asciiTheme="majorHAnsi" w:hAnsiTheme="majorHAnsi"/>
          <w:sz w:val="23"/>
          <w:szCs w:val="23"/>
        </w:rPr>
        <w:t>,8% des jeunes ayant un diplôme autre que le diplôme de l’enseignement fondamental exercent un emploi en dessous de leur qualification (déclassement)</w:t>
      </w:r>
      <w:r w:rsidR="000033A9">
        <w:rPr>
          <w:rFonts w:asciiTheme="majorHAnsi" w:hAnsiTheme="majorHAnsi"/>
          <w:sz w:val="23"/>
          <w:szCs w:val="23"/>
        </w:rPr>
        <w:t>, contre 35,0</w:t>
      </w:r>
      <w:r w:rsidR="009862E2">
        <w:rPr>
          <w:rFonts w:asciiTheme="majorHAnsi" w:hAnsiTheme="majorHAnsi"/>
          <w:sz w:val="23"/>
          <w:szCs w:val="23"/>
        </w:rPr>
        <w:t>% en</w:t>
      </w:r>
      <w:r w:rsidR="000033A9">
        <w:rPr>
          <w:rFonts w:asciiTheme="majorHAnsi" w:hAnsiTheme="majorHAnsi"/>
          <w:sz w:val="23"/>
          <w:szCs w:val="23"/>
        </w:rPr>
        <w:t xml:space="preserve"> 2000.</w:t>
      </w:r>
      <w:r>
        <w:rPr>
          <w:rFonts w:asciiTheme="majorHAnsi" w:hAnsiTheme="majorHAnsi"/>
          <w:sz w:val="23"/>
          <w:szCs w:val="23"/>
        </w:rPr>
        <w:t xml:space="preserve"> </w:t>
      </w:r>
    </w:p>
    <w:p w:rsidR="000033A9" w:rsidRDefault="000033A9" w:rsidP="00B43CA1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Le déclassement dans le marché de travail est plus fréquent parmi les jeunes hommes (</w:t>
      </w:r>
      <w:r w:rsidR="00FD1722">
        <w:rPr>
          <w:rFonts w:asciiTheme="majorHAnsi" w:hAnsiTheme="majorHAnsi"/>
          <w:sz w:val="23"/>
          <w:szCs w:val="23"/>
        </w:rPr>
        <w:t>51</w:t>
      </w:r>
      <w:r>
        <w:rPr>
          <w:rFonts w:asciiTheme="majorHAnsi" w:hAnsiTheme="majorHAnsi"/>
          <w:sz w:val="23"/>
          <w:szCs w:val="23"/>
        </w:rPr>
        <w:t>,</w:t>
      </w:r>
      <w:r w:rsidR="00FD1722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%), les ruraux (</w:t>
      </w:r>
      <w:r w:rsidR="00FD1722">
        <w:rPr>
          <w:rFonts w:asciiTheme="majorHAnsi" w:hAnsiTheme="majorHAnsi"/>
          <w:sz w:val="23"/>
          <w:szCs w:val="23"/>
        </w:rPr>
        <w:t>53</w:t>
      </w:r>
      <w:r>
        <w:rPr>
          <w:rFonts w:asciiTheme="majorHAnsi" w:hAnsiTheme="majorHAnsi"/>
          <w:sz w:val="23"/>
          <w:szCs w:val="23"/>
        </w:rPr>
        <w:t>,</w:t>
      </w:r>
      <w:r w:rsidR="00FD1722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>%).</w:t>
      </w:r>
    </w:p>
    <w:p w:rsidR="00925658" w:rsidRPr="00CC489D" w:rsidRDefault="00925658" w:rsidP="00A8169B">
      <w:pPr>
        <w:spacing w:line="30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="Segoe UI" w:hAnsi="Segoe UI" w:cs="Segoe UI"/>
          <w:color w:val="374151"/>
          <w:shd w:val="clear" w:color="auto" w:fill="F7F7F8"/>
        </w:rPr>
        <w:t>.</w:t>
      </w:r>
      <w:bookmarkStart w:id="0" w:name="_GoBack"/>
      <w:bookmarkEnd w:id="0"/>
    </w:p>
    <w:sectPr w:rsidR="00925658" w:rsidRPr="00CC489D" w:rsidSect="00A755B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699" w:rsidRDefault="00863699" w:rsidP="00F97F21">
      <w:pPr>
        <w:spacing w:after="0" w:line="240" w:lineRule="auto"/>
      </w:pPr>
      <w:r>
        <w:separator/>
      </w:r>
    </w:p>
  </w:endnote>
  <w:endnote w:type="continuationSeparator" w:id="0">
    <w:p w:rsidR="00863699" w:rsidRDefault="00863699" w:rsidP="00F9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308259"/>
      <w:docPartObj>
        <w:docPartGallery w:val="Page Numbers (Bottom of Page)"/>
        <w:docPartUnique/>
      </w:docPartObj>
    </w:sdtPr>
    <w:sdtContent>
      <w:p w:rsidR="00710163" w:rsidRDefault="00F63549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710163" w:rsidRDefault="00F63549">
                    <w:pPr>
                      <w:jc w:val="center"/>
                    </w:pPr>
                    <w:r w:rsidRPr="00F63549">
                      <w:fldChar w:fldCharType="begin"/>
                    </w:r>
                    <w:r w:rsidR="00710163">
                      <w:instrText>PAGE    \* MERGEFORMAT</w:instrText>
                    </w:r>
                    <w:r w:rsidRPr="00F63549">
                      <w:fldChar w:fldCharType="separate"/>
                    </w:r>
                    <w:r w:rsidR="00D318E9" w:rsidRPr="00D318E9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699" w:rsidRDefault="00863699" w:rsidP="00F97F21">
      <w:pPr>
        <w:spacing w:after="0" w:line="240" w:lineRule="auto"/>
      </w:pPr>
      <w:r>
        <w:separator/>
      </w:r>
    </w:p>
  </w:footnote>
  <w:footnote w:type="continuationSeparator" w:id="0">
    <w:p w:rsidR="00863699" w:rsidRDefault="00863699" w:rsidP="00F97F21">
      <w:pPr>
        <w:spacing w:after="0" w:line="240" w:lineRule="auto"/>
      </w:pPr>
      <w:r>
        <w:continuationSeparator/>
      </w:r>
    </w:p>
  </w:footnote>
  <w:footnote w:id="1">
    <w:p w:rsidR="00F97F21" w:rsidRDefault="00F97F21" w:rsidP="003B42F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Niveau supérieur : baccalauréat, diplômes de cadres moyens et diplômes d’enseignement supérieur (facultés, grandes écoles et instituts).</w:t>
      </w:r>
    </w:p>
  </w:footnote>
  <w:footnote w:id="2">
    <w:p w:rsidR="003B42F3" w:rsidRDefault="003B42F3" w:rsidP="003B42F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Niveau moyen : Certificats de l’enseignement fondamental, diplômes de qualification ou de spécialisation professionnelle.</w:t>
      </w:r>
    </w:p>
  </w:footnote>
  <w:footnote w:id="3">
    <w:p w:rsidR="003B42F3" w:rsidRDefault="003B42F3">
      <w:pPr>
        <w:pStyle w:val="Notedebasdepage"/>
      </w:pPr>
      <w:r>
        <w:rPr>
          <w:rStyle w:val="Appelnotedebasdep"/>
        </w:rPr>
        <w:footnoteRef/>
      </w:r>
      <w:r>
        <w:t xml:space="preserve"> L’emploi formel est mesuré par la possession d’une couverture médicale liée à l’emploi par la personne active occupée.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mpte Microsoft">
    <w15:presenceInfo w15:providerId="Windows Live" w15:userId="c3ee227be34610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15A5"/>
    <w:rsid w:val="000033A9"/>
    <w:rsid w:val="00035709"/>
    <w:rsid w:val="0006493A"/>
    <w:rsid w:val="00084DB4"/>
    <w:rsid w:val="000B4FD2"/>
    <w:rsid w:val="00206B52"/>
    <w:rsid w:val="002676C8"/>
    <w:rsid w:val="00334EFD"/>
    <w:rsid w:val="003B42F3"/>
    <w:rsid w:val="00415897"/>
    <w:rsid w:val="004F38B9"/>
    <w:rsid w:val="00542E36"/>
    <w:rsid w:val="0054624C"/>
    <w:rsid w:val="005E45FD"/>
    <w:rsid w:val="006170C7"/>
    <w:rsid w:val="0062691F"/>
    <w:rsid w:val="00710163"/>
    <w:rsid w:val="00795202"/>
    <w:rsid w:val="007C1839"/>
    <w:rsid w:val="007F1F70"/>
    <w:rsid w:val="008438E6"/>
    <w:rsid w:val="00863699"/>
    <w:rsid w:val="00884E7D"/>
    <w:rsid w:val="008A075F"/>
    <w:rsid w:val="008B7569"/>
    <w:rsid w:val="00902D4D"/>
    <w:rsid w:val="00925658"/>
    <w:rsid w:val="009862E2"/>
    <w:rsid w:val="00A755BD"/>
    <w:rsid w:val="00A8169B"/>
    <w:rsid w:val="00B42461"/>
    <w:rsid w:val="00B43CA1"/>
    <w:rsid w:val="00C36524"/>
    <w:rsid w:val="00CB3D8B"/>
    <w:rsid w:val="00CC2C7B"/>
    <w:rsid w:val="00CC489D"/>
    <w:rsid w:val="00D215A5"/>
    <w:rsid w:val="00D318E9"/>
    <w:rsid w:val="00D356C2"/>
    <w:rsid w:val="00D97121"/>
    <w:rsid w:val="00DF59FF"/>
    <w:rsid w:val="00DF67E7"/>
    <w:rsid w:val="00E52AAD"/>
    <w:rsid w:val="00F13165"/>
    <w:rsid w:val="00F4166D"/>
    <w:rsid w:val="00F63549"/>
    <w:rsid w:val="00F6706E"/>
    <w:rsid w:val="00F712EE"/>
    <w:rsid w:val="00F97F21"/>
    <w:rsid w:val="00FD1722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7F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7F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7F2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2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63"/>
  </w:style>
  <w:style w:type="paragraph" w:styleId="Pieddepage">
    <w:name w:val="footer"/>
    <w:basedOn w:val="Normal"/>
    <w:link w:val="PieddepageCar"/>
    <w:uiPriority w:val="99"/>
    <w:unhideWhenUsed/>
    <w:rsid w:val="007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7F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7F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7F2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2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63"/>
  </w:style>
  <w:style w:type="paragraph" w:styleId="Pieddepage">
    <w:name w:val="footer"/>
    <w:basedOn w:val="Normal"/>
    <w:link w:val="PieddepageCar"/>
    <w:uiPriority w:val="99"/>
    <w:unhideWhenUsed/>
    <w:rsid w:val="007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ravaux_observatoire\Brefs_Plan\Brefs_N&#176;X2\d&#233;nn&#233;es_graphique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ravaux_observatoire\Brefs_Plan\Brefs_N&#176;X2\d&#233;nn&#233;es_graphique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ravaux_observatoire\Brefs_Plan\Brefs_N&#176;X2\d&#233;nn&#233;es_graphique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ravaux_observatoire\Brefs_Plan\Brefs_N&#176;X2\d&#233;nn&#233;es_graphique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MEN\AppData\Roaming\Microsoft\Excel\d&#233;nn&#233;es_graphiques%20(version%201).xlsb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Feuil1!$B$4</c:f>
              <c:strCache>
                <c:ptCount val="1"/>
                <c:pt idx="0">
                  <c:v>Ensemble</c:v>
                </c:pt>
              </c:strCache>
            </c:strRef>
          </c:tx>
          <c:marker>
            <c:symbol val="none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Feuil1!$A$5:$A$19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2015</c:v>
                </c:pt>
                <c:pt idx="13">
                  <c:v>2018</c:v>
                </c:pt>
                <c:pt idx="14">
                  <c:v>2022</c:v>
                </c:pt>
              </c:numCache>
            </c:numRef>
          </c:cat>
          <c:val>
            <c:numRef>
              <c:f>Feuil1!$B$5:$B$19</c:f>
              <c:numCache>
                <c:formatCode>General</c:formatCode>
                <c:ptCount val="15"/>
                <c:pt idx="0">
                  <c:v>35.700000000000003</c:v>
                </c:pt>
                <c:pt idx="1">
                  <c:v>34.5</c:v>
                </c:pt>
                <c:pt idx="2">
                  <c:v>33.4</c:v>
                </c:pt>
                <c:pt idx="3">
                  <c:v>32.4</c:v>
                </c:pt>
                <c:pt idx="4">
                  <c:v>30.3</c:v>
                </c:pt>
                <c:pt idx="5">
                  <c:v>29.3</c:v>
                </c:pt>
                <c:pt idx="6">
                  <c:v>27.6</c:v>
                </c:pt>
                <c:pt idx="7">
                  <c:v>26.7</c:v>
                </c:pt>
                <c:pt idx="8">
                  <c:v>25.4</c:v>
                </c:pt>
                <c:pt idx="9">
                  <c:v>23.3</c:v>
                </c:pt>
                <c:pt idx="10">
                  <c:v>22.4</c:v>
                </c:pt>
                <c:pt idx="11">
                  <c:v>21.7</c:v>
                </c:pt>
                <c:pt idx="12">
                  <c:v>18.899999999999999</c:v>
                </c:pt>
                <c:pt idx="13">
                  <c:v>13.7</c:v>
                </c:pt>
                <c:pt idx="14">
                  <c:v>8.9</c:v>
                </c:pt>
              </c:numCache>
            </c:numRef>
          </c:val>
        </c:ser>
        <c:ser>
          <c:idx val="1"/>
          <c:order val="1"/>
          <c:tx>
            <c:strRef>
              <c:f>Feuil1!$C$4</c:f>
              <c:strCache>
                <c:ptCount val="1"/>
                <c:pt idx="0">
                  <c:v>Hommes</c:v>
                </c:pt>
              </c:strCache>
            </c:strRef>
          </c:tx>
          <c:marker>
            <c:symbol val="none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Feuil1!$A$5:$A$19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2015</c:v>
                </c:pt>
                <c:pt idx="13">
                  <c:v>2018</c:v>
                </c:pt>
                <c:pt idx="14">
                  <c:v>2022</c:v>
                </c:pt>
              </c:numCache>
            </c:numRef>
          </c:cat>
          <c:val>
            <c:numRef>
              <c:f>Feuil1!$C$5:$C$19</c:f>
              <c:numCache>
                <c:formatCode>General</c:formatCode>
                <c:ptCount val="15"/>
                <c:pt idx="0">
                  <c:v>23.5</c:v>
                </c:pt>
                <c:pt idx="1">
                  <c:v>22.8</c:v>
                </c:pt>
                <c:pt idx="2">
                  <c:v>21.9</c:v>
                </c:pt>
                <c:pt idx="3">
                  <c:v>21</c:v>
                </c:pt>
                <c:pt idx="4">
                  <c:v>18.899999999999999</c:v>
                </c:pt>
                <c:pt idx="5">
                  <c:v>18.899999999999999</c:v>
                </c:pt>
                <c:pt idx="6">
                  <c:v>17.2</c:v>
                </c:pt>
                <c:pt idx="7">
                  <c:v>16.8</c:v>
                </c:pt>
                <c:pt idx="8">
                  <c:v>15.9</c:v>
                </c:pt>
                <c:pt idx="9">
                  <c:v>14.4</c:v>
                </c:pt>
                <c:pt idx="10">
                  <c:v>13.9</c:v>
                </c:pt>
                <c:pt idx="11">
                  <c:v>13.3</c:v>
                </c:pt>
                <c:pt idx="12">
                  <c:v>11.9</c:v>
                </c:pt>
                <c:pt idx="13">
                  <c:v>8.8000000000000007</c:v>
                </c:pt>
                <c:pt idx="14">
                  <c:v>5.7</c:v>
                </c:pt>
              </c:numCache>
            </c:numRef>
          </c:val>
        </c:ser>
        <c:ser>
          <c:idx val="2"/>
          <c:order val="2"/>
          <c:tx>
            <c:strRef>
              <c:f>Feuil1!$D$4</c:f>
              <c:strCache>
                <c:ptCount val="1"/>
                <c:pt idx="0">
                  <c:v>Femmes</c:v>
                </c:pt>
              </c:strCache>
            </c:strRef>
          </c:tx>
          <c:marker>
            <c:symbol val="none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>
                    <a:solidFill>
                      <a:srgbClr val="92D050"/>
                    </a:solidFill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Feuil1!$A$5:$A$19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2015</c:v>
                </c:pt>
                <c:pt idx="13">
                  <c:v>2018</c:v>
                </c:pt>
                <c:pt idx="14">
                  <c:v>2022</c:v>
                </c:pt>
              </c:numCache>
            </c:numRef>
          </c:cat>
          <c:val>
            <c:numRef>
              <c:f>Feuil1!$D$5:$D$19</c:f>
              <c:numCache>
                <c:formatCode>General</c:formatCode>
                <c:ptCount val="15"/>
                <c:pt idx="0">
                  <c:v>47.7</c:v>
                </c:pt>
                <c:pt idx="1">
                  <c:v>46.1</c:v>
                </c:pt>
                <c:pt idx="2">
                  <c:v>44.9</c:v>
                </c:pt>
                <c:pt idx="3">
                  <c:v>43.8</c:v>
                </c:pt>
                <c:pt idx="4">
                  <c:v>41.4</c:v>
                </c:pt>
                <c:pt idx="5">
                  <c:v>39.300000000000004</c:v>
                </c:pt>
                <c:pt idx="6">
                  <c:v>37.6</c:v>
                </c:pt>
                <c:pt idx="7">
                  <c:v>36.300000000000004</c:v>
                </c:pt>
                <c:pt idx="8">
                  <c:v>34.6</c:v>
                </c:pt>
                <c:pt idx="9">
                  <c:v>31.9</c:v>
                </c:pt>
                <c:pt idx="10">
                  <c:v>30.7</c:v>
                </c:pt>
                <c:pt idx="11">
                  <c:v>29.9</c:v>
                </c:pt>
                <c:pt idx="12">
                  <c:v>25.8</c:v>
                </c:pt>
                <c:pt idx="13">
                  <c:v>18.7</c:v>
                </c:pt>
                <c:pt idx="14">
                  <c:v>12.1</c:v>
                </c:pt>
              </c:numCache>
            </c:numRef>
          </c:val>
        </c:ser>
        <c:ser>
          <c:idx val="3"/>
          <c:order val="3"/>
          <c:tx>
            <c:strRef>
              <c:f>Feuil1!$E$4</c:f>
              <c:strCache>
                <c:ptCount val="1"/>
                <c:pt idx="0">
                  <c:v>Urbain</c:v>
                </c:pt>
              </c:strCache>
            </c:strRef>
          </c:tx>
          <c:marker>
            <c:symbol val="none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>
                    <a:solidFill>
                      <a:srgbClr val="7030A0"/>
                    </a:solidFill>
                  </a:defRPr>
                </a:pPr>
                <a:endParaRPr lang="fr-FR"/>
              </a:p>
            </c:txPr>
            <c:dLblPos val="b"/>
            <c:showVal val="1"/>
          </c:dLbls>
          <c:cat>
            <c:numRef>
              <c:f>Feuil1!$A$5:$A$19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2015</c:v>
                </c:pt>
                <c:pt idx="13">
                  <c:v>2018</c:v>
                </c:pt>
                <c:pt idx="14">
                  <c:v>2022</c:v>
                </c:pt>
              </c:numCache>
            </c:numRef>
          </c:cat>
          <c:val>
            <c:numRef>
              <c:f>Feuil1!$E$5:$E$19</c:f>
              <c:numCache>
                <c:formatCode>General</c:formatCode>
                <c:ptCount val="15"/>
                <c:pt idx="0">
                  <c:v>17</c:v>
                </c:pt>
                <c:pt idx="1">
                  <c:v>15.6</c:v>
                </c:pt>
                <c:pt idx="2">
                  <c:v>15</c:v>
                </c:pt>
                <c:pt idx="3">
                  <c:v>14.1</c:v>
                </c:pt>
                <c:pt idx="4">
                  <c:v>13.5</c:v>
                </c:pt>
                <c:pt idx="5">
                  <c:v>14.4</c:v>
                </c:pt>
                <c:pt idx="6">
                  <c:v>13.7</c:v>
                </c:pt>
                <c:pt idx="7">
                  <c:v>13.4</c:v>
                </c:pt>
                <c:pt idx="8">
                  <c:v>12.9</c:v>
                </c:pt>
                <c:pt idx="9">
                  <c:v>11.5</c:v>
                </c:pt>
                <c:pt idx="10">
                  <c:v>11.7</c:v>
                </c:pt>
                <c:pt idx="11">
                  <c:v>11.8</c:v>
                </c:pt>
                <c:pt idx="12">
                  <c:v>10.1</c:v>
                </c:pt>
                <c:pt idx="13">
                  <c:v>7.7</c:v>
                </c:pt>
                <c:pt idx="14">
                  <c:v>5.0999999999999996</c:v>
                </c:pt>
              </c:numCache>
            </c:numRef>
          </c:val>
        </c:ser>
        <c:ser>
          <c:idx val="4"/>
          <c:order val="4"/>
          <c:tx>
            <c:strRef>
              <c:f>Feuil1!$F$4</c:f>
              <c:strCache>
                <c:ptCount val="1"/>
                <c:pt idx="0">
                  <c:v>Rural</c:v>
                </c:pt>
              </c:strCache>
            </c:strRef>
          </c:tx>
          <c:marker>
            <c:symbol val="none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2"/>
              <c:delete val="1"/>
            </c:dLbl>
            <c:txPr>
              <a:bodyPr/>
              <a:lstStyle/>
              <a:p>
                <a:pPr>
                  <a:defRPr>
                    <a:solidFill>
                      <a:srgbClr val="00B0F0"/>
                    </a:solidFill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Feuil1!$A$5:$A$19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2015</c:v>
                </c:pt>
                <c:pt idx="13">
                  <c:v>2018</c:v>
                </c:pt>
                <c:pt idx="14">
                  <c:v>2022</c:v>
                </c:pt>
              </c:numCache>
            </c:numRef>
          </c:cat>
          <c:val>
            <c:numRef>
              <c:f>Feuil1!$F$5:$F$19</c:f>
              <c:numCache>
                <c:formatCode>General</c:formatCode>
                <c:ptCount val="15"/>
                <c:pt idx="0">
                  <c:v>60.5</c:v>
                </c:pt>
                <c:pt idx="1">
                  <c:v>58.2</c:v>
                </c:pt>
                <c:pt idx="2">
                  <c:v>56.3</c:v>
                </c:pt>
                <c:pt idx="3">
                  <c:v>54.1</c:v>
                </c:pt>
                <c:pt idx="4">
                  <c:v>51.6</c:v>
                </c:pt>
                <c:pt idx="5">
                  <c:v>48.5</c:v>
                </c:pt>
                <c:pt idx="6">
                  <c:v>45.5</c:v>
                </c:pt>
                <c:pt idx="7">
                  <c:v>43.9</c:v>
                </c:pt>
                <c:pt idx="8">
                  <c:v>41.6</c:v>
                </c:pt>
                <c:pt idx="9">
                  <c:v>38.700000000000003</c:v>
                </c:pt>
                <c:pt idx="10">
                  <c:v>36.5</c:v>
                </c:pt>
                <c:pt idx="11">
                  <c:v>34.9</c:v>
                </c:pt>
                <c:pt idx="12">
                  <c:v>30.7</c:v>
                </c:pt>
                <c:pt idx="13">
                  <c:v>23.9</c:v>
                </c:pt>
                <c:pt idx="14">
                  <c:v>15.6</c:v>
                </c:pt>
              </c:numCache>
            </c:numRef>
          </c:val>
        </c:ser>
        <c:marker val="1"/>
        <c:axId val="113957120"/>
        <c:axId val="120774656"/>
      </c:lineChart>
      <c:catAx>
        <c:axId val="113957120"/>
        <c:scaling>
          <c:orientation val="minMax"/>
        </c:scaling>
        <c:axPos val="b"/>
        <c:numFmt formatCode="General" sourceLinked="1"/>
        <c:tickLblPos val="nextTo"/>
        <c:crossAx val="120774656"/>
        <c:crosses val="autoZero"/>
        <c:auto val="1"/>
        <c:lblAlgn val="ctr"/>
        <c:lblOffset val="100"/>
      </c:catAx>
      <c:valAx>
        <c:axId val="120774656"/>
        <c:scaling>
          <c:orientation val="minMax"/>
        </c:scaling>
        <c:axPos val="l"/>
        <c:numFmt formatCode="General" sourceLinked="1"/>
        <c:tickLblPos val="nextTo"/>
        <c:crossAx val="11395712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 b="1"/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Feuil1!$B$26</c:f>
              <c:strCache>
                <c:ptCount val="1"/>
                <c:pt idx="0">
                  <c:v>2000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Feuil1!$A$27:$A$31</c:f>
              <c:strCache>
                <c:ptCount val="5"/>
                <c:pt idx="0">
                  <c:v>Ensemble</c:v>
                </c:pt>
                <c:pt idx="1">
                  <c:v>Hommes</c:v>
                </c:pt>
                <c:pt idx="2">
                  <c:v>Femmes</c:v>
                </c:pt>
                <c:pt idx="3">
                  <c:v>Urbain</c:v>
                </c:pt>
                <c:pt idx="4">
                  <c:v>Rural</c:v>
                </c:pt>
              </c:strCache>
            </c:strRef>
          </c:cat>
          <c:val>
            <c:numRef>
              <c:f>Feuil1!$B$27:$B$31</c:f>
              <c:numCache>
                <c:formatCode>0.0</c:formatCode>
                <c:ptCount val="5"/>
                <c:pt idx="0">
                  <c:v>19.73</c:v>
                </c:pt>
                <c:pt idx="1">
                  <c:v>22.310000000000013</c:v>
                </c:pt>
                <c:pt idx="2">
                  <c:v>17.2</c:v>
                </c:pt>
                <c:pt idx="3">
                  <c:v>31.310000000000013</c:v>
                </c:pt>
                <c:pt idx="4">
                  <c:v>4.99</c:v>
                </c:pt>
              </c:numCache>
            </c:numRef>
          </c:val>
        </c:ser>
        <c:ser>
          <c:idx val="1"/>
          <c:order val="1"/>
          <c:tx>
            <c:strRef>
              <c:f>Feuil1!$C$26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Feuil1!$A$27:$A$31</c:f>
              <c:strCache>
                <c:ptCount val="5"/>
                <c:pt idx="0">
                  <c:v>Ensemble</c:v>
                </c:pt>
                <c:pt idx="1">
                  <c:v>Hommes</c:v>
                </c:pt>
                <c:pt idx="2">
                  <c:v>Femmes</c:v>
                </c:pt>
                <c:pt idx="3">
                  <c:v>Urbain</c:v>
                </c:pt>
                <c:pt idx="4">
                  <c:v>Rural</c:v>
                </c:pt>
              </c:strCache>
            </c:strRef>
          </c:cat>
          <c:val>
            <c:numRef>
              <c:f>Feuil1!$C$27:$C$31</c:f>
              <c:numCache>
                <c:formatCode>0.0</c:formatCode>
                <c:ptCount val="5"/>
                <c:pt idx="0">
                  <c:v>42.7</c:v>
                </c:pt>
                <c:pt idx="1">
                  <c:v>42.7</c:v>
                </c:pt>
                <c:pt idx="2">
                  <c:v>42.7</c:v>
                </c:pt>
                <c:pt idx="3">
                  <c:v>54.4</c:v>
                </c:pt>
                <c:pt idx="4">
                  <c:v>21.9</c:v>
                </c:pt>
              </c:numCache>
            </c:numRef>
          </c:val>
        </c:ser>
        <c:overlap val="-20"/>
        <c:axId val="132577920"/>
        <c:axId val="84980096"/>
      </c:barChart>
      <c:catAx>
        <c:axId val="132577920"/>
        <c:scaling>
          <c:orientation val="minMax"/>
        </c:scaling>
        <c:axPos val="b"/>
        <c:tickLblPos val="nextTo"/>
        <c:crossAx val="84980096"/>
        <c:crosses val="autoZero"/>
        <c:auto val="1"/>
        <c:lblAlgn val="ctr"/>
        <c:lblOffset val="100"/>
      </c:catAx>
      <c:valAx>
        <c:axId val="84980096"/>
        <c:scaling>
          <c:orientation val="minMax"/>
        </c:scaling>
        <c:axPos val="l"/>
        <c:numFmt formatCode="0.0" sourceLinked="1"/>
        <c:tickLblPos val="nextTo"/>
        <c:crossAx val="13257792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 b="1"/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Feuil1!$C$33</c:f>
              <c:strCache>
                <c:ptCount val="1"/>
                <c:pt idx="0">
                  <c:v>2000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multiLvlStrRef>
              <c:f>Feuil1!$A$34:$B$44</c:f>
              <c:multiLvlStrCache>
                <c:ptCount val="11"/>
                <c:lvl>
                  <c:pt idx="0">
                    <c:v>Ensemble</c:v>
                  </c:pt>
                  <c:pt idx="1">
                    <c:v>Hommes</c:v>
                  </c:pt>
                  <c:pt idx="2">
                    <c:v>Femmes</c:v>
                  </c:pt>
                  <c:pt idx="3">
                    <c:v>Urbain</c:v>
                  </c:pt>
                  <c:pt idx="4">
                    <c:v>Rural</c:v>
                  </c:pt>
                  <c:pt idx="6">
                    <c:v>Ensemble</c:v>
                  </c:pt>
                  <c:pt idx="7">
                    <c:v>Hommes</c:v>
                  </c:pt>
                  <c:pt idx="8">
                    <c:v>Femmes</c:v>
                  </c:pt>
                  <c:pt idx="9">
                    <c:v>Urbain</c:v>
                  </c:pt>
                  <c:pt idx="10">
                    <c:v>Rural</c:v>
                  </c:pt>
                </c:lvl>
                <c:lvl>
                  <c:pt idx="0">
                    <c:v>Taux d'activité</c:v>
                  </c:pt>
                  <c:pt idx="6">
                    <c:v>Taux d'emploi</c:v>
                  </c:pt>
                </c:lvl>
              </c:multiLvlStrCache>
            </c:multiLvlStrRef>
          </c:cat>
          <c:val>
            <c:numRef>
              <c:f>Feuil1!$C$34:$C$44</c:f>
              <c:numCache>
                <c:formatCode>0.0</c:formatCode>
                <c:ptCount val="11"/>
                <c:pt idx="0">
                  <c:v>53.5</c:v>
                </c:pt>
                <c:pt idx="1">
                  <c:v>77.8</c:v>
                </c:pt>
                <c:pt idx="2">
                  <c:v>29.6</c:v>
                </c:pt>
                <c:pt idx="3">
                  <c:v>47.4</c:v>
                </c:pt>
                <c:pt idx="4">
                  <c:v>61.3</c:v>
                </c:pt>
                <c:pt idx="6">
                  <c:v>42.8</c:v>
                </c:pt>
                <c:pt idx="7">
                  <c:v>61.9</c:v>
                </c:pt>
                <c:pt idx="8">
                  <c:v>24</c:v>
                </c:pt>
                <c:pt idx="9">
                  <c:v>31.8</c:v>
                </c:pt>
                <c:pt idx="10">
                  <c:v>56.7</c:v>
                </c:pt>
              </c:numCache>
            </c:numRef>
          </c:val>
        </c:ser>
        <c:ser>
          <c:idx val="1"/>
          <c:order val="1"/>
          <c:tx>
            <c:strRef>
              <c:f>Feuil1!$D$33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fr-FR"/>
              </a:p>
            </c:txPr>
            <c:showVal val="1"/>
          </c:dLbls>
          <c:cat>
            <c:multiLvlStrRef>
              <c:f>Feuil1!$A$34:$B$44</c:f>
              <c:multiLvlStrCache>
                <c:ptCount val="11"/>
                <c:lvl>
                  <c:pt idx="0">
                    <c:v>Ensemble</c:v>
                  </c:pt>
                  <c:pt idx="1">
                    <c:v>Hommes</c:v>
                  </c:pt>
                  <c:pt idx="2">
                    <c:v>Femmes</c:v>
                  </c:pt>
                  <c:pt idx="3">
                    <c:v>Urbain</c:v>
                  </c:pt>
                  <c:pt idx="4">
                    <c:v>Rural</c:v>
                  </c:pt>
                  <c:pt idx="6">
                    <c:v>Ensemble</c:v>
                  </c:pt>
                  <c:pt idx="7">
                    <c:v>Hommes</c:v>
                  </c:pt>
                  <c:pt idx="8">
                    <c:v>Femmes</c:v>
                  </c:pt>
                  <c:pt idx="9">
                    <c:v>Urbain</c:v>
                  </c:pt>
                  <c:pt idx="10">
                    <c:v>Rural</c:v>
                  </c:pt>
                </c:lvl>
                <c:lvl>
                  <c:pt idx="0">
                    <c:v>Taux d'activité</c:v>
                  </c:pt>
                  <c:pt idx="6">
                    <c:v>Taux d'emploi</c:v>
                  </c:pt>
                </c:lvl>
              </c:multiLvlStrCache>
            </c:multiLvlStrRef>
          </c:cat>
          <c:val>
            <c:numRef>
              <c:f>Feuil1!$D$34:$D$44</c:f>
              <c:numCache>
                <c:formatCode>General</c:formatCode>
                <c:ptCount val="11"/>
                <c:pt idx="0">
                  <c:v>41.2</c:v>
                </c:pt>
                <c:pt idx="1">
                  <c:v>62</c:v>
                </c:pt>
                <c:pt idx="2">
                  <c:v>20.2</c:v>
                </c:pt>
                <c:pt idx="3">
                  <c:v>41.1</c:v>
                </c:pt>
                <c:pt idx="4">
                  <c:v>41.5</c:v>
                </c:pt>
                <c:pt idx="6">
                  <c:v>31.8</c:v>
                </c:pt>
                <c:pt idx="7">
                  <c:v>49.8</c:v>
                </c:pt>
                <c:pt idx="8">
                  <c:v>13.6</c:v>
                </c:pt>
                <c:pt idx="9">
                  <c:v>28.8</c:v>
                </c:pt>
                <c:pt idx="10">
                  <c:v>37.1</c:v>
                </c:pt>
              </c:numCache>
            </c:numRef>
          </c:val>
        </c:ser>
        <c:overlap val="-20"/>
        <c:axId val="103613568"/>
        <c:axId val="103615104"/>
      </c:barChart>
      <c:catAx>
        <c:axId val="103613568"/>
        <c:scaling>
          <c:orientation val="minMax"/>
        </c:scaling>
        <c:axPos val="l"/>
        <c:tickLblPos val="nextTo"/>
        <c:crossAx val="103615104"/>
        <c:crosses val="autoZero"/>
        <c:auto val="1"/>
        <c:lblAlgn val="ctr"/>
        <c:lblOffset val="100"/>
      </c:catAx>
      <c:valAx>
        <c:axId val="103615104"/>
        <c:scaling>
          <c:orientation val="minMax"/>
        </c:scaling>
        <c:axPos val="b"/>
        <c:numFmt formatCode="0.0" sourceLinked="1"/>
        <c:tickLblPos val="nextTo"/>
        <c:crossAx val="10361356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 b="1"/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Feuil1!$C$47</c:f>
              <c:strCache>
                <c:ptCount val="1"/>
                <c:pt idx="0">
                  <c:v>Taux de chômage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multiLvlStrRef>
              <c:f>Feuil1!$A$48:$B$59</c:f>
              <c:multiLvlStrCache>
                <c:ptCount val="12"/>
                <c:lvl>
                  <c:pt idx="0">
                    <c:v>2000</c:v>
                  </c:pt>
                  <c:pt idx="1">
                    <c:v>2022</c:v>
                  </c:pt>
                  <c:pt idx="3">
                    <c:v>Hommes-2022</c:v>
                  </c:pt>
                  <c:pt idx="4">
                    <c:v>Femmes-2022</c:v>
                  </c:pt>
                  <c:pt idx="6">
                    <c:v>Urbain-2022</c:v>
                  </c:pt>
                  <c:pt idx="7">
                    <c:v>Rural-2022</c:v>
                  </c:pt>
                  <c:pt idx="9">
                    <c:v>Sans diplôme-2022</c:v>
                  </c:pt>
                  <c:pt idx="10">
                    <c:v>Niveau moyen-2022</c:v>
                  </c:pt>
                  <c:pt idx="11">
                    <c:v>Niveau supérieur-2022</c:v>
                  </c:pt>
                </c:lvl>
                <c:lvl>
                  <c:pt idx="0">
                    <c:v>Ensemble</c:v>
                  </c:pt>
                  <c:pt idx="3">
                    <c:v>Sexe</c:v>
                  </c:pt>
                  <c:pt idx="6">
                    <c:v>Milieu</c:v>
                  </c:pt>
                  <c:pt idx="9">
                    <c:v>Niveau de diplôme</c:v>
                  </c:pt>
                </c:lvl>
              </c:multiLvlStrCache>
            </c:multiLvlStrRef>
          </c:cat>
          <c:val>
            <c:numRef>
              <c:f>Feuil1!$C$48:$C$59</c:f>
              <c:numCache>
                <c:formatCode>0.0</c:formatCode>
                <c:ptCount val="12"/>
                <c:pt idx="0">
                  <c:v>20</c:v>
                </c:pt>
                <c:pt idx="1">
                  <c:v>22.9</c:v>
                </c:pt>
                <c:pt idx="3">
                  <c:v>19.8</c:v>
                </c:pt>
                <c:pt idx="4">
                  <c:v>32.700000000000003</c:v>
                </c:pt>
                <c:pt idx="6">
                  <c:v>29.9</c:v>
                </c:pt>
                <c:pt idx="7">
                  <c:v>10.7</c:v>
                </c:pt>
                <c:pt idx="9">
                  <c:v>7.9</c:v>
                </c:pt>
                <c:pt idx="10">
                  <c:v>20.7</c:v>
                </c:pt>
                <c:pt idx="11">
                  <c:v>40.300000000000004</c:v>
                </c:pt>
              </c:numCache>
            </c:numRef>
          </c:val>
        </c:ser>
        <c:axId val="104335616"/>
        <c:axId val="104345600"/>
      </c:barChart>
      <c:catAx>
        <c:axId val="104335616"/>
        <c:scaling>
          <c:orientation val="minMax"/>
        </c:scaling>
        <c:axPos val="l"/>
        <c:tickLblPos val="nextTo"/>
        <c:crossAx val="104345600"/>
        <c:crosses val="autoZero"/>
        <c:auto val="1"/>
        <c:lblAlgn val="ctr"/>
        <c:lblOffset val="100"/>
      </c:catAx>
      <c:valAx>
        <c:axId val="104345600"/>
        <c:scaling>
          <c:orientation val="minMax"/>
        </c:scaling>
        <c:axPos val="b"/>
        <c:numFmt formatCode="0.0" sourceLinked="1"/>
        <c:tickLblPos val="nextTo"/>
        <c:crossAx val="1043356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700" b="1"/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Feuil1!$B$64</c:f>
              <c:strCache>
                <c:ptCount val="1"/>
                <c:pt idx="0">
                  <c:v>2000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Feuil1!$A$65:$A$69</c:f>
              <c:strCache>
                <c:ptCount val="5"/>
                <c:pt idx="0">
                  <c:v>Ensemble</c:v>
                </c:pt>
                <c:pt idx="1">
                  <c:v>Hommes</c:v>
                </c:pt>
                <c:pt idx="2">
                  <c:v>Femmes</c:v>
                </c:pt>
                <c:pt idx="3">
                  <c:v>Urbain</c:v>
                </c:pt>
                <c:pt idx="4">
                  <c:v>Rural</c:v>
                </c:pt>
              </c:strCache>
            </c:strRef>
          </c:cat>
          <c:val>
            <c:numRef>
              <c:f>Feuil1!$B$65:$B$69</c:f>
              <c:numCache>
                <c:formatCode>0.0</c:formatCode>
                <c:ptCount val="5"/>
                <c:pt idx="0">
                  <c:v>6.8</c:v>
                </c:pt>
                <c:pt idx="1">
                  <c:v>6.5</c:v>
                </c:pt>
                <c:pt idx="2">
                  <c:v>7.4</c:v>
                </c:pt>
                <c:pt idx="3">
                  <c:v>14.5</c:v>
                </c:pt>
                <c:pt idx="4">
                  <c:v>1.3</c:v>
                </c:pt>
              </c:numCache>
            </c:numRef>
          </c:val>
        </c:ser>
        <c:ser>
          <c:idx val="1"/>
          <c:order val="1"/>
          <c:tx>
            <c:strRef>
              <c:f>Feuil1!$C$64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Feuil1!$A$65:$A$69</c:f>
              <c:strCache>
                <c:ptCount val="5"/>
                <c:pt idx="0">
                  <c:v>Ensemble</c:v>
                </c:pt>
                <c:pt idx="1">
                  <c:v>Hommes</c:v>
                </c:pt>
                <c:pt idx="2">
                  <c:v>Femmes</c:v>
                </c:pt>
                <c:pt idx="3">
                  <c:v>Urbain</c:v>
                </c:pt>
                <c:pt idx="4">
                  <c:v>Rural</c:v>
                </c:pt>
              </c:strCache>
            </c:strRef>
          </c:cat>
          <c:val>
            <c:numRef>
              <c:f>Feuil1!$C$65:$C$69</c:f>
              <c:numCache>
                <c:formatCode>0.0</c:formatCode>
                <c:ptCount val="5"/>
                <c:pt idx="0">
                  <c:v>24.7</c:v>
                </c:pt>
                <c:pt idx="1">
                  <c:v>21.1</c:v>
                </c:pt>
                <c:pt idx="2">
                  <c:v>38.200000000000003</c:v>
                </c:pt>
                <c:pt idx="3">
                  <c:v>36.200000000000003</c:v>
                </c:pt>
                <c:pt idx="4">
                  <c:v>8.9</c:v>
                </c:pt>
              </c:numCache>
            </c:numRef>
          </c:val>
        </c:ser>
        <c:overlap val="-20"/>
        <c:axId val="104370560"/>
        <c:axId val="104372096"/>
      </c:barChart>
      <c:catAx>
        <c:axId val="104370560"/>
        <c:scaling>
          <c:orientation val="minMax"/>
        </c:scaling>
        <c:axPos val="b"/>
        <c:tickLblPos val="nextTo"/>
        <c:crossAx val="104372096"/>
        <c:crosses val="autoZero"/>
        <c:auto val="1"/>
        <c:lblAlgn val="ctr"/>
        <c:lblOffset val="100"/>
      </c:catAx>
      <c:valAx>
        <c:axId val="104372096"/>
        <c:scaling>
          <c:orientation val="minMax"/>
        </c:scaling>
        <c:axPos val="l"/>
        <c:numFmt formatCode="0.0" sourceLinked="1"/>
        <c:tickLblPos val="nextTo"/>
        <c:crossAx val="10437056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056A-5317-4111-A7FA-0B7B6FEA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OMEN</dc:creator>
  <cp:lastModifiedBy>HCP</cp:lastModifiedBy>
  <cp:revision>4</cp:revision>
  <cp:lastPrinted>2023-07-31T17:45:00Z</cp:lastPrinted>
  <dcterms:created xsi:type="dcterms:W3CDTF">2023-08-15T11:49:00Z</dcterms:created>
  <dcterms:modified xsi:type="dcterms:W3CDTF">2023-08-15T14:09:00Z</dcterms:modified>
</cp:coreProperties>
</file>