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DA" w:rsidRDefault="008668DA">
      <w:pPr>
        <w:pStyle w:val="normal0"/>
        <w:shd w:val="clear" w:color="auto" w:fill="FFFFFF"/>
        <w:spacing w:after="160" w:line="256" w:lineRule="auto"/>
        <w:jc w:val="center"/>
        <w:rPr>
          <w:rFonts w:ascii="Calibri" w:eastAsia="Calibri" w:hAnsi="Calibri" w:cs="Calibri"/>
          <w:b/>
          <w:color w:val="222222"/>
          <w:sz w:val="28"/>
          <w:szCs w:val="28"/>
          <w:highlight w:val="white"/>
        </w:rPr>
      </w:pPr>
    </w:p>
    <w:p w:rsidR="008668DA" w:rsidRDefault="008668DA">
      <w:pPr>
        <w:pStyle w:val="normal0"/>
        <w:shd w:val="clear" w:color="auto" w:fill="FFFFFF"/>
        <w:spacing w:after="160" w:line="256" w:lineRule="auto"/>
        <w:jc w:val="center"/>
        <w:rPr>
          <w:rFonts w:ascii="Calibri" w:eastAsia="Calibri" w:hAnsi="Calibri" w:cs="Calibri"/>
          <w:b/>
          <w:color w:val="222222"/>
          <w:sz w:val="28"/>
          <w:szCs w:val="28"/>
          <w:highlight w:val="white"/>
        </w:rPr>
      </w:pPr>
    </w:p>
    <w:p w:rsidR="00F921B2" w:rsidRDefault="008668DA">
      <w:pPr>
        <w:pStyle w:val="normal0"/>
        <w:shd w:val="clear" w:color="auto" w:fill="FFFFFF"/>
        <w:spacing w:after="160" w:line="256" w:lineRule="auto"/>
        <w:jc w:val="center"/>
        <w:rPr>
          <w:rFonts w:ascii="Calibri" w:eastAsia="Calibri" w:hAnsi="Calibri" w:cs="Calibri"/>
          <w:b/>
          <w:color w:val="222222"/>
          <w:sz w:val="28"/>
          <w:szCs w:val="28"/>
          <w:highlight w:val="white"/>
        </w:rPr>
      </w:pPr>
      <w:r>
        <w:rPr>
          <w:rFonts w:ascii="Calibri" w:eastAsia="Calibri" w:hAnsi="Calibri" w:cs="Calibri"/>
          <w:b/>
          <w:color w:val="222222"/>
          <w:sz w:val="28"/>
          <w:szCs w:val="28"/>
          <w:highlight w:val="white"/>
        </w:rPr>
        <w:t>Communiqué de presse du Haut- Commissariat au Plan</w:t>
      </w:r>
    </w:p>
    <w:p w:rsidR="00F921B2" w:rsidRDefault="00F921B2">
      <w:pPr>
        <w:pStyle w:val="normal0"/>
        <w:pBdr>
          <w:top w:val="nil"/>
          <w:left w:val="nil"/>
          <w:bottom w:val="nil"/>
          <w:right w:val="nil"/>
          <w:between w:val="nil"/>
        </w:pBdr>
        <w:jc w:val="both"/>
        <w:rPr>
          <w:rFonts w:ascii="Calibri" w:eastAsia="Calibri" w:hAnsi="Calibri" w:cs="Calibri"/>
          <w:color w:val="222222"/>
          <w:sz w:val="26"/>
          <w:szCs w:val="26"/>
          <w:highlight w:val="white"/>
        </w:rPr>
      </w:pPr>
    </w:p>
    <w:p w:rsidR="00F921B2" w:rsidRDefault="00F921B2">
      <w:pPr>
        <w:pStyle w:val="normal0"/>
        <w:pBdr>
          <w:top w:val="nil"/>
          <w:left w:val="nil"/>
          <w:bottom w:val="nil"/>
          <w:right w:val="nil"/>
          <w:between w:val="nil"/>
        </w:pBdr>
        <w:jc w:val="both"/>
        <w:rPr>
          <w:rFonts w:ascii="Calibri" w:eastAsia="Calibri" w:hAnsi="Calibri" w:cs="Calibri"/>
          <w:color w:val="222222"/>
          <w:sz w:val="26"/>
          <w:szCs w:val="26"/>
          <w:highlight w:val="white"/>
        </w:rPr>
      </w:pPr>
    </w:p>
    <w:p w:rsidR="00F921B2" w:rsidRDefault="008668DA">
      <w:pPr>
        <w:pStyle w:val="normal0"/>
        <w:pBdr>
          <w:top w:val="nil"/>
          <w:left w:val="nil"/>
          <w:bottom w:val="nil"/>
          <w:right w:val="nil"/>
          <w:between w:val="nil"/>
        </w:pBdr>
        <w:jc w:val="both"/>
        <w:rPr>
          <w:rFonts w:ascii="Calibri" w:eastAsia="Calibri" w:hAnsi="Calibri" w:cs="Calibri"/>
          <w:color w:val="222222"/>
          <w:sz w:val="26"/>
          <w:szCs w:val="26"/>
          <w:highlight w:val="white"/>
        </w:rPr>
      </w:pPr>
      <w:r>
        <w:rPr>
          <w:rFonts w:ascii="Calibri" w:eastAsia="Calibri" w:hAnsi="Calibri" w:cs="Calibri"/>
          <w:color w:val="222222"/>
          <w:sz w:val="26"/>
          <w:szCs w:val="26"/>
          <w:highlight w:val="white"/>
        </w:rPr>
        <w:t xml:space="preserve">Dans le cadre de la mise en </w:t>
      </w:r>
      <w:proofErr w:type="spellStart"/>
      <w:r>
        <w:rPr>
          <w:rFonts w:ascii="Calibri" w:eastAsia="Calibri" w:hAnsi="Calibri" w:cs="Calibri"/>
          <w:color w:val="222222"/>
          <w:sz w:val="26"/>
          <w:szCs w:val="26"/>
          <w:highlight w:val="white"/>
        </w:rPr>
        <w:t>oeuvre</w:t>
      </w:r>
      <w:proofErr w:type="spellEnd"/>
      <w:r>
        <w:rPr>
          <w:rFonts w:ascii="Calibri" w:eastAsia="Calibri" w:hAnsi="Calibri" w:cs="Calibri"/>
          <w:color w:val="222222"/>
          <w:sz w:val="26"/>
          <w:szCs w:val="26"/>
          <w:highlight w:val="white"/>
        </w:rPr>
        <w:t xml:space="preserve"> du projet de coopération entre le </w:t>
      </w:r>
      <w:proofErr w:type="spellStart"/>
      <w:r>
        <w:rPr>
          <w:rFonts w:ascii="Calibri" w:eastAsia="Calibri" w:hAnsi="Calibri" w:cs="Calibri"/>
          <w:color w:val="222222"/>
          <w:sz w:val="26"/>
          <w:szCs w:val="26"/>
          <w:highlight w:val="white"/>
        </w:rPr>
        <w:t>Haut-Commissariat</w:t>
      </w:r>
      <w:proofErr w:type="spellEnd"/>
      <w:r>
        <w:rPr>
          <w:rFonts w:ascii="Calibri" w:eastAsia="Calibri" w:hAnsi="Calibri" w:cs="Calibri"/>
          <w:color w:val="222222"/>
          <w:sz w:val="26"/>
          <w:szCs w:val="26"/>
          <w:highlight w:val="white"/>
        </w:rPr>
        <w:t xml:space="preserve"> au Plan (HCP) et l'Office statistique danois “</w:t>
      </w:r>
      <w:proofErr w:type="spellStart"/>
      <w:r>
        <w:rPr>
          <w:rFonts w:ascii="Calibri" w:eastAsia="Calibri" w:hAnsi="Calibri" w:cs="Calibri"/>
          <w:i/>
          <w:color w:val="222222"/>
          <w:sz w:val="26"/>
          <w:szCs w:val="26"/>
          <w:highlight w:val="white"/>
        </w:rPr>
        <w:t>Statistics</w:t>
      </w:r>
      <w:proofErr w:type="spellEnd"/>
      <w:r>
        <w:rPr>
          <w:rFonts w:ascii="Calibri" w:eastAsia="Calibri" w:hAnsi="Calibri" w:cs="Calibri"/>
          <w:i/>
          <w:color w:val="222222"/>
          <w:sz w:val="26"/>
          <w:szCs w:val="26"/>
          <w:highlight w:val="white"/>
        </w:rPr>
        <w:t xml:space="preserve"> </w:t>
      </w:r>
      <w:proofErr w:type="spellStart"/>
      <w:r>
        <w:rPr>
          <w:rFonts w:ascii="Calibri" w:eastAsia="Calibri" w:hAnsi="Calibri" w:cs="Calibri"/>
          <w:i/>
          <w:color w:val="222222"/>
          <w:sz w:val="26"/>
          <w:szCs w:val="26"/>
          <w:highlight w:val="white"/>
        </w:rPr>
        <w:t>Denmark</w:t>
      </w:r>
      <w:proofErr w:type="spellEnd"/>
      <w:r>
        <w:rPr>
          <w:rFonts w:ascii="Calibri" w:eastAsia="Calibri" w:hAnsi="Calibri" w:cs="Calibri"/>
          <w:i/>
          <w:color w:val="222222"/>
          <w:sz w:val="26"/>
          <w:szCs w:val="26"/>
          <w:highlight w:val="white"/>
        </w:rPr>
        <w:t>”</w:t>
      </w:r>
      <w:r>
        <w:rPr>
          <w:rFonts w:ascii="Calibri" w:eastAsia="Calibri" w:hAnsi="Calibri" w:cs="Calibri"/>
          <w:color w:val="222222"/>
          <w:sz w:val="26"/>
          <w:szCs w:val="26"/>
          <w:highlight w:val="white"/>
        </w:rPr>
        <w:t xml:space="preserve"> (SD), une réunion du comité de pilotage s'est tenue le 2 octobre 2023 au siège du HCP, et à laquelle ont pris part une délégation de hauts responsables des deux institutions.</w:t>
      </w:r>
    </w:p>
    <w:p w:rsidR="00F921B2" w:rsidRDefault="00F921B2">
      <w:pPr>
        <w:pStyle w:val="normal0"/>
        <w:pBdr>
          <w:top w:val="nil"/>
          <w:left w:val="nil"/>
          <w:bottom w:val="nil"/>
          <w:right w:val="nil"/>
          <w:between w:val="nil"/>
        </w:pBdr>
        <w:jc w:val="both"/>
        <w:rPr>
          <w:rFonts w:ascii="Calibri" w:eastAsia="Calibri" w:hAnsi="Calibri" w:cs="Calibri"/>
          <w:color w:val="222222"/>
          <w:sz w:val="26"/>
          <w:szCs w:val="26"/>
          <w:highlight w:val="white"/>
        </w:rPr>
      </w:pPr>
    </w:p>
    <w:p w:rsidR="00F921B2" w:rsidRDefault="008668DA">
      <w:pPr>
        <w:pStyle w:val="normal0"/>
        <w:jc w:val="both"/>
        <w:rPr>
          <w:rFonts w:ascii="Calibri" w:eastAsia="Calibri" w:hAnsi="Calibri" w:cs="Calibri"/>
          <w:color w:val="222222"/>
          <w:sz w:val="26"/>
          <w:szCs w:val="26"/>
          <w:highlight w:val="white"/>
        </w:rPr>
      </w:pPr>
      <w:r>
        <w:rPr>
          <w:rFonts w:ascii="Calibri" w:eastAsia="Calibri" w:hAnsi="Calibri" w:cs="Calibri"/>
          <w:color w:val="222222"/>
          <w:sz w:val="26"/>
          <w:szCs w:val="26"/>
          <w:highlight w:val="white"/>
        </w:rPr>
        <w:t>Au cours de cette réunion, les deux parties ont fait le point sur les progrès a</w:t>
      </w:r>
      <w:r>
        <w:rPr>
          <w:rFonts w:ascii="Calibri" w:eastAsia="Calibri" w:hAnsi="Calibri" w:cs="Calibri"/>
          <w:color w:val="222222"/>
          <w:sz w:val="26"/>
          <w:szCs w:val="26"/>
          <w:highlight w:val="white"/>
        </w:rPr>
        <w:t xml:space="preserve">ccomplis au cours de la mise en œuvre dudit projet, en particulier le succès du processus de digitalisation des lignes de produits et services du HCP, </w:t>
      </w:r>
      <w:r>
        <w:rPr>
          <w:rFonts w:ascii="Calibri" w:eastAsia="Calibri" w:hAnsi="Calibri" w:cs="Calibri"/>
          <w:sz w:val="26"/>
          <w:szCs w:val="26"/>
          <w:highlight w:val="white"/>
        </w:rPr>
        <w:t xml:space="preserve">amorcé </w:t>
      </w:r>
      <w:r>
        <w:rPr>
          <w:rFonts w:ascii="Calibri" w:eastAsia="Calibri" w:hAnsi="Calibri" w:cs="Calibri"/>
          <w:color w:val="222222"/>
          <w:sz w:val="26"/>
          <w:szCs w:val="26"/>
          <w:highlight w:val="white"/>
        </w:rPr>
        <w:t>en 2019. Les deux institutions se sont félicitées des résultats de leur collaboration, notamment l</w:t>
      </w:r>
      <w:r>
        <w:rPr>
          <w:rFonts w:ascii="Calibri" w:eastAsia="Calibri" w:hAnsi="Calibri" w:cs="Calibri"/>
          <w:color w:val="222222"/>
          <w:sz w:val="26"/>
          <w:szCs w:val="26"/>
          <w:highlight w:val="white"/>
        </w:rPr>
        <w:t>a mise en place d’un data management centre, l’utilisation du mode de collecte web pour les enquêtes auprès des entreprises, la mise en place d’un répertoire statistique des entreprises et la refonte du site web du HCP. D’autres activités du projet se pour</w:t>
      </w:r>
      <w:r>
        <w:rPr>
          <w:rFonts w:ascii="Calibri" w:eastAsia="Calibri" w:hAnsi="Calibri" w:cs="Calibri"/>
          <w:color w:val="222222"/>
          <w:sz w:val="26"/>
          <w:szCs w:val="26"/>
          <w:highlight w:val="white"/>
        </w:rPr>
        <w:t>suivent pour parachever l’utilisation des registres administratifs à des fins statistiques et optimiser la collaboration interinstitutionnelle au Maroc pour élaborer le compte satellite de l’eau.</w:t>
      </w:r>
    </w:p>
    <w:p w:rsidR="00F921B2" w:rsidRDefault="00F921B2">
      <w:pPr>
        <w:pStyle w:val="normal0"/>
        <w:pBdr>
          <w:top w:val="nil"/>
          <w:left w:val="nil"/>
          <w:bottom w:val="nil"/>
          <w:right w:val="nil"/>
          <w:between w:val="nil"/>
        </w:pBdr>
        <w:jc w:val="both"/>
        <w:rPr>
          <w:rFonts w:ascii="Calibri" w:eastAsia="Calibri" w:hAnsi="Calibri" w:cs="Calibri"/>
          <w:color w:val="222222"/>
          <w:sz w:val="26"/>
          <w:szCs w:val="26"/>
          <w:highlight w:val="white"/>
        </w:rPr>
      </w:pPr>
    </w:p>
    <w:p w:rsidR="00F921B2" w:rsidRDefault="008668DA">
      <w:pPr>
        <w:pStyle w:val="normal0"/>
        <w:pBdr>
          <w:top w:val="nil"/>
          <w:left w:val="nil"/>
          <w:bottom w:val="nil"/>
          <w:right w:val="nil"/>
          <w:between w:val="nil"/>
        </w:pBdr>
        <w:jc w:val="both"/>
        <w:rPr>
          <w:rFonts w:ascii="Calibri" w:eastAsia="Calibri" w:hAnsi="Calibri" w:cs="Calibri"/>
          <w:color w:val="222222"/>
          <w:sz w:val="26"/>
          <w:szCs w:val="26"/>
          <w:highlight w:val="white"/>
        </w:rPr>
      </w:pPr>
      <w:r>
        <w:rPr>
          <w:rFonts w:ascii="Calibri" w:eastAsia="Calibri" w:hAnsi="Calibri" w:cs="Calibri"/>
          <w:color w:val="222222"/>
          <w:sz w:val="26"/>
          <w:szCs w:val="26"/>
          <w:highlight w:val="white"/>
        </w:rPr>
        <w:t>Se félicitant de l'exemplarité de leur partenariat, les deu</w:t>
      </w:r>
      <w:r>
        <w:rPr>
          <w:rFonts w:ascii="Calibri" w:eastAsia="Calibri" w:hAnsi="Calibri" w:cs="Calibri"/>
          <w:color w:val="222222"/>
          <w:sz w:val="26"/>
          <w:szCs w:val="26"/>
          <w:highlight w:val="white"/>
        </w:rPr>
        <w:t>x institutions ont exprimé la volonté et l’intérêt d’en prolonger le cadre pour une deuxième phase, particulièrement consacrée à des domaines stratégiques tels que l'économie verte, l'économie digitale et la modélisation, renforçant ainsi leur engagement à</w:t>
      </w:r>
      <w:r>
        <w:rPr>
          <w:rFonts w:ascii="Calibri" w:eastAsia="Calibri" w:hAnsi="Calibri" w:cs="Calibri"/>
          <w:color w:val="222222"/>
          <w:sz w:val="26"/>
          <w:szCs w:val="26"/>
          <w:highlight w:val="white"/>
        </w:rPr>
        <w:t xml:space="preserve"> contribuer au développement économique durable et à l'amélioration des statistiques au Maroc.</w:t>
      </w:r>
    </w:p>
    <w:sectPr w:rsidR="00F921B2" w:rsidSect="00F921B2">
      <w:pgSz w:w="11909" w:h="16834"/>
      <w:pgMar w:top="1440" w:right="1440" w:bottom="1440" w:left="1440" w:header="72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compat/>
  <w:rsids>
    <w:rsidRoot w:val="00F921B2"/>
    <w:rsid w:val="008668DA"/>
    <w:rsid w:val="00F921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F921B2"/>
    <w:pPr>
      <w:keepNext/>
      <w:keepLines/>
      <w:spacing w:before="400" w:after="120"/>
      <w:outlineLvl w:val="0"/>
    </w:pPr>
    <w:rPr>
      <w:sz w:val="40"/>
      <w:szCs w:val="40"/>
    </w:rPr>
  </w:style>
  <w:style w:type="paragraph" w:styleId="Titre2">
    <w:name w:val="heading 2"/>
    <w:basedOn w:val="normal0"/>
    <w:next w:val="normal0"/>
    <w:rsid w:val="00F921B2"/>
    <w:pPr>
      <w:keepNext/>
      <w:keepLines/>
      <w:spacing w:before="360" w:after="120"/>
      <w:outlineLvl w:val="1"/>
    </w:pPr>
    <w:rPr>
      <w:sz w:val="32"/>
      <w:szCs w:val="32"/>
    </w:rPr>
  </w:style>
  <w:style w:type="paragraph" w:styleId="Titre3">
    <w:name w:val="heading 3"/>
    <w:basedOn w:val="normal0"/>
    <w:next w:val="normal0"/>
    <w:rsid w:val="00F921B2"/>
    <w:pPr>
      <w:keepNext/>
      <w:keepLines/>
      <w:spacing w:before="320" w:after="80"/>
      <w:outlineLvl w:val="2"/>
    </w:pPr>
    <w:rPr>
      <w:color w:val="434343"/>
      <w:sz w:val="28"/>
      <w:szCs w:val="28"/>
    </w:rPr>
  </w:style>
  <w:style w:type="paragraph" w:styleId="Titre4">
    <w:name w:val="heading 4"/>
    <w:basedOn w:val="normal0"/>
    <w:next w:val="normal0"/>
    <w:rsid w:val="00F921B2"/>
    <w:pPr>
      <w:keepNext/>
      <w:keepLines/>
      <w:spacing w:before="280" w:after="80"/>
      <w:outlineLvl w:val="3"/>
    </w:pPr>
    <w:rPr>
      <w:color w:val="666666"/>
      <w:sz w:val="24"/>
      <w:szCs w:val="24"/>
    </w:rPr>
  </w:style>
  <w:style w:type="paragraph" w:styleId="Titre5">
    <w:name w:val="heading 5"/>
    <w:basedOn w:val="normal0"/>
    <w:next w:val="normal0"/>
    <w:rsid w:val="00F921B2"/>
    <w:pPr>
      <w:keepNext/>
      <w:keepLines/>
      <w:spacing w:before="240" w:after="80"/>
      <w:outlineLvl w:val="4"/>
    </w:pPr>
    <w:rPr>
      <w:color w:val="666666"/>
    </w:rPr>
  </w:style>
  <w:style w:type="paragraph" w:styleId="Titre6">
    <w:name w:val="heading 6"/>
    <w:basedOn w:val="normal0"/>
    <w:next w:val="normal0"/>
    <w:rsid w:val="00F921B2"/>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F921B2"/>
  </w:style>
  <w:style w:type="table" w:customStyle="1" w:styleId="TableNormal">
    <w:name w:val="Table Normal"/>
    <w:rsid w:val="00F921B2"/>
    <w:tblPr>
      <w:tblCellMar>
        <w:top w:w="0" w:type="dxa"/>
        <w:left w:w="0" w:type="dxa"/>
        <w:bottom w:w="0" w:type="dxa"/>
        <w:right w:w="0" w:type="dxa"/>
      </w:tblCellMar>
    </w:tblPr>
  </w:style>
  <w:style w:type="paragraph" w:styleId="Titre">
    <w:name w:val="Title"/>
    <w:basedOn w:val="normal0"/>
    <w:next w:val="normal0"/>
    <w:rsid w:val="00F921B2"/>
    <w:pPr>
      <w:keepNext/>
      <w:keepLines/>
      <w:spacing w:after="60"/>
    </w:pPr>
    <w:rPr>
      <w:sz w:val="52"/>
      <w:szCs w:val="52"/>
    </w:rPr>
  </w:style>
  <w:style w:type="paragraph" w:styleId="Sous-titre">
    <w:name w:val="Subtitle"/>
    <w:basedOn w:val="normal0"/>
    <w:next w:val="normal0"/>
    <w:rsid w:val="00F921B2"/>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1339</Characters>
  <Application>Microsoft Office Word</Application>
  <DocSecurity>0</DocSecurity>
  <Lines>11</Lines>
  <Paragraphs>3</Paragraphs>
  <ScaleCrop>false</ScaleCrop>
  <Company>Hewlett-Packard Company</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HCP</cp:lastModifiedBy>
  <cp:revision>2</cp:revision>
  <dcterms:created xsi:type="dcterms:W3CDTF">2023-10-12T11:45:00Z</dcterms:created>
  <dcterms:modified xsi:type="dcterms:W3CDTF">2023-10-12T11:46:00Z</dcterms:modified>
</cp:coreProperties>
</file>