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3" w:rsidRDefault="00283BE3" w:rsidP="00A810BF">
      <w:pPr>
        <w:pStyle w:val="MMTitle"/>
        <w:spacing w:before="240" w:after="240" w:line="312" w:lineRule="auto"/>
        <w:ind w:left="-181"/>
        <w:jc w:val="center"/>
        <w:outlineLvl w:val="0"/>
        <w:rPr>
          <w:rFonts w:ascii="Book Antiqua" w:hAnsi="Book Antiqua" w:cstheme="majorHAnsi"/>
          <w:b/>
          <w:bCs/>
          <w:shadow/>
          <w:color w:val="4F81BD" w:themeColor="accent1"/>
          <w:sz w:val="24"/>
          <w:szCs w:val="24"/>
        </w:rPr>
      </w:pPr>
    </w:p>
    <w:p w:rsidR="00283BE3" w:rsidRDefault="00283BE3" w:rsidP="00A810BF">
      <w:pPr>
        <w:pStyle w:val="MMTitle"/>
        <w:spacing w:before="240" w:after="240" w:line="312" w:lineRule="auto"/>
        <w:ind w:left="-181"/>
        <w:jc w:val="center"/>
        <w:outlineLvl w:val="0"/>
        <w:rPr>
          <w:rFonts w:ascii="Book Antiqua" w:hAnsi="Book Antiqua" w:cstheme="majorHAnsi"/>
          <w:b/>
          <w:bCs/>
          <w:shadow/>
          <w:color w:val="4F81BD" w:themeColor="accent1"/>
          <w:sz w:val="24"/>
          <w:szCs w:val="24"/>
        </w:rPr>
      </w:pPr>
    </w:p>
    <w:p w:rsidR="00283BE3" w:rsidRDefault="00283BE3" w:rsidP="00A810BF">
      <w:pPr>
        <w:pStyle w:val="MMTitle"/>
        <w:spacing w:before="240" w:after="240" w:line="312" w:lineRule="auto"/>
        <w:ind w:left="-181"/>
        <w:jc w:val="center"/>
        <w:outlineLvl w:val="0"/>
        <w:rPr>
          <w:rFonts w:ascii="Book Antiqua" w:hAnsi="Book Antiqua" w:cstheme="majorHAnsi"/>
          <w:b/>
          <w:bCs/>
          <w:shadow/>
          <w:color w:val="4F81BD" w:themeColor="accent1"/>
          <w:sz w:val="24"/>
          <w:szCs w:val="24"/>
        </w:rPr>
      </w:pPr>
    </w:p>
    <w:p w:rsidR="00283BE3" w:rsidRDefault="00283BE3" w:rsidP="00A810BF">
      <w:pPr>
        <w:pStyle w:val="MMTitle"/>
        <w:spacing w:before="240" w:after="240" w:line="312" w:lineRule="auto"/>
        <w:ind w:left="-181"/>
        <w:jc w:val="center"/>
        <w:outlineLvl w:val="0"/>
        <w:rPr>
          <w:rFonts w:ascii="Book Antiqua" w:hAnsi="Book Antiqua" w:cstheme="majorHAnsi"/>
          <w:b/>
          <w:bCs/>
          <w:shadow/>
          <w:color w:val="4F81BD" w:themeColor="accent1"/>
          <w:sz w:val="24"/>
          <w:szCs w:val="24"/>
        </w:rPr>
      </w:pPr>
    </w:p>
    <w:p w:rsidR="00283BE3" w:rsidRDefault="00283BE3" w:rsidP="00A810BF">
      <w:pPr>
        <w:pStyle w:val="MMTitle"/>
        <w:spacing w:before="240" w:after="240" w:line="312" w:lineRule="auto"/>
        <w:ind w:left="-181"/>
        <w:jc w:val="center"/>
        <w:outlineLvl w:val="0"/>
        <w:rPr>
          <w:rFonts w:ascii="Book Antiqua" w:hAnsi="Book Antiqua" w:cstheme="majorHAnsi"/>
          <w:b/>
          <w:bCs/>
          <w:shadow/>
          <w:color w:val="4F81BD" w:themeColor="accent1"/>
          <w:sz w:val="24"/>
          <w:szCs w:val="24"/>
        </w:rPr>
      </w:pPr>
    </w:p>
    <w:p w:rsidR="00713D06" w:rsidRDefault="00713D06" w:rsidP="00713D06">
      <w:pPr>
        <w:pStyle w:val="MMTitle"/>
        <w:spacing w:line="312" w:lineRule="auto"/>
        <w:ind w:left="-181"/>
        <w:jc w:val="center"/>
        <w:outlineLvl w:val="0"/>
        <w:rPr>
          <w:rFonts w:ascii="Book Antiqua" w:hAnsi="Book Antiqua" w:cstheme="majorHAnsi"/>
          <w:b/>
          <w:bCs/>
          <w:shadow/>
          <w:color w:val="4F81BD" w:themeColor="accent1"/>
          <w:sz w:val="24"/>
          <w:szCs w:val="24"/>
        </w:rPr>
      </w:pPr>
      <w:r w:rsidRPr="00AE2445">
        <w:rPr>
          <w:rFonts w:ascii="Book Antiqua" w:hAnsi="Book Antiqua" w:cstheme="majorHAnsi"/>
          <w:b/>
          <w:bCs/>
          <w:shadow/>
          <w:color w:val="4F81BD" w:themeColor="accent1"/>
          <w:sz w:val="24"/>
          <w:szCs w:val="24"/>
        </w:rPr>
        <w:t xml:space="preserve">NOTE D’INFORMATION DU HAUT-COMMISSARIAT AU PLAN </w:t>
      </w:r>
    </w:p>
    <w:p w:rsidR="00713D06" w:rsidRPr="00AE2445" w:rsidRDefault="00713D06" w:rsidP="00713D06">
      <w:pPr>
        <w:pStyle w:val="MMTitle"/>
        <w:spacing w:line="312" w:lineRule="auto"/>
        <w:ind w:left="-181"/>
        <w:jc w:val="center"/>
        <w:outlineLvl w:val="0"/>
        <w:rPr>
          <w:rFonts w:ascii="Book Antiqua" w:hAnsi="Book Antiqua" w:cstheme="majorHAnsi"/>
          <w:b/>
          <w:bCs/>
          <w:shadow/>
          <w:color w:val="4F81BD" w:themeColor="accent1"/>
          <w:sz w:val="24"/>
          <w:szCs w:val="24"/>
        </w:rPr>
      </w:pPr>
      <w:r w:rsidRPr="00AE2445">
        <w:rPr>
          <w:rFonts w:ascii="Book Antiqua" w:hAnsi="Book Antiqua" w:cstheme="majorHAnsi"/>
          <w:b/>
          <w:bCs/>
          <w:shadow/>
          <w:color w:val="4F81BD" w:themeColor="accent1"/>
          <w:sz w:val="24"/>
          <w:szCs w:val="24"/>
        </w:rPr>
        <w:t xml:space="preserve">RELATIVE </w:t>
      </w:r>
      <w:r>
        <w:rPr>
          <w:rFonts w:ascii="Book Antiqua" w:hAnsi="Book Antiqua" w:cstheme="majorHAnsi"/>
          <w:b/>
          <w:bCs/>
          <w:shadow/>
          <w:color w:val="4F81BD" w:themeColor="accent1"/>
          <w:sz w:val="24"/>
          <w:szCs w:val="24"/>
        </w:rPr>
        <w:t>À</w:t>
      </w:r>
      <w:r w:rsidRPr="00AE2445">
        <w:rPr>
          <w:rFonts w:ascii="Book Antiqua" w:hAnsi="Book Antiqua" w:cstheme="majorHAnsi"/>
          <w:b/>
          <w:bCs/>
          <w:shadow/>
          <w:color w:val="4F81BD" w:themeColor="accent1"/>
          <w:sz w:val="24"/>
          <w:szCs w:val="24"/>
        </w:rPr>
        <w:t xml:space="preserve"> LA SITUATION DU MARCH</w:t>
      </w:r>
      <w:r>
        <w:rPr>
          <w:rFonts w:ascii="Book Antiqua" w:hAnsi="Book Antiqua" w:cstheme="majorHAnsi"/>
          <w:b/>
          <w:bCs/>
          <w:shadow/>
          <w:color w:val="4F81BD" w:themeColor="accent1"/>
          <w:sz w:val="24"/>
          <w:szCs w:val="24"/>
        </w:rPr>
        <w:t>É</w:t>
      </w:r>
      <w:r w:rsidRPr="00AE2445">
        <w:rPr>
          <w:rFonts w:ascii="Book Antiqua" w:hAnsi="Book Antiqua" w:cstheme="majorHAnsi"/>
          <w:b/>
          <w:bCs/>
          <w:shadow/>
          <w:color w:val="4F81BD" w:themeColor="accent1"/>
          <w:sz w:val="24"/>
          <w:szCs w:val="24"/>
        </w:rPr>
        <w:t xml:space="preserve"> DU TRAVAIL </w:t>
      </w:r>
    </w:p>
    <w:p w:rsidR="00713D06" w:rsidRPr="00AE2445" w:rsidRDefault="00713D06" w:rsidP="00713D06">
      <w:pPr>
        <w:pStyle w:val="MMTitle"/>
        <w:spacing w:line="312" w:lineRule="auto"/>
        <w:ind w:left="-181"/>
        <w:jc w:val="center"/>
        <w:outlineLvl w:val="0"/>
        <w:rPr>
          <w:rFonts w:ascii="Book Antiqua" w:hAnsi="Book Antiqua" w:cstheme="majorHAnsi"/>
          <w:b/>
          <w:bCs/>
          <w:shadow/>
          <w:color w:val="4F81BD" w:themeColor="accent1"/>
          <w:sz w:val="28"/>
          <w:szCs w:val="28"/>
        </w:rPr>
      </w:pPr>
      <w:r w:rsidRPr="00AE2445">
        <w:rPr>
          <w:rFonts w:ascii="Book Antiqua" w:hAnsi="Book Antiqua" w:cstheme="majorHAnsi"/>
          <w:b/>
          <w:bCs/>
          <w:shadow/>
          <w:color w:val="4F81BD" w:themeColor="accent1"/>
          <w:sz w:val="24"/>
          <w:szCs w:val="24"/>
        </w:rPr>
        <w:t>AU TROISI</w:t>
      </w:r>
      <w:r>
        <w:rPr>
          <w:rFonts w:ascii="Book Antiqua" w:hAnsi="Book Antiqua" w:cstheme="majorHAnsi"/>
          <w:b/>
          <w:bCs/>
          <w:shadow/>
          <w:color w:val="4F81BD" w:themeColor="accent1"/>
          <w:sz w:val="24"/>
          <w:szCs w:val="24"/>
        </w:rPr>
        <w:t>È</w:t>
      </w:r>
      <w:r w:rsidRPr="00AE2445">
        <w:rPr>
          <w:rFonts w:ascii="Book Antiqua" w:hAnsi="Book Antiqua" w:cstheme="majorHAnsi"/>
          <w:b/>
          <w:bCs/>
          <w:shadow/>
          <w:color w:val="4F81BD" w:themeColor="accent1"/>
          <w:sz w:val="24"/>
          <w:szCs w:val="24"/>
        </w:rPr>
        <w:t xml:space="preserve">ME TRIMESTRE DE </w:t>
      </w:r>
      <w:r w:rsidRPr="00992282">
        <w:rPr>
          <w:rFonts w:ascii="Book Antiqua" w:hAnsi="Book Antiqua" w:cstheme="majorHAnsi"/>
          <w:b/>
          <w:bCs/>
          <w:shadow/>
          <w:color w:val="4F81BD" w:themeColor="accent1"/>
          <w:sz w:val="26"/>
          <w:szCs w:val="26"/>
        </w:rPr>
        <w:t>2023</w:t>
      </w:r>
    </w:p>
    <w:p w:rsidR="00283BE3" w:rsidRDefault="0018272A" w:rsidP="00A810BF">
      <w:pPr>
        <w:spacing w:before="240" w:after="240" w:line="312" w:lineRule="auto"/>
        <w:contextualSpacing/>
        <w:jc w:val="both"/>
        <w:rPr>
          <w:rFonts w:ascii="Book Antiqua" w:eastAsia="Book Antiqua" w:hAnsi="Book Antiqua" w:cs="Book Antiqua"/>
          <w:b/>
          <w:color w:val="4472C4"/>
        </w:rPr>
      </w:pPr>
      <w:r>
        <w:rPr>
          <w:rFonts w:ascii="Book Antiqua" w:eastAsia="Book Antiqua" w:hAnsi="Book Antiqua" w:cs="Book Antiqua"/>
          <w:b/>
          <w:color w:val="4472C4"/>
        </w:rPr>
        <w:t xml:space="preserve"> </w:t>
      </w:r>
    </w:p>
    <w:p w:rsidR="00283BE3" w:rsidRPr="00A937A5" w:rsidRDefault="00283BE3" w:rsidP="00E04334">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A937A5">
        <w:rPr>
          <w:rFonts w:ascii="Book Antiqua" w:eastAsia="Book Antiqua" w:hAnsi="Book Antiqua" w:cs="Book Antiqua"/>
          <w:b/>
          <w:bCs/>
          <w:color w:val="0070C0"/>
          <w:sz w:val="26"/>
          <w:szCs w:val="26"/>
        </w:rPr>
        <w:t>Entre le troisième trim</w:t>
      </w:r>
      <w:r>
        <w:rPr>
          <w:rFonts w:ascii="Book Antiqua" w:eastAsia="Book Antiqua" w:hAnsi="Book Antiqua" w:cs="Book Antiqua"/>
          <w:b/>
          <w:bCs/>
          <w:color w:val="0070C0"/>
          <w:sz w:val="26"/>
          <w:szCs w:val="26"/>
        </w:rPr>
        <w:t>estre de 2022 et celui de 202</w:t>
      </w:r>
      <w:r w:rsidR="00713D06">
        <w:rPr>
          <w:rFonts w:ascii="Book Antiqua" w:eastAsia="Book Antiqua" w:hAnsi="Book Antiqua" w:cs="Book Antiqua"/>
          <w:b/>
          <w:bCs/>
          <w:color w:val="0070C0"/>
          <w:sz w:val="26"/>
          <w:szCs w:val="26"/>
        </w:rPr>
        <w:t>3</w:t>
      </w:r>
      <w:r>
        <w:rPr>
          <w:rFonts w:ascii="Book Antiqua" w:eastAsia="Book Antiqua" w:hAnsi="Book Antiqua" w:cs="Book Antiqua"/>
          <w:b/>
          <w:bCs/>
          <w:color w:val="0070C0"/>
          <w:sz w:val="26"/>
          <w:szCs w:val="26"/>
        </w:rPr>
        <w:t xml:space="preserve">, </w:t>
      </w:r>
      <w:r w:rsidR="00E04334" w:rsidRPr="00A937A5">
        <w:rPr>
          <w:rFonts w:ascii="Book Antiqua" w:eastAsia="Book Antiqua" w:hAnsi="Book Antiqua" w:cs="Book Antiqua"/>
          <w:b/>
          <w:bCs/>
          <w:color w:val="0070C0"/>
          <w:sz w:val="26"/>
          <w:szCs w:val="26"/>
        </w:rPr>
        <w:t>l</w:t>
      </w:r>
      <w:r w:rsidR="00E04334">
        <w:rPr>
          <w:rFonts w:ascii="Book Antiqua" w:eastAsia="Book Antiqua" w:hAnsi="Book Antiqua" w:cs="Book Antiqua"/>
          <w:b/>
          <w:bCs/>
          <w:color w:val="0070C0"/>
          <w:sz w:val="26"/>
          <w:szCs w:val="26"/>
        </w:rPr>
        <w:t xml:space="preserve">’économie nationale a perdu 297.000 postes d’emploi, se décomposant en une diminution de </w:t>
      </w:r>
      <w:r w:rsidRPr="00A937A5">
        <w:rPr>
          <w:rFonts w:ascii="Book Antiqua" w:eastAsia="Book Antiqua" w:hAnsi="Book Antiqua" w:cs="Book Antiqua"/>
          <w:b/>
          <w:bCs/>
          <w:color w:val="0070C0"/>
          <w:sz w:val="26"/>
          <w:szCs w:val="26"/>
        </w:rPr>
        <w:t>29.000 postes en milieu urbain et de 269.000 en milieu rural</w:t>
      </w:r>
      <w:r w:rsidR="00E04334">
        <w:rPr>
          <w:rFonts w:ascii="Book Antiqua" w:eastAsia="Book Antiqua" w:hAnsi="Book Antiqua" w:cs="Book Antiqua"/>
          <w:b/>
          <w:bCs/>
          <w:color w:val="0070C0"/>
          <w:sz w:val="26"/>
          <w:szCs w:val="26"/>
        </w:rPr>
        <w:t>.</w:t>
      </w:r>
      <w:r w:rsidRPr="00A937A5">
        <w:rPr>
          <w:rFonts w:ascii="Book Antiqua" w:eastAsia="Book Antiqua" w:hAnsi="Book Antiqua" w:cs="Book Antiqua"/>
          <w:b/>
          <w:bCs/>
          <w:color w:val="0070C0"/>
          <w:sz w:val="26"/>
          <w:szCs w:val="26"/>
        </w:rPr>
        <w:t xml:space="preserve"> </w:t>
      </w:r>
    </w:p>
    <w:p w:rsidR="00283BE3" w:rsidRPr="00A937A5" w:rsidRDefault="00283BE3" w:rsidP="008C5334">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A937A5">
        <w:rPr>
          <w:rFonts w:ascii="Book Antiqua" w:eastAsia="Book Antiqua" w:hAnsi="Book Antiqua" w:cs="Book Antiqua"/>
          <w:b/>
          <w:bCs/>
          <w:color w:val="0070C0"/>
          <w:sz w:val="26"/>
          <w:szCs w:val="26"/>
        </w:rPr>
        <w:t xml:space="preserve">Le secteur </w:t>
      </w:r>
      <w:r w:rsidR="0046254F" w:rsidRPr="00A937A5">
        <w:rPr>
          <w:rFonts w:ascii="Book Antiqua" w:eastAsia="Book Antiqua" w:hAnsi="Book Antiqua" w:cs="Book Antiqua"/>
          <w:b/>
          <w:bCs/>
          <w:color w:val="0070C0"/>
          <w:sz w:val="26"/>
          <w:szCs w:val="26"/>
        </w:rPr>
        <w:t>de l’"agriculture forêt et pêche"</w:t>
      </w:r>
      <w:r w:rsidR="0046254F">
        <w:rPr>
          <w:rFonts w:ascii="Book Antiqua" w:eastAsia="Book Antiqua" w:hAnsi="Book Antiqua" w:cs="Book Antiqua"/>
          <w:b/>
          <w:bCs/>
          <w:color w:val="0070C0"/>
          <w:sz w:val="26"/>
          <w:szCs w:val="26"/>
        </w:rPr>
        <w:t xml:space="preserve"> </w:t>
      </w:r>
      <w:r w:rsidR="0046254F" w:rsidRPr="00A937A5">
        <w:rPr>
          <w:rFonts w:ascii="Book Antiqua" w:eastAsia="Book Antiqua" w:hAnsi="Book Antiqua" w:cs="Book Antiqua"/>
          <w:b/>
          <w:bCs/>
          <w:color w:val="0070C0"/>
          <w:sz w:val="26"/>
          <w:szCs w:val="26"/>
        </w:rPr>
        <w:t>a perdu 297.000</w:t>
      </w:r>
      <w:r w:rsidR="0046254F" w:rsidRPr="0046254F">
        <w:rPr>
          <w:rFonts w:ascii="Book Antiqua" w:eastAsia="Book Antiqua" w:hAnsi="Book Antiqua" w:cs="Book Antiqua"/>
          <w:b/>
          <w:bCs/>
          <w:color w:val="0070C0"/>
          <w:sz w:val="26"/>
          <w:szCs w:val="26"/>
        </w:rPr>
        <w:t xml:space="preserve"> </w:t>
      </w:r>
      <w:r w:rsidR="0046254F" w:rsidRPr="00A937A5">
        <w:rPr>
          <w:rFonts w:ascii="Book Antiqua" w:eastAsia="Book Antiqua" w:hAnsi="Book Antiqua" w:cs="Book Antiqua"/>
          <w:b/>
          <w:bCs/>
          <w:color w:val="0070C0"/>
          <w:sz w:val="26"/>
          <w:szCs w:val="26"/>
        </w:rPr>
        <w:t>postes</w:t>
      </w:r>
      <w:r w:rsidR="0046254F">
        <w:rPr>
          <w:rFonts w:ascii="Book Antiqua" w:eastAsia="Book Antiqua" w:hAnsi="Book Antiqua" w:cs="Book Antiqua"/>
          <w:b/>
          <w:bCs/>
          <w:color w:val="0070C0"/>
          <w:sz w:val="26"/>
          <w:szCs w:val="26"/>
        </w:rPr>
        <w:t xml:space="preserve"> d’emploi</w:t>
      </w:r>
      <w:r w:rsidR="0046254F" w:rsidRPr="00A937A5">
        <w:rPr>
          <w:rFonts w:ascii="Book Antiqua" w:eastAsia="Book Antiqua" w:hAnsi="Book Antiqua" w:cs="Book Antiqua"/>
          <w:b/>
          <w:bCs/>
          <w:color w:val="0070C0"/>
          <w:sz w:val="26"/>
          <w:szCs w:val="26"/>
        </w:rPr>
        <w:t xml:space="preserve">, les services 15.000 et </w:t>
      </w:r>
      <w:r w:rsidR="008C5334">
        <w:rPr>
          <w:rFonts w:ascii="Book Antiqua" w:eastAsia="Book Antiqua" w:hAnsi="Book Antiqua" w:cs="Book Antiqua"/>
          <w:b/>
          <w:bCs/>
          <w:color w:val="0070C0"/>
          <w:sz w:val="26"/>
          <w:szCs w:val="26"/>
        </w:rPr>
        <w:t>celui des BTP 2.000</w:t>
      </w:r>
      <w:r w:rsidRPr="00A937A5">
        <w:rPr>
          <w:rFonts w:ascii="Book Antiqua" w:eastAsia="Book Antiqua" w:hAnsi="Book Antiqua" w:cs="Book Antiqua"/>
          <w:b/>
          <w:bCs/>
          <w:color w:val="0070C0"/>
          <w:sz w:val="26"/>
          <w:szCs w:val="26"/>
        </w:rPr>
        <w:t xml:space="preserve">, alors que le secteur </w:t>
      </w:r>
      <w:r w:rsidR="0046254F" w:rsidRPr="00A937A5">
        <w:rPr>
          <w:rFonts w:ascii="Book Antiqua" w:eastAsia="Book Antiqua" w:hAnsi="Book Antiqua" w:cs="Book Antiqua"/>
          <w:b/>
          <w:bCs/>
          <w:color w:val="0070C0"/>
          <w:sz w:val="26"/>
          <w:szCs w:val="26"/>
        </w:rPr>
        <w:t>de l’"industrie</w:t>
      </w:r>
      <w:r w:rsidR="0046254F">
        <w:rPr>
          <w:rFonts w:ascii="Book Antiqua" w:eastAsia="Book Antiqua" w:hAnsi="Book Antiqua" w:cstheme="minorBidi"/>
          <w:b/>
          <w:bCs/>
          <w:color w:val="0070C0"/>
          <w:sz w:val="26"/>
          <w:szCs w:val="26"/>
          <w:lang w:bidi="tzm-Arab-MA"/>
        </w:rPr>
        <w:t xml:space="preserve"> y compris l’artisanat</w:t>
      </w:r>
      <w:r w:rsidR="0046254F" w:rsidRPr="00A937A5">
        <w:rPr>
          <w:rFonts w:ascii="Book Antiqua" w:eastAsia="Book Antiqua" w:hAnsi="Book Antiqua" w:cs="Book Antiqua"/>
          <w:b/>
          <w:bCs/>
          <w:color w:val="0070C0"/>
          <w:sz w:val="26"/>
          <w:szCs w:val="26"/>
        </w:rPr>
        <w:t xml:space="preserve">" </w:t>
      </w:r>
      <w:r w:rsidR="008C5334" w:rsidRPr="006D6719">
        <w:rPr>
          <w:rFonts w:ascii="Book Antiqua" w:eastAsia="Book Antiqua" w:hAnsi="Book Antiqua" w:cs="Book Antiqua"/>
          <w:b/>
          <w:bCs/>
          <w:color w:val="0070C0"/>
          <w:sz w:val="26"/>
          <w:szCs w:val="26"/>
        </w:rPr>
        <w:t>a en</w:t>
      </w:r>
      <w:r w:rsidR="0046254F" w:rsidRPr="006D6719">
        <w:rPr>
          <w:rFonts w:ascii="Book Antiqua" w:eastAsia="Book Antiqua" w:hAnsi="Book Antiqua" w:cs="Book Antiqua"/>
          <w:b/>
          <w:bCs/>
          <w:color w:val="0070C0"/>
          <w:sz w:val="26"/>
          <w:szCs w:val="26"/>
        </w:rPr>
        <w:t xml:space="preserve"> créé</w:t>
      </w:r>
      <w:r w:rsidR="0046254F" w:rsidRPr="00A937A5">
        <w:rPr>
          <w:rFonts w:ascii="Book Antiqua" w:eastAsia="Book Antiqua" w:hAnsi="Book Antiqua" w:cs="Book Antiqua"/>
          <w:b/>
          <w:bCs/>
          <w:color w:val="0070C0"/>
          <w:sz w:val="26"/>
          <w:szCs w:val="26"/>
        </w:rPr>
        <w:t xml:space="preserve"> 14.000</w:t>
      </w:r>
      <w:r w:rsidRPr="00A937A5">
        <w:rPr>
          <w:rFonts w:ascii="Book Antiqua" w:eastAsia="Book Antiqua" w:hAnsi="Book Antiqua" w:cs="Book Antiqua"/>
          <w:b/>
          <w:bCs/>
          <w:color w:val="0070C0"/>
          <w:sz w:val="26"/>
          <w:szCs w:val="26"/>
        </w:rPr>
        <w:t>.</w:t>
      </w:r>
    </w:p>
    <w:p w:rsidR="00283BE3" w:rsidRPr="00A937A5" w:rsidRDefault="00283BE3" w:rsidP="00A810BF">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A937A5">
        <w:rPr>
          <w:rFonts w:ascii="Book Antiqua" w:eastAsia="Book Antiqua" w:hAnsi="Book Antiqua" w:cs="Book Antiqua"/>
          <w:b/>
          <w:bCs/>
          <w:color w:val="0070C0"/>
          <w:sz w:val="26"/>
          <w:szCs w:val="26"/>
        </w:rPr>
        <w:t>Avec une hausse de 248.000, dont 181.000 en milieu urbain et 67.000 en milieu rural, le volume du chômage a atteint</w:t>
      </w:r>
      <w:r w:rsidR="008C5334" w:rsidRPr="006D6719">
        <w:rPr>
          <w:rFonts w:ascii="Book Antiqua" w:eastAsia="Book Antiqua" w:hAnsi="Book Antiqua" w:cs="Book Antiqua"/>
          <w:b/>
          <w:bCs/>
          <w:color w:val="0070C0"/>
          <w:sz w:val="26"/>
          <w:szCs w:val="26"/>
        </w:rPr>
        <w:t>, au troisième trimestre de 2023,</w:t>
      </w:r>
      <w:r w:rsidRPr="00A937A5">
        <w:rPr>
          <w:rFonts w:ascii="Book Antiqua" w:eastAsia="Book Antiqua" w:hAnsi="Book Antiqua" w:cs="Book Antiqua"/>
          <w:b/>
          <w:bCs/>
          <w:color w:val="0070C0"/>
          <w:sz w:val="26"/>
          <w:szCs w:val="26"/>
        </w:rPr>
        <w:t xml:space="preserve"> 1.625.000 personnes au niveau national.</w:t>
      </w:r>
    </w:p>
    <w:p w:rsidR="00C80692" w:rsidRPr="006D6719" w:rsidRDefault="00283BE3" w:rsidP="008C5334">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A937A5">
        <w:rPr>
          <w:rFonts w:ascii="Book Antiqua" w:eastAsia="Book Antiqua" w:hAnsi="Book Antiqua" w:cs="Book Antiqua"/>
          <w:b/>
          <w:bCs/>
          <w:color w:val="0070C0"/>
          <w:sz w:val="26"/>
          <w:szCs w:val="26"/>
        </w:rPr>
        <w:t>Le taux de chômage est</w:t>
      </w:r>
      <w:r w:rsidR="00522A2C">
        <w:rPr>
          <w:rFonts w:ascii="Book Antiqua" w:eastAsia="Book Antiqua" w:hAnsi="Book Antiqua" w:cs="Book Antiqua"/>
          <w:b/>
          <w:bCs/>
          <w:color w:val="0070C0"/>
          <w:sz w:val="26"/>
          <w:szCs w:val="26"/>
        </w:rPr>
        <w:t xml:space="preserve"> </w:t>
      </w:r>
      <w:r w:rsidR="00522A2C" w:rsidRPr="00713D06">
        <w:rPr>
          <w:rFonts w:ascii="Book Antiqua" w:eastAsia="Book Antiqua" w:hAnsi="Book Antiqua" w:cs="Book Antiqua"/>
          <w:b/>
          <w:bCs/>
          <w:color w:val="0070C0"/>
          <w:sz w:val="26"/>
          <w:szCs w:val="26"/>
        </w:rPr>
        <w:t>ainsi</w:t>
      </w:r>
      <w:r w:rsidRPr="00A937A5">
        <w:rPr>
          <w:rFonts w:ascii="Book Antiqua" w:eastAsia="Book Antiqua" w:hAnsi="Book Antiqua" w:cs="Book Antiqua"/>
          <w:b/>
          <w:bCs/>
          <w:color w:val="0070C0"/>
          <w:sz w:val="26"/>
          <w:szCs w:val="26"/>
        </w:rPr>
        <w:t xml:space="preserve"> passé</w:t>
      </w:r>
      <w:r w:rsidR="008C5334">
        <w:rPr>
          <w:rFonts w:ascii="Book Antiqua" w:eastAsia="Book Antiqua" w:hAnsi="Book Antiqua" w:cs="Book Antiqua"/>
          <w:b/>
          <w:bCs/>
          <w:color w:val="0070C0"/>
          <w:sz w:val="26"/>
          <w:szCs w:val="26"/>
        </w:rPr>
        <w:t xml:space="preserve">, entre le </w:t>
      </w:r>
      <w:r w:rsidR="008C5334" w:rsidRPr="00A937A5">
        <w:rPr>
          <w:rFonts w:ascii="Book Antiqua" w:eastAsia="Book Antiqua" w:hAnsi="Book Antiqua" w:cs="Book Antiqua"/>
          <w:b/>
          <w:bCs/>
          <w:color w:val="0070C0"/>
          <w:sz w:val="26"/>
          <w:szCs w:val="26"/>
        </w:rPr>
        <w:t>troisième trim</w:t>
      </w:r>
      <w:r w:rsidR="008C5334">
        <w:rPr>
          <w:rFonts w:ascii="Book Antiqua" w:eastAsia="Book Antiqua" w:hAnsi="Book Antiqua" w:cs="Book Antiqua"/>
          <w:b/>
          <w:bCs/>
          <w:color w:val="0070C0"/>
          <w:sz w:val="26"/>
          <w:szCs w:val="26"/>
        </w:rPr>
        <w:t xml:space="preserve">estre de 2022 et celui de 2023, </w:t>
      </w:r>
      <w:r w:rsidRPr="00A937A5">
        <w:rPr>
          <w:rFonts w:ascii="Book Antiqua" w:eastAsia="Book Antiqua" w:hAnsi="Book Antiqua" w:cs="Book Antiqua"/>
          <w:b/>
          <w:bCs/>
          <w:color w:val="0070C0"/>
          <w:sz w:val="26"/>
          <w:szCs w:val="26"/>
        </w:rPr>
        <w:t xml:space="preserve"> de 11,4% à 13,5% au niveau national, passant de 15% à 17% en milieu </w:t>
      </w:r>
      <w:r w:rsidRPr="006D6719">
        <w:rPr>
          <w:rFonts w:ascii="Book Antiqua" w:eastAsia="Book Antiqua" w:hAnsi="Book Antiqua" w:cs="Book Antiqua"/>
          <w:b/>
          <w:bCs/>
          <w:color w:val="0070C0"/>
          <w:sz w:val="26"/>
          <w:szCs w:val="26"/>
        </w:rPr>
        <w:t>urbain et de 5,2% à 7%</w:t>
      </w:r>
      <w:r w:rsidR="00551BC0" w:rsidRPr="006D6719">
        <w:rPr>
          <w:rFonts w:ascii="Book Antiqua" w:eastAsia="Book Antiqua" w:hAnsi="Book Antiqua" w:cs="Book Antiqua"/>
          <w:b/>
          <w:bCs/>
          <w:color w:val="0070C0"/>
          <w:sz w:val="26"/>
          <w:szCs w:val="26"/>
        </w:rPr>
        <w:t xml:space="preserve"> </w:t>
      </w:r>
      <w:r w:rsidRPr="006D6719">
        <w:rPr>
          <w:rFonts w:ascii="Book Antiqua" w:eastAsia="Book Antiqua" w:hAnsi="Book Antiqua" w:cs="Book Antiqua"/>
          <w:b/>
          <w:bCs/>
          <w:color w:val="0070C0"/>
          <w:sz w:val="26"/>
          <w:szCs w:val="26"/>
        </w:rPr>
        <w:t>en milieu rural.</w:t>
      </w:r>
      <w:r w:rsidR="00C80692" w:rsidRPr="006D6719">
        <w:rPr>
          <w:rFonts w:ascii="Book Antiqua" w:eastAsia="Book Antiqua" w:hAnsi="Book Antiqua" w:cs="Book Antiqua"/>
          <w:b/>
          <w:bCs/>
          <w:color w:val="0070C0"/>
          <w:sz w:val="26"/>
          <w:szCs w:val="26"/>
        </w:rPr>
        <w:t xml:space="preserve"> Les </w:t>
      </w:r>
      <w:r w:rsidR="00924338" w:rsidRPr="006D6719">
        <w:rPr>
          <w:rFonts w:ascii="Book Antiqua" w:eastAsia="Book Antiqua" w:hAnsi="Book Antiqua" w:cs="Book Antiqua"/>
          <w:b/>
          <w:bCs/>
          <w:color w:val="0070C0"/>
          <w:sz w:val="26"/>
          <w:szCs w:val="26"/>
        </w:rPr>
        <w:t xml:space="preserve">taux les </w:t>
      </w:r>
      <w:r w:rsidR="00522A2C" w:rsidRPr="006D6719">
        <w:rPr>
          <w:rFonts w:ascii="Book Antiqua" w:eastAsia="Book Antiqua" w:hAnsi="Book Antiqua" w:cs="Book Antiqua"/>
          <w:b/>
          <w:bCs/>
          <w:color w:val="0070C0"/>
          <w:sz w:val="26"/>
          <w:szCs w:val="26"/>
        </w:rPr>
        <w:t xml:space="preserve">plus </w:t>
      </w:r>
      <w:r w:rsidR="00924338" w:rsidRPr="006D6719">
        <w:rPr>
          <w:rFonts w:ascii="Book Antiqua" w:eastAsia="Book Antiqua" w:hAnsi="Book Antiqua" w:cs="Book Antiqua"/>
          <w:b/>
          <w:bCs/>
          <w:color w:val="0070C0"/>
          <w:sz w:val="26"/>
          <w:szCs w:val="26"/>
        </w:rPr>
        <w:t xml:space="preserve">élevés demeurent </w:t>
      </w:r>
      <w:r w:rsidR="008C5334" w:rsidRPr="006D6719">
        <w:rPr>
          <w:rFonts w:ascii="Book Antiqua" w:eastAsia="Book Antiqua" w:hAnsi="Book Antiqua" w:cs="Book Antiqua"/>
          <w:b/>
          <w:bCs/>
          <w:color w:val="0070C0"/>
          <w:sz w:val="26"/>
          <w:szCs w:val="26"/>
        </w:rPr>
        <w:t xml:space="preserve">ceux </w:t>
      </w:r>
      <w:r w:rsidR="00C80692" w:rsidRPr="006D6719">
        <w:rPr>
          <w:rFonts w:ascii="Book Antiqua" w:eastAsia="Book Antiqua" w:hAnsi="Book Antiqua" w:cs="Book Antiqua"/>
          <w:b/>
          <w:bCs/>
          <w:color w:val="0070C0"/>
          <w:sz w:val="26"/>
          <w:szCs w:val="26"/>
        </w:rPr>
        <w:t>parmi les jeunes âgés de 15 à 24 ans</w:t>
      </w:r>
      <w:r w:rsidR="008C5334" w:rsidRPr="006D6719">
        <w:rPr>
          <w:rFonts w:ascii="Book Antiqua" w:eastAsia="Book Antiqua" w:hAnsi="Book Antiqua" w:cs="Book Antiqua"/>
          <w:b/>
          <w:bCs/>
          <w:color w:val="0070C0"/>
          <w:sz w:val="26"/>
          <w:szCs w:val="26"/>
        </w:rPr>
        <w:t xml:space="preserve">, enregistrant </w:t>
      </w:r>
      <w:r w:rsidR="00C80692" w:rsidRPr="006D6719">
        <w:rPr>
          <w:rFonts w:ascii="Book Antiqua" w:eastAsia="Book Antiqua" w:hAnsi="Book Antiqua" w:cs="Book Antiqua"/>
          <w:b/>
          <w:bCs/>
          <w:color w:val="0070C0"/>
          <w:sz w:val="26"/>
          <w:szCs w:val="26"/>
        </w:rPr>
        <w:t>38,2%</w:t>
      </w:r>
      <w:r w:rsidR="00924338" w:rsidRPr="006D6719">
        <w:rPr>
          <w:rFonts w:ascii="Book Antiqua" w:eastAsia="Book Antiqua" w:hAnsi="Book Antiqua" w:cs="Book Antiqua"/>
          <w:b/>
          <w:bCs/>
          <w:color w:val="0070C0"/>
          <w:sz w:val="26"/>
          <w:szCs w:val="26"/>
        </w:rPr>
        <w:t>, les femmes</w:t>
      </w:r>
      <w:r w:rsidR="008C5334" w:rsidRPr="006D6719">
        <w:rPr>
          <w:rFonts w:ascii="Book Antiqua" w:eastAsia="Book Antiqua" w:hAnsi="Book Antiqua" w:cs="Book Antiqua"/>
          <w:b/>
          <w:bCs/>
          <w:color w:val="0070C0"/>
          <w:sz w:val="26"/>
          <w:szCs w:val="26"/>
        </w:rPr>
        <w:t xml:space="preserve">, </w:t>
      </w:r>
      <w:r w:rsidR="00C80692" w:rsidRPr="006D6719">
        <w:rPr>
          <w:rFonts w:ascii="Book Antiqua" w:eastAsia="Book Antiqua" w:hAnsi="Book Antiqua" w:cs="Book Antiqua"/>
          <w:b/>
          <w:bCs/>
          <w:color w:val="0070C0"/>
          <w:sz w:val="26"/>
          <w:szCs w:val="26"/>
        </w:rPr>
        <w:t>19,8%</w:t>
      </w:r>
      <w:r w:rsidR="008C5334" w:rsidRPr="006D6719">
        <w:rPr>
          <w:rFonts w:ascii="Book Antiqua" w:eastAsia="Book Antiqua" w:hAnsi="Book Antiqua" w:cs="Book Antiqua"/>
          <w:b/>
          <w:bCs/>
          <w:color w:val="0070C0"/>
          <w:sz w:val="26"/>
          <w:szCs w:val="26"/>
        </w:rPr>
        <w:t xml:space="preserve">, </w:t>
      </w:r>
      <w:r w:rsidR="00924338" w:rsidRPr="006D6719">
        <w:rPr>
          <w:rFonts w:ascii="Book Antiqua" w:eastAsia="Book Antiqua" w:hAnsi="Book Antiqua" w:cs="Book Antiqua"/>
          <w:b/>
          <w:bCs/>
          <w:color w:val="0070C0"/>
          <w:sz w:val="26"/>
          <w:szCs w:val="26"/>
        </w:rPr>
        <w:t>et  les diplômés</w:t>
      </w:r>
      <w:r w:rsidR="008C5334" w:rsidRPr="006D6719">
        <w:rPr>
          <w:rFonts w:ascii="Book Antiqua" w:eastAsia="Book Antiqua" w:hAnsi="Book Antiqua" w:cs="Book Antiqua"/>
          <w:b/>
          <w:bCs/>
          <w:color w:val="0070C0"/>
          <w:sz w:val="26"/>
          <w:szCs w:val="26"/>
        </w:rPr>
        <w:t>, 19,8%</w:t>
      </w:r>
      <w:r w:rsidR="00924338" w:rsidRPr="006D6719">
        <w:rPr>
          <w:rFonts w:ascii="Book Antiqua" w:eastAsia="Book Antiqua" w:hAnsi="Book Antiqua" w:cs="Book Antiqua"/>
          <w:b/>
          <w:bCs/>
          <w:color w:val="0070C0"/>
          <w:sz w:val="26"/>
          <w:szCs w:val="26"/>
        </w:rPr>
        <w:t>.</w:t>
      </w:r>
    </w:p>
    <w:p w:rsidR="00522A2C" w:rsidRDefault="00AF439C" w:rsidP="00A810BF">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6D6719">
        <w:rPr>
          <w:rFonts w:ascii="Book Antiqua" w:eastAsia="Book Antiqua" w:hAnsi="Book Antiqua" w:cs="Book Antiqua"/>
          <w:b/>
          <w:bCs/>
          <w:color w:val="0070C0"/>
          <w:sz w:val="26"/>
          <w:szCs w:val="26"/>
        </w:rPr>
        <w:t>Le volume de sous-</w:t>
      </w:r>
      <w:r w:rsidR="00522A2C" w:rsidRPr="006D6719">
        <w:rPr>
          <w:rFonts w:ascii="Book Antiqua" w:eastAsia="Book Antiqua" w:hAnsi="Book Antiqua" w:cs="Book Antiqua"/>
          <w:b/>
          <w:bCs/>
          <w:color w:val="0070C0"/>
          <w:sz w:val="26"/>
          <w:szCs w:val="26"/>
        </w:rPr>
        <w:t>emploi a connu, de son côté, une hausse de 94.000 personnes pour s</w:t>
      </w:r>
      <w:r w:rsidR="0051076B" w:rsidRPr="006D6719">
        <w:rPr>
          <w:rFonts w:ascii="Book Antiqua" w:eastAsia="Book Antiqua" w:hAnsi="Book Antiqua" w:cs="Book Antiqua"/>
          <w:b/>
          <w:bCs/>
          <w:color w:val="0070C0"/>
          <w:sz w:val="26"/>
          <w:szCs w:val="26"/>
        </w:rPr>
        <w:t>e</w:t>
      </w:r>
      <w:r w:rsidRPr="006D6719">
        <w:rPr>
          <w:rFonts w:ascii="Book Antiqua" w:eastAsia="Book Antiqua" w:hAnsi="Book Antiqua" w:cs="Book Antiqua"/>
          <w:b/>
          <w:bCs/>
          <w:color w:val="0070C0"/>
          <w:sz w:val="26"/>
          <w:szCs w:val="26"/>
        </w:rPr>
        <w:t xml:space="preserve"> situer à </w:t>
      </w:r>
      <w:r w:rsidR="008C5334" w:rsidRPr="006D6719">
        <w:rPr>
          <w:rFonts w:ascii="Book Antiqua" w:eastAsia="Book Antiqua" w:hAnsi="Book Antiqua" w:cs="Book Antiqua"/>
          <w:b/>
          <w:bCs/>
          <w:color w:val="0070C0"/>
          <w:sz w:val="26"/>
          <w:szCs w:val="26"/>
        </w:rPr>
        <w:t>1.005.000 personnes. L</w:t>
      </w:r>
      <w:r w:rsidR="00522A2C" w:rsidRPr="006D6719">
        <w:rPr>
          <w:rFonts w:ascii="Book Antiqua" w:eastAsia="Book Antiqua" w:hAnsi="Book Antiqua" w:cs="Book Antiqua"/>
          <w:b/>
          <w:bCs/>
          <w:color w:val="0070C0"/>
          <w:sz w:val="26"/>
          <w:szCs w:val="26"/>
        </w:rPr>
        <w:t xml:space="preserve">e taux de sous-emploi est </w:t>
      </w:r>
      <w:r w:rsidR="008C5334" w:rsidRPr="006D6719">
        <w:rPr>
          <w:rFonts w:ascii="Book Antiqua" w:eastAsia="Book Antiqua" w:hAnsi="Book Antiqua" w:cs="Book Antiqua"/>
          <w:b/>
          <w:bCs/>
          <w:color w:val="0070C0"/>
          <w:sz w:val="26"/>
          <w:szCs w:val="26"/>
        </w:rPr>
        <w:t xml:space="preserve">ainsi </w:t>
      </w:r>
      <w:r w:rsidR="00522A2C" w:rsidRPr="006D6719">
        <w:rPr>
          <w:rFonts w:ascii="Book Antiqua" w:eastAsia="Book Antiqua" w:hAnsi="Book Antiqua" w:cs="Book Antiqua"/>
          <w:b/>
          <w:bCs/>
          <w:color w:val="0070C0"/>
          <w:sz w:val="26"/>
          <w:szCs w:val="26"/>
        </w:rPr>
        <w:t>passé de 8,5% à 9,6%, au niveau national</w:t>
      </w:r>
      <w:r w:rsidR="00522A2C" w:rsidRPr="00924338">
        <w:rPr>
          <w:rFonts w:ascii="Book Antiqua" w:eastAsia="Book Antiqua" w:hAnsi="Book Antiqua" w:cs="Book Antiqua"/>
          <w:b/>
          <w:bCs/>
          <w:color w:val="0070C0"/>
          <w:sz w:val="26"/>
          <w:szCs w:val="26"/>
        </w:rPr>
        <w:t>, de 7,5% à 8,1%</w:t>
      </w:r>
      <w:r>
        <w:rPr>
          <w:rFonts w:ascii="Book Antiqua" w:eastAsia="Book Antiqua" w:hAnsi="Book Antiqua" w:cs="Book Antiqua"/>
          <w:b/>
          <w:bCs/>
          <w:color w:val="0070C0"/>
          <w:sz w:val="26"/>
          <w:szCs w:val="26"/>
        </w:rPr>
        <w:t xml:space="preserve"> </w:t>
      </w:r>
      <w:r w:rsidR="00522A2C" w:rsidRPr="00924338">
        <w:rPr>
          <w:rFonts w:ascii="Book Antiqua" w:eastAsia="Book Antiqua" w:hAnsi="Book Antiqua" w:cs="Book Antiqua"/>
          <w:b/>
          <w:bCs/>
          <w:color w:val="0070C0"/>
          <w:sz w:val="26"/>
          <w:szCs w:val="26"/>
        </w:rPr>
        <w:t>en milieu urbain et de 9,9% à 12% en milieu rural.</w:t>
      </w:r>
    </w:p>
    <w:p w:rsidR="00522A2C" w:rsidRDefault="00522A2C" w:rsidP="00A810BF">
      <w:pPr>
        <w:pBdr>
          <w:top w:val="nil"/>
          <w:left w:val="nil"/>
          <w:bottom w:val="nil"/>
          <w:right w:val="nil"/>
          <w:between w:val="nil"/>
        </w:pBdr>
        <w:spacing w:before="240" w:after="240" w:line="312" w:lineRule="auto"/>
        <w:contextualSpacing/>
        <w:jc w:val="both"/>
        <w:rPr>
          <w:rFonts w:ascii="Book Antiqua" w:eastAsia="Book Antiqua" w:hAnsi="Book Antiqua" w:cs="Book Antiqua"/>
          <w:b/>
          <w:bCs/>
          <w:color w:val="0070C0"/>
          <w:sz w:val="26"/>
          <w:szCs w:val="26"/>
        </w:rPr>
      </w:pPr>
    </w:p>
    <w:p w:rsidR="00BE0DD8" w:rsidRDefault="00BE0DD8" w:rsidP="00A810BF">
      <w:pPr>
        <w:pBdr>
          <w:top w:val="nil"/>
          <w:left w:val="nil"/>
          <w:bottom w:val="nil"/>
          <w:right w:val="nil"/>
          <w:between w:val="nil"/>
        </w:pBdr>
        <w:spacing w:before="240" w:after="240" w:line="312" w:lineRule="auto"/>
        <w:contextualSpacing/>
        <w:jc w:val="both"/>
        <w:rPr>
          <w:rFonts w:ascii="Book Antiqua" w:eastAsia="Book Antiqua" w:hAnsi="Book Antiqua" w:cs="Book Antiqua"/>
          <w:b/>
          <w:bCs/>
          <w:color w:val="0070C0"/>
          <w:sz w:val="26"/>
          <w:szCs w:val="26"/>
        </w:rPr>
      </w:pPr>
    </w:p>
    <w:p w:rsidR="00283BE3" w:rsidRDefault="00283BE3" w:rsidP="00A810BF">
      <w:pPr>
        <w:pBdr>
          <w:top w:val="nil"/>
          <w:left w:val="nil"/>
          <w:bottom w:val="nil"/>
          <w:right w:val="nil"/>
          <w:between w:val="nil"/>
        </w:pBdr>
        <w:spacing w:before="240" w:after="240" w:line="312" w:lineRule="auto"/>
        <w:contextualSpacing/>
        <w:jc w:val="both"/>
        <w:rPr>
          <w:rFonts w:ascii="Book Antiqua" w:eastAsia="Book Antiqua" w:hAnsi="Book Antiqua" w:cs="Book Antiqua"/>
          <w:b/>
          <w:bCs/>
          <w:color w:val="1F497D" w:themeColor="text2"/>
          <w:sz w:val="26"/>
          <w:szCs w:val="26"/>
        </w:rPr>
      </w:pPr>
      <w:r w:rsidRPr="00283BE3">
        <w:rPr>
          <w:rFonts w:ascii="Book Antiqua" w:eastAsia="Book Antiqua" w:hAnsi="Book Antiqua" w:cs="Book Antiqua"/>
          <w:b/>
          <w:bCs/>
          <w:color w:val="1F497D" w:themeColor="text2"/>
          <w:sz w:val="26"/>
          <w:szCs w:val="26"/>
        </w:rPr>
        <w:lastRenderedPageBreak/>
        <w:t xml:space="preserve"> I.  Activité et emploi</w:t>
      </w:r>
    </w:p>
    <w:p w:rsidR="00880EB6" w:rsidRPr="00283BE3" w:rsidRDefault="00880EB6" w:rsidP="00A810BF">
      <w:pPr>
        <w:pBdr>
          <w:top w:val="nil"/>
          <w:left w:val="nil"/>
          <w:bottom w:val="nil"/>
          <w:right w:val="nil"/>
          <w:between w:val="nil"/>
        </w:pBdr>
        <w:spacing w:before="240" w:after="240" w:line="312" w:lineRule="auto"/>
        <w:contextualSpacing/>
        <w:jc w:val="both"/>
        <w:rPr>
          <w:rFonts w:ascii="Book Antiqua" w:eastAsia="Book Antiqua" w:hAnsi="Book Antiqua" w:cs="Book Antiqua"/>
          <w:b/>
          <w:bCs/>
          <w:color w:val="1F497D" w:themeColor="text2"/>
          <w:sz w:val="26"/>
          <w:szCs w:val="26"/>
        </w:rPr>
      </w:pPr>
    </w:p>
    <w:p w:rsidR="004B3397" w:rsidRDefault="004B3397" w:rsidP="00A810BF">
      <w:pPr>
        <w:spacing w:before="240" w:after="240" w:line="312" w:lineRule="auto"/>
        <w:contextualSpacing/>
        <w:rPr>
          <w:rFonts w:ascii="Book Antiqua" w:eastAsia="Book Antiqua" w:hAnsi="Book Antiqua" w:cs="Book Antiqua"/>
          <w:b/>
          <w:bCs/>
          <w:i/>
          <w:iCs/>
          <w:color w:val="0070C0"/>
          <w:sz w:val="26"/>
          <w:szCs w:val="26"/>
        </w:rPr>
      </w:pPr>
      <w:r w:rsidRPr="00AC0A5D">
        <w:rPr>
          <w:rFonts w:ascii="Book Antiqua" w:eastAsia="Book Antiqua" w:hAnsi="Book Antiqua" w:cs="Book Antiqua"/>
          <w:b/>
          <w:bCs/>
          <w:i/>
          <w:iCs/>
          <w:color w:val="0070C0"/>
          <w:sz w:val="26"/>
          <w:szCs w:val="26"/>
        </w:rPr>
        <w:t>Baisse de</w:t>
      </w:r>
      <w:r>
        <w:rPr>
          <w:rFonts w:ascii="Book Antiqua" w:eastAsia="Book Antiqua" w:hAnsi="Book Antiqua" w:cs="Book Antiqua"/>
          <w:b/>
          <w:bCs/>
          <w:i/>
          <w:iCs/>
          <w:color w:val="0070C0"/>
          <w:sz w:val="26"/>
          <w:szCs w:val="26"/>
        </w:rPr>
        <w:t xml:space="preserve"> </w:t>
      </w:r>
      <w:r w:rsidRPr="00AC0A5D">
        <w:rPr>
          <w:rFonts w:ascii="Book Antiqua" w:eastAsia="Book Antiqua" w:hAnsi="Book Antiqua" w:cs="Book Antiqua"/>
          <w:b/>
          <w:bCs/>
          <w:i/>
          <w:iCs/>
          <w:color w:val="0070C0"/>
          <w:sz w:val="26"/>
          <w:szCs w:val="26"/>
        </w:rPr>
        <w:t>l’activité et de l’emploi</w:t>
      </w:r>
    </w:p>
    <w:p w:rsidR="00880EB6" w:rsidRPr="00880EB6" w:rsidRDefault="00880EB6" w:rsidP="00A810BF">
      <w:pPr>
        <w:spacing w:before="240" w:after="240" w:line="312" w:lineRule="auto"/>
        <w:contextualSpacing/>
        <w:rPr>
          <w:rFonts w:ascii="Book Antiqua" w:eastAsia="Book Antiqua" w:hAnsi="Book Antiqua" w:cs="Book Antiqua"/>
          <w:b/>
          <w:bCs/>
          <w:i/>
          <w:iCs/>
          <w:color w:val="0070C0"/>
          <w:sz w:val="16"/>
          <w:szCs w:val="16"/>
        </w:rPr>
      </w:pPr>
    </w:p>
    <w:p w:rsidR="0051076B" w:rsidRDefault="004B3397" w:rsidP="00713D06">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Entre le troisième trimestre de 202</w:t>
      </w:r>
      <w:r>
        <w:rPr>
          <w:rFonts w:ascii="Book Antiqua" w:eastAsia="Book Antiqua" w:hAnsi="Book Antiqua" w:cs="Book Antiqua"/>
          <w:sz w:val="24"/>
          <w:szCs w:val="24"/>
        </w:rPr>
        <w:t>2</w:t>
      </w:r>
      <w:r w:rsidRPr="00AC0A5D">
        <w:rPr>
          <w:rFonts w:ascii="Book Antiqua" w:eastAsia="Book Antiqua" w:hAnsi="Book Antiqua" w:cs="Book Antiqua"/>
          <w:sz w:val="24"/>
          <w:szCs w:val="24"/>
        </w:rPr>
        <w:t xml:space="preserve"> et la même période de 202</w:t>
      </w:r>
      <w:r>
        <w:rPr>
          <w:rFonts w:ascii="Book Antiqua" w:eastAsia="Book Antiqua" w:hAnsi="Book Antiqua" w:cs="Book Antiqua"/>
          <w:sz w:val="24"/>
          <w:szCs w:val="24"/>
        </w:rPr>
        <w:t>3</w:t>
      </w:r>
      <w:r w:rsidRPr="00AC0A5D">
        <w:rPr>
          <w:rFonts w:ascii="Book Antiqua" w:eastAsia="Book Antiqua" w:hAnsi="Book Antiqua" w:cs="Book Antiqua"/>
          <w:sz w:val="24"/>
          <w:szCs w:val="24"/>
        </w:rPr>
        <w:t>, le taux d’activité a baissé, au niveau national, de 44% à 4</w:t>
      </w:r>
      <w:r>
        <w:rPr>
          <w:rFonts w:ascii="Book Antiqua" w:eastAsia="Book Antiqua" w:hAnsi="Book Antiqua" w:cs="Book Antiqua"/>
          <w:sz w:val="24"/>
          <w:szCs w:val="24"/>
        </w:rPr>
        <w:t>3,2</w:t>
      </w:r>
      <w:r w:rsidRPr="00AC0A5D">
        <w:rPr>
          <w:rFonts w:ascii="Book Antiqua" w:eastAsia="Book Antiqua" w:hAnsi="Book Antiqua" w:cs="Book Antiqua"/>
          <w:sz w:val="24"/>
          <w:szCs w:val="24"/>
        </w:rPr>
        <w:t xml:space="preserve">%. Il a baissé de </w:t>
      </w:r>
      <w:r>
        <w:rPr>
          <w:rFonts w:ascii="Book Antiqua" w:eastAsia="Book Antiqua" w:hAnsi="Book Antiqua" w:cs="Book Antiqua"/>
          <w:sz w:val="24"/>
          <w:szCs w:val="24"/>
        </w:rPr>
        <w:t>48</w:t>
      </w:r>
      <w:r w:rsidRPr="00AC0A5D">
        <w:rPr>
          <w:rFonts w:ascii="Book Antiqua" w:eastAsia="Book Antiqua" w:hAnsi="Book Antiqua" w:cs="Book Antiqua"/>
          <w:sz w:val="24"/>
          <w:szCs w:val="24"/>
        </w:rPr>
        <w:t>,</w:t>
      </w:r>
      <w:r>
        <w:rPr>
          <w:rFonts w:ascii="Book Antiqua" w:eastAsia="Book Antiqua" w:hAnsi="Book Antiqua" w:cs="Book Antiqua"/>
          <w:sz w:val="24"/>
          <w:szCs w:val="24"/>
        </w:rPr>
        <w:t>1</w:t>
      </w:r>
      <w:r w:rsidRPr="00AC0A5D">
        <w:rPr>
          <w:rFonts w:ascii="Book Antiqua" w:eastAsia="Book Antiqua" w:hAnsi="Book Antiqua" w:cs="Book Antiqua"/>
          <w:sz w:val="24"/>
          <w:szCs w:val="24"/>
        </w:rPr>
        <w:t>% à 4</w:t>
      </w:r>
      <w:r>
        <w:rPr>
          <w:rFonts w:ascii="Book Antiqua" w:eastAsia="Book Antiqua" w:hAnsi="Book Antiqua" w:cs="Book Antiqua"/>
          <w:sz w:val="24"/>
          <w:szCs w:val="24"/>
        </w:rPr>
        <w:t>5</w:t>
      </w:r>
      <w:r w:rsidRPr="00AC0A5D">
        <w:rPr>
          <w:rFonts w:ascii="Book Antiqua" w:eastAsia="Book Antiqua" w:hAnsi="Book Antiqua" w:cs="Book Antiqua"/>
          <w:sz w:val="24"/>
          <w:szCs w:val="24"/>
        </w:rPr>
        <w:t>,</w:t>
      </w:r>
      <w:r>
        <w:rPr>
          <w:rFonts w:ascii="Book Antiqua" w:eastAsia="Book Antiqua" w:hAnsi="Book Antiqua" w:cs="Book Antiqua"/>
          <w:sz w:val="24"/>
          <w:szCs w:val="24"/>
        </w:rPr>
        <w:t>8</w:t>
      </w:r>
      <w:r w:rsidRPr="00AC0A5D">
        <w:rPr>
          <w:rFonts w:ascii="Book Antiqua" w:eastAsia="Book Antiqua" w:hAnsi="Book Antiqua" w:cs="Book Antiqua"/>
          <w:sz w:val="24"/>
          <w:szCs w:val="24"/>
        </w:rPr>
        <w:t>% en milieu rural et</w:t>
      </w:r>
      <w:r>
        <w:rPr>
          <w:rFonts w:ascii="Book Antiqua" w:eastAsia="Book Antiqua" w:hAnsi="Book Antiqua" w:cs="Book Antiqua"/>
          <w:sz w:val="24"/>
          <w:szCs w:val="24"/>
        </w:rPr>
        <w:t xml:space="preserve"> </w:t>
      </w:r>
      <w:r w:rsidR="00522A2C">
        <w:rPr>
          <w:rFonts w:ascii="Book Antiqua" w:eastAsia="Book Antiqua" w:hAnsi="Book Antiqua" w:cs="Book Antiqua"/>
          <w:sz w:val="24"/>
          <w:szCs w:val="24"/>
        </w:rPr>
        <w:t xml:space="preserve">stagné </w:t>
      </w:r>
      <w:r>
        <w:rPr>
          <w:rFonts w:ascii="Book Antiqua" w:eastAsia="Book Antiqua" w:hAnsi="Book Antiqua" w:cs="Book Antiqua"/>
          <w:sz w:val="24"/>
          <w:szCs w:val="24"/>
        </w:rPr>
        <w:t xml:space="preserve">à </w:t>
      </w:r>
      <w:r w:rsidRPr="00AC0A5D">
        <w:rPr>
          <w:rFonts w:ascii="Book Antiqua" w:eastAsia="Book Antiqua" w:hAnsi="Book Antiqua" w:cs="Book Antiqua"/>
          <w:sz w:val="24"/>
          <w:szCs w:val="24"/>
        </w:rPr>
        <w:t xml:space="preserve">41,9% en milieu urbain. </w:t>
      </w:r>
      <w:r w:rsidR="0051076B" w:rsidRPr="00713D06">
        <w:rPr>
          <w:rFonts w:ascii="Book Antiqua" w:eastAsia="Book Antiqua" w:hAnsi="Book Antiqua" w:cs="Book Antiqua"/>
          <w:sz w:val="24"/>
          <w:szCs w:val="24"/>
        </w:rPr>
        <w:t>Les taux d’activité des hommes et des femmes ont reculé de 0,8 point pour s’établir respectivement à 68,7% et 18,4%.</w:t>
      </w:r>
      <w:r w:rsidR="0051076B">
        <w:rPr>
          <w:rFonts w:ascii="Book Antiqua" w:eastAsia="Book Antiqua" w:hAnsi="Book Antiqua" w:cs="Book Antiqua"/>
          <w:sz w:val="24"/>
          <w:szCs w:val="24"/>
        </w:rPr>
        <w:t xml:space="preserve">  </w:t>
      </w:r>
    </w:p>
    <w:p w:rsidR="004E0C71" w:rsidRPr="00AC0A5D" w:rsidRDefault="004B3397" w:rsidP="00B63650">
      <w:pPr>
        <w:spacing w:before="240" w:after="240" w:line="312" w:lineRule="auto"/>
        <w:contextualSpacing/>
        <w:jc w:val="center"/>
        <w:rPr>
          <w:rFonts w:ascii="Book Antiqua" w:eastAsia="Book Antiqua" w:hAnsi="Book Antiqua" w:cs="Book Antiqua"/>
          <w:b/>
          <w:color w:val="0070C0"/>
          <w:sz w:val="20"/>
          <w:szCs w:val="20"/>
        </w:rPr>
      </w:pPr>
      <w:r w:rsidRPr="004E0C71">
        <w:rPr>
          <w:rFonts w:ascii="Book Antiqua" w:eastAsia="Book Antiqua" w:hAnsi="Book Antiqua" w:cs="Book Antiqua"/>
          <w:b/>
          <w:color w:val="0070C0"/>
          <w:sz w:val="20"/>
          <w:szCs w:val="20"/>
        </w:rPr>
        <w:t>Graphique 1 : Evolution du taux d’activité selon le milieu de résidence aux troisièmes trimestres depuis l’année 201</w:t>
      </w:r>
      <w:r w:rsidR="004E0C71" w:rsidRPr="004E0C71">
        <w:rPr>
          <w:rFonts w:ascii="Book Antiqua" w:eastAsia="Book Antiqua" w:hAnsi="Book Antiqua" w:cs="Book Antiqua"/>
          <w:b/>
          <w:color w:val="0070C0"/>
          <w:sz w:val="20"/>
          <w:szCs w:val="20"/>
        </w:rPr>
        <w:t>9</w:t>
      </w:r>
      <w:r w:rsidRPr="004E0C71">
        <w:rPr>
          <w:rFonts w:ascii="Book Antiqua" w:eastAsia="Book Antiqua" w:hAnsi="Book Antiqua" w:cs="Book Antiqua"/>
          <w:b/>
          <w:color w:val="0070C0"/>
          <w:sz w:val="20"/>
          <w:szCs w:val="20"/>
        </w:rPr>
        <w:t xml:space="preserve"> (en %)</w:t>
      </w:r>
      <w:r w:rsidR="004E0C71" w:rsidRPr="004E0C71">
        <w:rPr>
          <w:rFonts w:ascii="Book Antiqua" w:eastAsia="Book Antiqua" w:hAnsi="Book Antiqua" w:cs="Book Antiqua"/>
          <w:b/>
          <w:noProof/>
          <w:color w:val="0070C0"/>
          <w:sz w:val="20"/>
          <w:szCs w:val="20"/>
        </w:rPr>
        <w:drawing>
          <wp:inline distT="0" distB="0" distL="0" distR="0">
            <wp:extent cx="5397690" cy="2026693"/>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076B" w:rsidRDefault="004B3397" w:rsidP="00D65C1F">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 xml:space="preserve">De son côté, le taux d’emploi a baissé de </w:t>
      </w:r>
      <w:r>
        <w:rPr>
          <w:rFonts w:ascii="Book Antiqua" w:eastAsia="Book Antiqua" w:hAnsi="Book Antiqua" w:cs="Book Antiqua"/>
          <w:sz w:val="24"/>
          <w:szCs w:val="24"/>
        </w:rPr>
        <w:t>39</w:t>
      </w:r>
      <w:r w:rsidRPr="00AC0A5D">
        <w:rPr>
          <w:rFonts w:ascii="Book Antiqua" w:eastAsia="Book Antiqua" w:hAnsi="Book Antiqua" w:cs="Book Antiqua"/>
          <w:sz w:val="24"/>
          <w:szCs w:val="24"/>
        </w:rPr>
        <w:t>% à 3</w:t>
      </w:r>
      <w:r>
        <w:rPr>
          <w:rFonts w:ascii="Book Antiqua" w:eastAsia="Book Antiqua" w:hAnsi="Book Antiqua" w:cs="Book Antiqua"/>
          <w:sz w:val="24"/>
          <w:szCs w:val="24"/>
        </w:rPr>
        <w:t>7,4</w:t>
      </w:r>
      <w:r w:rsidRPr="00AC0A5D">
        <w:rPr>
          <w:rFonts w:ascii="Book Antiqua" w:eastAsia="Book Antiqua" w:hAnsi="Book Antiqua" w:cs="Book Antiqua"/>
          <w:sz w:val="24"/>
          <w:szCs w:val="24"/>
        </w:rPr>
        <w:t>% au niveau national</w:t>
      </w:r>
      <w:r w:rsidR="0051076B">
        <w:rPr>
          <w:rFonts w:ascii="Book Antiqua" w:eastAsia="Book Antiqua" w:hAnsi="Book Antiqua" w:cs="Book Antiqua"/>
          <w:sz w:val="24"/>
          <w:szCs w:val="24"/>
        </w:rPr>
        <w:t xml:space="preserve"> (-1,6 point)</w:t>
      </w:r>
      <w:r w:rsidRPr="00AC0A5D">
        <w:rPr>
          <w:rFonts w:ascii="Book Antiqua" w:eastAsia="Book Antiqua" w:hAnsi="Book Antiqua" w:cs="Book Antiqua"/>
          <w:sz w:val="24"/>
          <w:szCs w:val="24"/>
        </w:rPr>
        <w:t xml:space="preserve">. </w:t>
      </w:r>
      <w:r w:rsidRPr="00713D06">
        <w:rPr>
          <w:rFonts w:ascii="Book Antiqua" w:eastAsia="Book Antiqua" w:hAnsi="Book Antiqua" w:cs="Book Antiqua"/>
          <w:sz w:val="24"/>
          <w:szCs w:val="24"/>
        </w:rPr>
        <w:t xml:space="preserve">Ce taux a connu une baisse </w:t>
      </w:r>
      <w:r w:rsidR="0051076B" w:rsidRPr="00713D06">
        <w:rPr>
          <w:rFonts w:ascii="Book Antiqua" w:eastAsia="Book Antiqua" w:hAnsi="Book Antiqua" w:cs="Book Antiqua"/>
          <w:sz w:val="24"/>
          <w:szCs w:val="24"/>
        </w:rPr>
        <w:t xml:space="preserve">de 2,9 points en milieu rural (de 45,5% à 42,6%) et </w:t>
      </w:r>
      <w:r w:rsidRPr="00713D06">
        <w:rPr>
          <w:rFonts w:ascii="Book Antiqua" w:eastAsia="Book Antiqua" w:hAnsi="Book Antiqua" w:cs="Book Antiqua"/>
          <w:sz w:val="24"/>
          <w:szCs w:val="24"/>
        </w:rPr>
        <w:t xml:space="preserve">de 0,9 point en milieu urbain (de 35,7% à 34,8%). </w:t>
      </w:r>
      <w:r w:rsidR="0051076B" w:rsidRPr="00713D06">
        <w:rPr>
          <w:rFonts w:ascii="Book Antiqua" w:hAnsi="Book Antiqua" w:cstheme="majorBidi"/>
          <w:sz w:val="24"/>
          <w:szCs w:val="24"/>
        </w:rPr>
        <w:t xml:space="preserve">En </w:t>
      </w:r>
      <w:r w:rsidR="00565CC2" w:rsidRPr="00713D06">
        <w:rPr>
          <w:rFonts w:ascii="Book Antiqua" w:hAnsi="Book Antiqua" w:cstheme="majorBidi"/>
          <w:sz w:val="24"/>
          <w:szCs w:val="24"/>
        </w:rPr>
        <w:t>plus</w:t>
      </w:r>
      <w:r w:rsidR="0051076B" w:rsidRPr="00713D06">
        <w:rPr>
          <w:rFonts w:ascii="Book Antiqua" w:hAnsi="Book Antiqua" w:cstheme="majorBidi"/>
          <w:sz w:val="24"/>
          <w:szCs w:val="24"/>
        </w:rPr>
        <w:t>, la baisse de ce taux a été plus accentuée parmi les hommes (2,</w:t>
      </w:r>
      <w:r w:rsidR="00565CC2" w:rsidRPr="00713D06">
        <w:rPr>
          <w:rFonts w:ascii="Book Antiqua" w:hAnsi="Book Antiqua" w:cstheme="majorBidi"/>
          <w:sz w:val="24"/>
          <w:szCs w:val="24"/>
        </w:rPr>
        <w:t>2</w:t>
      </w:r>
      <w:r w:rsidR="0051076B" w:rsidRPr="00713D06">
        <w:rPr>
          <w:rFonts w:ascii="Book Antiqua" w:hAnsi="Book Antiqua" w:cstheme="majorBidi"/>
          <w:sz w:val="24"/>
          <w:szCs w:val="24"/>
        </w:rPr>
        <w:t xml:space="preserve"> points)</w:t>
      </w:r>
      <w:r w:rsidR="00565CC2" w:rsidRPr="00713D06">
        <w:rPr>
          <w:rFonts w:ascii="Book Antiqua" w:hAnsi="Book Antiqua" w:cstheme="majorBidi"/>
          <w:sz w:val="24"/>
          <w:szCs w:val="24"/>
        </w:rPr>
        <w:t>, de 62,9% à 60,7%,</w:t>
      </w:r>
      <w:r w:rsidR="0051076B" w:rsidRPr="00713D06">
        <w:rPr>
          <w:rFonts w:ascii="Book Antiqua" w:hAnsi="Book Antiqua" w:cstheme="majorBidi"/>
          <w:sz w:val="24"/>
          <w:szCs w:val="24"/>
        </w:rPr>
        <w:t xml:space="preserve"> que parmi les femmes (1,</w:t>
      </w:r>
      <w:r w:rsidR="00565CC2" w:rsidRPr="00713D06">
        <w:rPr>
          <w:rFonts w:ascii="Book Antiqua" w:hAnsi="Book Antiqua" w:cstheme="majorBidi"/>
          <w:sz w:val="24"/>
          <w:szCs w:val="24"/>
        </w:rPr>
        <w:t>1</w:t>
      </w:r>
      <w:r w:rsidR="0051076B" w:rsidRPr="00713D06">
        <w:rPr>
          <w:rFonts w:ascii="Book Antiqua" w:hAnsi="Book Antiqua" w:cstheme="majorBidi"/>
          <w:sz w:val="24"/>
          <w:szCs w:val="24"/>
        </w:rPr>
        <w:t xml:space="preserve"> point)</w:t>
      </w:r>
      <w:r w:rsidR="00565CC2" w:rsidRPr="00713D06">
        <w:rPr>
          <w:rFonts w:ascii="Book Antiqua" w:hAnsi="Book Antiqua" w:cstheme="majorBidi"/>
          <w:sz w:val="24"/>
          <w:szCs w:val="24"/>
        </w:rPr>
        <w:t>, de 15,9%à 14,8%</w:t>
      </w:r>
      <w:r w:rsidR="0051076B" w:rsidRPr="00713D06">
        <w:rPr>
          <w:rFonts w:ascii="Book Antiqua" w:hAnsi="Book Antiqua" w:cstheme="majorBidi"/>
          <w:sz w:val="24"/>
          <w:szCs w:val="24"/>
        </w:rPr>
        <w:t>.</w:t>
      </w:r>
    </w:p>
    <w:p w:rsidR="004B3397" w:rsidRPr="00AC0A5D" w:rsidRDefault="004B3397" w:rsidP="00A810BF">
      <w:pPr>
        <w:spacing w:before="240" w:after="240" w:line="312" w:lineRule="auto"/>
        <w:jc w:val="both"/>
        <w:rPr>
          <w:rFonts w:ascii="Book Antiqua" w:eastAsia="Book Antiqua" w:hAnsi="Book Antiqua" w:cs="Book Antiqua"/>
          <w:b/>
          <w:bCs/>
          <w:i/>
          <w:iCs/>
          <w:color w:val="0070C0"/>
          <w:sz w:val="26"/>
          <w:szCs w:val="26"/>
        </w:rPr>
      </w:pPr>
      <w:r w:rsidRPr="00AC0A5D">
        <w:rPr>
          <w:rFonts w:ascii="Book Antiqua" w:eastAsia="Book Antiqua" w:hAnsi="Book Antiqua" w:cs="Book Antiqua"/>
          <w:b/>
          <w:bCs/>
          <w:i/>
          <w:iCs/>
          <w:color w:val="0070C0"/>
          <w:sz w:val="26"/>
          <w:szCs w:val="26"/>
        </w:rPr>
        <w:t>Perte de postes d’emploi, essentiellement de type non rémunérés</w:t>
      </w:r>
    </w:p>
    <w:p w:rsidR="004B3397" w:rsidRDefault="004B3397" w:rsidP="00D65C1F">
      <w:pPr>
        <w:spacing w:before="240" w:after="240" w:line="312" w:lineRule="auto"/>
        <w:contextualSpacing/>
        <w:jc w:val="both"/>
        <w:rPr>
          <w:rFonts w:ascii="Book Antiqua" w:eastAsia="Book Antiqua" w:hAnsi="Book Antiqua" w:cs="Book Antiqua"/>
          <w:sz w:val="24"/>
          <w:szCs w:val="24"/>
        </w:rPr>
      </w:pPr>
      <w:r w:rsidRPr="00AC0A5D">
        <w:rPr>
          <w:rFonts w:ascii="Book Antiqua" w:eastAsia="Book Antiqua" w:hAnsi="Book Antiqua" w:cs="Book Antiqua"/>
          <w:sz w:val="24"/>
          <w:szCs w:val="24"/>
        </w:rPr>
        <w:t xml:space="preserve">Le volume de l’emploi a baissé de </w:t>
      </w:r>
      <w:r>
        <w:rPr>
          <w:rFonts w:ascii="Book Antiqua" w:eastAsia="Book Antiqua" w:hAnsi="Book Antiqua" w:cs="Book Antiqua"/>
          <w:sz w:val="24"/>
          <w:szCs w:val="24"/>
        </w:rPr>
        <w:t>297</w:t>
      </w:r>
      <w:r w:rsidRPr="00AC0A5D">
        <w:rPr>
          <w:rFonts w:ascii="Book Antiqua" w:eastAsia="Book Antiqua" w:hAnsi="Book Antiqua" w:cs="Book Antiqua"/>
          <w:sz w:val="24"/>
          <w:szCs w:val="24"/>
        </w:rPr>
        <w:t>.000</w:t>
      </w:r>
      <w:r>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postes</w:t>
      </w:r>
      <w:r>
        <w:rPr>
          <w:rFonts w:ascii="Book Antiqua" w:eastAsia="Book Antiqua" w:hAnsi="Book Antiqua" w:cs="Book Antiqua"/>
          <w:sz w:val="24"/>
          <w:szCs w:val="24"/>
        </w:rPr>
        <w:t xml:space="preserve"> </w:t>
      </w:r>
      <w:r w:rsidR="00D65C1F">
        <w:rPr>
          <w:rFonts w:ascii="Book Antiqua" w:eastAsia="Book Antiqua" w:hAnsi="Book Antiqua" w:cs="Book Antiqua"/>
          <w:sz w:val="24"/>
          <w:szCs w:val="24"/>
        </w:rPr>
        <w:t>e</w:t>
      </w:r>
      <w:r w:rsidR="00D65C1F" w:rsidRPr="00A559F8">
        <w:rPr>
          <w:rFonts w:ascii="Book Antiqua" w:eastAsia="Book Antiqua" w:hAnsi="Book Antiqua" w:cs="Book Antiqua"/>
          <w:sz w:val="24"/>
          <w:szCs w:val="24"/>
        </w:rPr>
        <w:t>ntre le</w:t>
      </w:r>
      <w:r w:rsidR="00D65C1F">
        <w:rPr>
          <w:rFonts w:ascii="Book Antiqua" w:eastAsia="Book Antiqua" w:hAnsi="Book Antiqua" w:cs="Book Antiqua"/>
          <w:sz w:val="24"/>
          <w:szCs w:val="24"/>
        </w:rPr>
        <w:t>s</w:t>
      </w:r>
      <w:r w:rsidR="00D65C1F" w:rsidRPr="00A559F8">
        <w:rPr>
          <w:rFonts w:ascii="Book Antiqua" w:eastAsia="Book Antiqua" w:hAnsi="Book Antiqua" w:cs="Book Antiqua"/>
          <w:sz w:val="24"/>
          <w:szCs w:val="24"/>
        </w:rPr>
        <w:t xml:space="preserve"> troisième</w:t>
      </w:r>
      <w:r w:rsidR="00D65C1F">
        <w:rPr>
          <w:rFonts w:ascii="Book Antiqua" w:eastAsia="Book Antiqua" w:hAnsi="Book Antiqua" w:cs="Book Antiqua"/>
          <w:sz w:val="24"/>
          <w:szCs w:val="24"/>
        </w:rPr>
        <w:t>s</w:t>
      </w:r>
      <w:r w:rsidR="00D65C1F" w:rsidRPr="00A559F8">
        <w:rPr>
          <w:rFonts w:ascii="Book Antiqua" w:eastAsia="Book Antiqua" w:hAnsi="Book Antiqua" w:cs="Book Antiqua"/>
          <w:sz w:val="24"/>
          <w:szCs w:val="24"/>
        </w:rPr>
        <w:t xml:space="preserve"> trimestre</w:t>
      </w:r>
      <w:r w:rsidR="00D65C1F">
        <w:rPr>
          <w:rFonts w:ascii="Book Antiqua" w:eastAsia="Book Antiqua" w:hAnsi="Book Antiqua" w:cs="Book Antiqua"/>
          <w:sz w:val="24"/>
          <w:szCs w:val="24"/>
        </w:rPr>
        <w:t>s</w:t>
      </w:r>
      <w:r w:rsidR="00D65C1F" w:rsidRPr="00A559F8">
        <w:rPr>
          <w:rFonts w:ascii="Book Antiqua" w:eastAsia="Book Antiqua" w:hAnsi="Book Antiqua" w:cs="Book Antiqua"/>
          <w:sz w:val="24"/>
          <w:szCs w:val="24"/>
        </w:rPr>
        <w:t xml:space="preserve"> de 2022 et 2023</w:t>
      </w:r>
      <w:r w:rsidRPr="00AC0A5D">
        <w:rPr>
          <w:rFonts w:ascii="Book Antiqua" w:eastAsia="Book Antiqua" w:hAnsi="Book Antiqua" w:cs="Book Antiqua"/>
          <w:sz w:val="24"/>
          <w:szCs w:val="24"/>
        </w:rPr>
        <w:t xml:space="preserve">, suite à une perte de </w:t>
      </w:r>
      <w:r>
        <w:rPr>
          <w:rFonts w:ascii="Book Antiqua" w:eastAsia="Book Antiqua" w:hAnsi="Book Antiqua" w:cs="Book Antiqua"/>
          <w:sz w:val="24"/>
          <w:szCs w:val="24"/>
        </w:rPr>
        <w:t>269</w:t>
      </w:r>
      <w:r w:rsidRPr="00AC0A5D">
        <w:rPr>
          <w:rFonts w:ascii="Book Antiqua" w:eastAsia="Book Antiqua" w:hAnsi="Book Antiqua" w:cs="Book Antiqua"/>
          <w:sz w:val="24"/>
          <w:szCs w:val="24"/>
        </w:rPr>
        <w:t xml:space="preserve">.000 postes en milieu rural </w:t>
      </w:r>
      <w:r>
        <w:rPr>
          <w:rFonts w:ascii="Book Antiqua" w:eastAsia="Book Antiqua" w:hAnsi="Book Antiqua" w:cs="Book Antiqua"/>
          <w:sz w:val="24"/>
          <w:szCs w:val="24"/>
        </w:rPr>
        <w:t>et 29</w:t>
      </w:r>
      <w:r w:rsidRPr="00AC0A5D">
        <w:rPr>
          <w:rFonts w:ascii="Book Antiqua" w:eastAsia="Book Antiqua" w:hAnsi="Book Antiqua" w:cs="Book Antiqua"/>
          <w:sz w:val="24"/>
          <w:szCs w:val="24"/>
        </w:rPr>
        <w:t xml:space="preserve">.000 postes en milieu urbain. Par type d’emploi, </w:t>
      </w:r>
      <w:r w:rsidRPr="00566E21">
        <w:rPr>
          <w:rFonts w:ascii="Book Antiqua" w:eastAsia="Book Antiqua" w:hAnsi="Book Antiqua" w:cs="Book Antiqua"/>
          <w:sz w:val="24"/>
          <w:szCs w:val="24"/>
        </w:rPr>
        <w:t>231.000 emplois</w:t>
      </w:r>
      <w:r w:rsidRPr="00AC0A5D">
        <w:rPr>
          <w:rFonts w:ascii="Book Antiqua" w:eastAsia="Book Antiqua" w:hAnsi="Book Antiqua" w:cs="Book Antiqua"/>
          <w:sz w:val="24"/>
          <w:szCs w:val="24"/>
        </w:rPr>
        <w:t xml:space="preserve"> non rémunérés ont été perdus, résultat d’une perte de </w:t>
      </w:r>
      <w:r>
        <w:rPr>
          <w:rFonts w:ascii="Book Antiqua" w:eastAsia="Book Antiqua" w:hAnsi="Book Antiqua" w:cs="Book Antiqua"/>
          <w:sz w:val="24"/>
          <w:szCs w:val="24"/>
        </w:rPr>
        <w:t xml:space="preserve">190.000 </w:t>
      </w:r>
      <w:r w:rsidRPr="00AC0A5D">
        <w:rPr>
          <w:rFonts w:ascii="Book Antiqua" w:eastAsia="Book Antiqua" w:hAnsi="Book Antiqua" w:cs="Book Antiqua"/>
          <w:sz w:val="24"/>
          <w:szCs w:val="24"/>
        </w:rPr>
        <w:t xml:space="preserve">en milieu rural et </w:t>
      </w:r>
      <w:r>
        <w:rPr>
          <w:rFonts w:ascii="Book Antiqua" w:eastAsia="Book Antiqua" w:hAnsi="Book Antiqua" w:cs="Book Antiqua"/>
          <w:sz w:val="24"/>
          <w:szCs w:val="24"/>
        </w:rPr>
        <w:t xml:space="preserve">de </w:t>
      </w:r>
      <w:r w:rsidRPr="00566E21">
        <w:rPr>
          <w:rFonts w:ascii="Book Antiqua" w:eastAsia="Book Antiqua" w:hAnsi="Book Antiqua" w:cs="Book Antiqua"/>
          <w:sz w:val="24"/>
          <w:szCs w:val="24"/>
        </w:rPr>
        <w:t>41.000</w:t>
      </w:r>
      <w:r w:rsidRPr="00AC0A5D">
        <w:rPr>
          <w:rFonts w:ascii="Book Antiqua" w:eastAsia="Book Antiqua" w:hAnsi="Book Antiqua" w:cs="Book Antiqua"/>
          <w:sz w:val="24"/>
          <w:szCs w:val="24"/>
        </w:rPr>
        <w:t xml:space="preserve"> en milieu urbain. L’emploi rémunéré s’est </w:t>
      </w:r>
      <w:r w:rsidR="00565CC2">
        <w:rPr>
          <w:rFonts w:ascii="Book Antiqua" w:eastAsia="Book Antiqua" w:hAnsi="Book Antiqua" w:cs="Book Antiqua"/>
          <w:sz w:val="24"/>
          <w:szCs w:val="24"/>
        </w:rPr>
        <w:t xml:space="preserve">aussi baissé de </w:t>
      </w:r>
      <w:r>
        <w:rPr>
          <w:rFonts w:ascii="Book Antiqua" w:eastAsia="Book Antiqua" w:hAnsi="Book Antiqua" w:cs="Book Antiqua"/>
          <w:sz w:val="24"/>
          <w:szCs w:val="24"/>
        </w:rPr>
        <w:t>66</w:t>
      </w:r>
      <w:r w:rsidRPr="00566E21">
        <w:rPr>
          <w:rFonts w:ascii="Book Antiqua" w:eastAsia="Book Antiqua" w:hAnsi="Book Antiqua" w:cs="Book Antiqua"/>
          <w:sz w:val="24"/>
          <w:szCs w:val="24"/>
        </w:rPr>
        <w:t>.000</w:t>
      </w:r>
      <w:r w:rsidRPr="00AC0A5D">
        <w:rPr>
          <w:rFonts w:ascii="Book Antiqua" w:eastAsia="Book Antiqua" w:hAnsi="Book Antiqua" w:cs="Book Antiqua"/>
          <w:sz w:val="24"/>
          <w:szCs w:val="24"/>
        </w:rPr>
        <w:t xml:space="preserve"> postes, conséquence d'une création de </w:t>
      </w:r>
      <w:r w:rsidRPr="00566E21">
        <w:rPr>
          <w:rFonts w:ascii="Book Antiqua" w:eastAsia="Book Antiqua" w:hAnsi="Book Antiqua" w:cs="Book Antiqua"/>
          <w:sz w:val="24"/>
          <w:szCs w:val="24"/>
        </w:rPr>
        <w:t>13.000</w:t>
      </w:r>
      <w:r w:rsidRPr="00AC0A5D">
        <w:rPr>
          <w:rFonts w:ascii="Book Antiqua" w:eastAsia="Book Antiqua" w:hAnsi="Book Antiqua" w:cs="Book Antiqua"/>
          <w:sz w:val="24"/>
          <w:szCs w:val="24"/>
        </w:rPr>
        <w:t xml:space="preserve"> emplois en zones urbaines </w:t>
      </w:r>
      <w:r>
        <w:rPr>
          <w:rFonts w:ascii="Book Antiqua" w:eastAsia="Book Antiqua" w:hAnsi="Book Antiqua" w:cs="Book Antiqua"/>
          <w:sz w:val="24"/>
          <w:szCs w:val="24"/>
        </w:rPr>
        <w:t>et d’une baisse de 79.000 en zones rurales.</w:t>
      </w:r>
    </w:p>
    <w:p w:rsidR="004E0C71" w:rsidRDefault="004E0C71" w:rsidP="00A810BF">
      <w:pPr>
        <w:spacing w:before="240" w:after="240" w:line="312" w:lineRule="auto"/>
        <w:contextualSpacing/>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4B3397" w:rsidRDefault="004B3397" w:rsidP="00A810BF">
      <w:pPr>
        <w:spacing w:before="240" w:after="240" w:line="312" w:lineRule="auto"/>
        <w:contextualSpacing/>
        <w:jc w:val="both"/>
        <w:rPr>
          <w:rFonts w:ascii="Book Antiqua" w:eastAsia="Book Antiqua" w:hAnsi="Book Antiqua" w:cs="Book Antiqua"/>
          <w:sz w:val="24"/>
          <w:szCs w:val="24"/>
        </w:rPr>
      </w:pPr>
      <w:r w:rsidRPr="00566E21">
        <w:rPr>
          <w:rFonts w:ascii="Book Antiqua" w:eastAsia="Book Antiqua" w:hAnsi="Book Antiqua" w:cs="Book Antiqua"/>
          <w:b/>
          <w:color w:val="0070C0"/>
          <w:sz w:val="20"/>
          <w:szCs w:val="20"/>
        </w:rPr>
        <w:lastRenderedPageBreak/>
        <w:t>Graphique 2 : Variation nette d’emploi entre le troisième trimestre de 2022 et celui de 2023 selon le type d’emploi et  le milieu de résidence</w:t>
      </w:r>
    </w:p>
    <w:p w:rsidR="004B3397" w:rsidRDefault="004B3397" w:rsidP="00A810BF">
      <w:pPr>
        <w:spacing w:before="240" w:after="240" w:line="312" w:lineRule="auto"/>
        <w:contextualSpacing/>
        <w:jc w:val="center"/>
        <w:rPr>
          <w:rFonts w:ascii="Book Antiqua" w:eastAsia="Book Antiqua" w:hAnsi="Book Antiqua" w:cs="Book Antiqua"/>
          <w:sz w:val="24"/>
          <w:szCs w:val="24"/>
        </w:rPr>
      </w:pPr>
      <w:r w:rsidRPr="00566E21">
        <w:rPr>
          <w:rFonts w:ascii="Book Antiqua" w:eastAsia="Book Antiqua" w:hAnsi="Book Antiqua" w:cs="Book Antiqua"/>
          <w:noProof/>
          <w:sz w:val="24"/>
          <w:szCs w:val="24"/>
        </w:rPr>
        <w:drawing>
          <wp:inline distT="0" distB="0" distL="0" distR="0">
            <wp:extent cx="5308979" cy="1828800"/>
            <wp:effectExtent l="0" t="0" r="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3397" w:rsidRPr="00AC0A5D" w:rsidRDefault="00571BCC" w:rsidP="00571BCC">
      <w:pPr>
        <w:spacing w:before="240" w:after="240" w:line="312" w:lineRule="auto"/>
        <w:contextualSpacing/>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A l’exception du secteur de l’i</w:t>
      </w:r>
      <w:r w:rsidR="004B3397">
        <w:rPr>
          <w:rFonts w:ascii="Book Antiqua" w:eastAsia="Book Antiqua" w:hAnsi="Book Antiqua" w:cs="Book Antiqua"/>
          <w:b/>
          <w:bCs/>
          <w:i/>
          <w:iCs/>
          <w:color w:val="0070C0"/>
          <w:sz w:val="26"/>
          <w:szCs w:val="26"/>
        </w:rPr>
        <w:t xml:space="preserve">ndustrie, </w:t>
      </w:r>
      <w:r w:rsidR="00283BE3">
        <w:rPr>
          <w:rFonts w:ascii="Book Antiqua" w:eastAsia="Book Antiqua" w:hAnsi="Book Antiqua" w:cs="Book Antiqua"/>
          <w:b/>
          <w:bCs/>
          <w:i/>
          <w:iCs/>
          <w:color w:val="0070C0"/>
          <w:sz w:val="26"/>
          <w:szCs w:val="26"/>
        </w:rPr>
        <w:t xml:space="preserve">les autres secteurs ont connu de </w:t>
      </w:r>
      <w:r w:rsidR="004B3397">
        <w:rPr>
          <w:rFonts w:ascii="Book Antiqua" w:eastAsia="Book Antiqua" w:hAnsi="Book Antiqua" w:cs="Book Antiqua"/>
          <w:b/>
          <w:bCs/>
          <w:i/>
          <w:iCs/>
          <w:color w:val="0070C0"/>
          <w:sz w:val="26"/>
          <w:szCs w:val="26"/>
        </w:rPr>
        <w:t>perte</w:t>
      </w:r>
      <w:r w:rsidR="00283BE3">
        <w:rPr>
          <w:rFonts w:ascii="Book Antiqua" w:eastAsia="Book Antiqua" w:hAnsi="Book Antiqua" w:cs="Book Antiqua"/>
          <w:b/>
          <w:bCs/>
          <w:i/>
          <w:iCs/>
          <w:color w:val="0070C0"/>
          <w:sz w:val="26"/>
          <w:szCs w:val="26"/>
        </w:rPr>
        <w:t>s de post</w:t>
      </w:r>
      <w:r w:rsidR="00D234F5">
        <w:rPr>
          <w:rFonts w:ascii="Book Antiqua" w:eastAsia="Book Antiqua" w:hAnsi="Book Antiqua" w:cs="Book Antiqua"/>
          <w:b/>
          <w:bCs/>
          <w:i/>
          <w:iCs/>
          <w:color w:val="0070C0"/>
          <w:sz w:val="26"/>
          <w:szCs w:val="26"/>
        </w:rPr>
        <w:t>es</w:t>
      </w:r>
      <w:r w:rsidR="00283BE3">
        <w:rPr>
          <w:rFonts w:ascii="Book Antiqua" w:eastAsia="Book Antiqua" w:hAnsi="Book Antiqua" w:cs="Book Antiqua"/>
          <w:b/>
          <w:bCs/>
          <w:i/>
          <w:iCs/>
          <w:color w:val="0070C0"/>
          <w:sz w:val="26"/>
          <w:szCs w:val="26"/>
        </w:rPr>
        <w:t xml:space="preserve"> d’emploi</w:t>
      </w:r>
      <w:r w:rsidR="004B3397" w:rsidRPr="00AC0A5D">
        <w:rPr>
          <w:rFonts w:ascii="Book Antiqua" w:eastAsia="Book Antiqua" w:hAnsi="Book Antiqua" w:cs="Book Antiqua"/>
          <w:b/>
          <w:bCs/>
          <w:i/>
          <w:iCs/>
          <w:color w:val="0070C0"/>
          <w:sz w:val="26"/>
          <w:szCs w:val="26"/>
        </w:rPr>
        <w:t xml:space="preserve"> </w:t>
      </w:r>
    </w:p>
    <w:p w:rsidR="00565CC2" w:rsidRDefault="004B3397" w:rsidP="00A810BF">
      <w:pPr>
        <w:spacing w:before="240" w:after="240" w:line="312" w:lineRule="auto"/>
        <w:jc w:val="both"/>
        <w:rPr>
          <w:rFonts w:ascii="Book Antiqua" w:eastAsia="Book Antiqua" w:hAnsi="Book Antiqua" w:cs="Book Antiqua"/>
          <w:sz w:val="24"/>
          <w:szCs w:val="24"/>
        </w:rPr>
      </w:pPr>
      <w:r w:rsidRPr="00A559F8">
        <w:rPr>
          <w:rFonts w:ascii="Book Antiqua" w:eastAsia="Book Antiqua" w:hAnsi="Book Antiqua" w:cs="Book Antiqua"/>
          <w:sz w:val="24"/>
          <w:szCs w:val="24"/>
        </w:rPr>
        <w:t xml:space="preserve">Entre le troisième trimestre de 2022 et celui de 2023, </w:t>
      </w:r>
      <w:r w:rsidR="00565CC2">
        <w:rPr>
          <w:rFonts w:ascii="Book Antiqua" w:eastAsia="Book Antiqua" w:hAnsi="Book Antiqua" w:cs="Book Antiqua"/>
          <w:sz w:val="24"/>
          <w:szCs w:val="24"/>
        </w:rPr>
        <w:t>l</w:t>
      </w:r>
      <w:r w:rsidR="00565CC2" w:rsidRPr="0040500B">
        <w:rPr>
          <w:rFonts w:ascii="Book Antiqua" w:eastAsia="Book Antiqua" w:hAnsi="Book Antiqua" w:cs="Book Antiqua"/>
          <w:sz w:val="24"/>
          <w:szCs w:val="24"/>
        </w:rPr>
        <w:t>e secteur de "l’industrie</w:t>
      </w:r>
      <w:r w:rsidR="006B2C18">
        <w:rPr>
          <w:rFonts w:ascii="Book Antiqua" w:eastAsia="Book Antiqua" w:hAnsi="Book Antiqua" w:cs="Book Antiqua"/>
          <w:sz w:val="24"/>
          <w:szCs w:val="24"/>
        </w:rPr>
        <w:t xml:space="preserve"> y compris l’artisanat</w:t>
      </w:r>
      <w:r w:rsidR="00565CC2" w:rsidRPr="0040500B">
        <w:rPr>
          <w:rFonts w:ascii="Book Antiqua" w:eastAsia="Book Antiqua" w:hAnsi="Book Antiqua" w:cs="Book Antiqua"/>
          <w:sz w:val="24"/>
          <w:szCs w:val="24"/>
        </w:rPr>
        <w:t>" a créé 14.000 postes d’emploi, résultat d’une création de 24.000 postes en milieu urbain et d’une baisse de 10.000 en milieu rural, enregistrant une hausse de 1% du volume d’emploi dans ce secteur.</w:t>
      </w:r>
    </w:p>
    <w:p w:rsidR="004B3397" w:rsidRPr="00AC0A5D" w:rsidRDefault="00565CC2" w:rsidP="00A810BF">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w:t>
      </w:r>
      <w:r w:rsidR="004B3397" w:rsidRPr="00A559F8">
        <w:rPr>
          <w:rFonts w:ascii="Book Antiqua" w:eastAsia="Book Antiqua" w:hAnsi="Book Antiqua" w:cs="Book Antiqua"/>
          <w:sz w:val="24"/>
          <w:szCs w:val="24"/>
        </w:rPr>
        <w:t>e secteur de l’"agriculture forêt et pêche" a perdu 297.000 postes d'emploi (-10%), résultat d’une baisse de 279.000 en milieu rural et de 18.000 en milieu urbain.</w:t>
      </w:r>
    </w:p>
    <w:p w:rsidR="004B3397" w:rsidRPr="00565CC2" w:rsidRDefault="004B3397" w:rsidP="00713D06">
      <w:pPr>
        <w:spacing w:before="240" w:after="240" w:line="312" w:lineRule="auto"/>
        <w:jc w:val="both"/>
        <w:rPr>
          <w:rFonts w:ascii="Book Antiqua" w:eastAsia="Book Antiqua" w:hAnsi="Book Antiqua" w:cs="Book Antiqua"/>
          <w:strike/>
          <w:sz w:val="24"/>
          <w:szCs w:val="24"/>
        </w:rPr>
      </w:pPr>
      <w:r w:rsidRPr="00AC0A5D">
        <w:rPr>
          <w:rFonts w:ascii="Book Antiqua" w:eastAsia="Book Antiqua" w:hAnsi="Book Antiqua" w:cs="Book Antiqua"/>
          <w:sz w:val="24"/>
          <w:szCs w:val="24"/>
        </w:rPr>
        <w:t xml:space="preserve">Le secteur des BTP a </w:t>
      </w:r>
      <w:r w:rsidRPr="00A559F8">
        <w:rPr>
          <w:rFonts w:ascii="Book Antiqua" w:eastAsia="Book Antiqua" w:hAnsi="Book Antiqua" w:cs="Book Antiqua"/>
          <w:sz w:val="24"/>
          <w:szCs w:val="24"/>
        </w:rPr>
        <w:t>perdu 2.000</w:t>
      </w:r>
      <w:r w:rsidRPr="00AC0A5D">
        <w:rPr>
          <w:rFonts w:ascii="Book Antiqua" w:eastAsia="Book Antiqua" w:hAnsi="Book Antiqua" w:cs="Book Antiqua"/>
          <w:sz w:val="24"/>
          <w:szCs w:val="24"/>
        </w:rPr>
        <w:t xml:space="preserve"> postes, </w:t>
      </w:r>
      <w:r w:rsidR="00BF6CA5" w:rsidRPr="00D27806">
        <w:rPr>
          <w:rFonts w:ascii="Book Antiqua" w:eastAsia="Book Antiqua" w:hAnsi="Book Antiqua" w:cs="Book Antiqua"/>
          <w:sz w:val="24"/>
          <w:szCs w:val="24"/>
        </w:rPr>
        <w:t>perte de</w:t>
      </w:r>
      <w:r w:rsidR="00BF6CA5">
        <w:rPr>
          <w:rFonts w:ascii="Book Antiqua" w:eastAsia="Book Antiqua" w:hAnsi="Book Antiqua" w:cs="Book Antiqua"/>
          <w:sz w:val="24"/>
          <w:szCs w:val="24"/>
        </w:rPr>
        <w:t xml:space="preserve"> </w:t>
      </w:r>
      <w:r>
        <w:rPr>
          <w:rFonts w:ascii="Book Antiqua" w:eastAsia="Book Antiqua" w:hAnsi="Book Antiqua" w:cs="Book Antiqua"/>
          <w:sz w:val="24"/>
          <w:szCs w:val="24"/>
        </w:rPr>
        <w:t>20</w:t>
      </w:r>
      <w:r w:rsidRPr="00A559F8">
        <w:rPr>
          <w:rFonts w:ascii="Book Antiqua" w:eastAsia="Book Antiqua" w:hAnsi="Book Antiqua" w:cs="Book Antiqua"/>
          <w:sz w:val="24"/>
          <w:szCs w:val="24"/>
        </w:rPr>
        <w:t>.000</w:t>
      </w:r>
      <w:r w:rsidRPr="00AC0A5D">
        <w:rPr>
          <w:rFonts w:ascii="Book Antiqua" w:eastAsia="Book Antiqua" w:hAnsi="Book Antiqua" w:cs="Book Antiqua"/>
          <w:sz w:val="24"/>
          <w:szCs w:val="24"/>
        </w:rPr>
        <w:t xml:space="preserve"> en milieu </w:t>
      </w:r>
      <w:r>
        <w:rPr>
          <w:rFonts w:ascii="Book Antiqua" w:eastAsia="Book Antiqua" w:hAnsi="Book Antiqua" w:cs="Book Antiqua"/>
          <w:sz w:val="24"/>
          <w:szCs w:val="24"/>
        </w:rPr>
        <w:t>urbain</w:t>
      </w:r>
      <w:r w:rsidRPr="00AC0A5D">
        <w:rPr>
          <w:rFonts w:ascii="Book Antiqua" w:eastAsia="Book Antiqua" w:hAnsi="Book Antiqua" w:cs="Book Antiqua"/>
          <w:sz w:val="24"/>
          <w:szCs w:val="24"/>
        </w:rPr>
        <w:t xml:space="preserve"> et </w:t>
      </w:r>
      <w:r>
        <w:rPr>
          <w:rFonts w:ascii="Book Antiqua" w:eastAsia="Book Antiqua" w:hAnsi="Book Antiqua" w:cs="Book Antiqua"/>
          <w:sz w:val="24"/>
          <w:szCs w:val="24"/>
        </w:rPr>
        <w:t>création de 18.000</w:t>
      </w:r>
      <w:r w:rsidRPr="00AC0A5D">
        <w:rPr>
          <w:rFonts w:ascii="Book Antiqua" w:eastAsia="Book Antiqua" w:hAnsi="Book Antiqua" w:cs="Book Antiqua"/>
          <w:sz w:val="24"/>
          <w:szCs w:val="24"/>
        </w:rPr>
        <w:t xml:space="preserve"> en milieu </w:t>
      </w:r>
      <w:r w:rsidR="00713D06">
        <w:rPr>
          <w:rFonts w:ascii="Book Antiqua" w:eastAsia="Book Antiqua" w:hAnsi="Book Antiqua" w:cs="Book Antiqua"/>
          <w:sz w:val="24"/>
          <w:szCs w:val="24"/>
        </w:rPr>
        <w:t>rural</w:t>
      </w:r>
      <w:r w:rsidR="00565CC2">
        <w:rPr>
          <w:rFonts w:ascii="Book Antiqua" w:eastAsia="Book Antiqua" w:hAnsi="Book Antiqua" w:cs="Book Antiqua"/>
          <w:sz w:val="24"/>
          <w:szCs w:val="24"/>
        </w:rPr>
        <w:t>.</w:t>
      </w:r>
      <w:r w:rsidR="00517EB2">
        <w:rPr>
          <w:rFonts w:ascii="Book Antiqua" w:eastAsia="Book Antiqua" w:hAnsi="Book Antiqua" w:cs="Book Antiqua"/>
          <w:sz w:val="24"/>
          <w:szCs w:val="24"/>
        </w:rPr>
        <w:t xml:space="preserve"> </w:t>
      </w:r>
    </w:p>
    <w:p w:rsidR="004B3397" w:rsidRPr="0040500B" w:rsidRDefault="004B3397" w:rsidP="00713D06">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 xml:space="preserve">Le secteur des "services", quant à lui, a </w:t>
      </w:r>
      <w:r w:rsidRPr="0040500B">
        <w:rPr>
          <w:rFonts w:ascii="Book Antiqua" w:eastAsia="Book Antiqua" w:hAnsi="Book Antiqua" w:cs="Book Antiqua"/>
          <w:sz w:val="24"/>
          <w:szCs w:val="24"/>
        </w:rPr>
        <w:t>perdu 15.000</w:t>
      </w:r>
      <w:r w:rsidRPr="00AC0A5D">
        <w:rPr>
          <w:rFonts w:ascii="Book Antiqua" w:eastAsia="Book Antiqua" w:hAnsi="Book Antiqua" w:cs="Book Antiqua"/>
          <w:sz w:val="24"/>
          <w:szCs w:val="24"/>
        </w:rPr>
        <w:t xml:space="preserve"> postes d’emploi au niveau </w:t>
      </w:r>
      <w:r w:rsidR="00BF6CA5">
        <w:rPr>
          <w:rFonts w:ascii="Book Antiqua" w:eastAsia="Book Antiqua" w:hAnsi="Book Antiqua" w:cs="Book Antiqua"/>
          <w:sz w:val="24"/>
          <w:szCs w:val="24"/>
        </w:rPr>
        <w:t xml:space="preserve">national, </w:t>
      </w:r>
      <w:r w:rsidRPr="0040500B">
        <w:rPr>
          <w:rFonts w:ascii="Book Antiqua" w:eastAsia="Book Antiqua" w:hAnsi="Book Antiqua" w:cs="Book Antiqua"/>
          <w:sz w:val="24"/>
          <w:szCs w:val="24"/>
        </w:rPr>
        <w:t>perte de 17.000 en milieu urbain et création de 3.000 en milieu rural</w:t>
      </w:r>
      <w:r w:rsidR="00713D06">
        <w:rPr>
          <w:rFonts w:ascii="Book Antiqua" w:eastAsia="Book Antiqua" w:hAnsi="Book Antiqua" w:cs="Book Antiqua"/>
          <w:sz w:val="24"/>
          <w:szCs w:val="24"/>
        </w:rPr>
        <w:t>.</w:t>
      </w:r>
      <w:r w:rsidRPr="0040500B">
        <w:rPr>
          <w:rFonts w:ascii="Book Antiqua" w:eastAsia="Book Antiqua" w:hAnsi="Book Antiqua" w:cs="Book Antiqua"/>
          <w:sz w:val="24"/>
          <w:szCs w:val="24"/>
        </w:rPr>
        <w:t xml:space="preserve"> </w:t>
      </w:r>
    </w:p>
    <w:p w:rsidR="003E15BA" w:rsidRDefault="004B3397" w:rsidP="009660EC">
      <w:pPr>
        <w:spacing w:before="240" w:after="240" w:line="312" w:lineRule="auto"/>
        <w:contextualSpacing/>
        <w:rPr>
          <w:rFonts w:ascii="Book Antiqua" w:eastAsia="Book Antiqua" w:hAnsi="Book Antiqua" w:cs="Book Antiqua"/>
          <w:b/>
          <w:color w:val="0070C0"/>
          <w:sz w:val="20"/>
          <w:szCs w:val="20"/>
        </w:rPr>
      </w:pPr>
      <w:r w:rsidRPr="00A559F8">
        <w:rPr>
          <w:rFonts w:ascii="Book Antiqua" w:eastAsia="Book Antiqua" w:hAnsi="Book Antiqua" w:cs="Book Antiqua"/>
          <w:b/>
          <w:color w:val="0070C0"/>
          <w:sz w:val="20"/>
          <w:szCs w:val="20"/>
        </w:rPr>
        <w:t>Graphique 3 : Variation nette d’emploi entre le troisième trimestre de 2022 et celui de 2023 par secteur d’activité économique et milieu de résidence</w:t>
      </w:r>
      <w:bookmarkStart w:id="0" w:name="_GoBack"/>
      <w:r w:rsidR="009660EC">
        <w:rPr>
          <w:rStyle w:val="Appelnotedebasdep"/>
          <w:rFonts w:ascii="Book Antiqua" w:eastAsia="Book Antiqua" w:hAnsi="Book Antiqua" w:cs="Book Antiqua"/>
          <w:b/>
          <w:color w:val="0070C0"/>
          <w:sz w:val="20"/>
          <w:szCs w:val="20"/>
        </w:rPr>
        <w:footnoteReference w:id="1"/>
      </w:r>
      <w:r w:rsidR="009660EC">
        <w:rPr>
          <w:rFonts w:ascii="Book Antiqua" w:eastAsia="Book Antiqua" w:hAnsi="Book Antiqua" w:cs="Book Antiqua"/>
          <w:b/>
          <w:color w:val="0070C0"/>
          <w:sz w:val="20"/>
          <w:szCs w:val="20"/>
        </w:rPr>
        <w:t xml:space="preserve">.                                </w:t>
      </w:r>
      <w:r w:rsidR="003E15BA" w:rsidRPr="003E15BA">
        <w:rPr>
          <w:rFonts w:ascii="Book Antiqua" w:eastAsia="Book Antiqua" w:hAnsi="Book Antiqua" w:cs="Book Antiqua"/>
          <w:b/>
          <w:noProof/>
          <w:color w:val="0070C0"/>
          <w:sz w:val="20"/>
          <w:szCs w:val="20"/>
        </w:rPr>
        <w:drawing>
          <wp:inline distT="0" distB="0" distL="0" distR="0">
            <wp:extent cx="5670645" cy="2231408"/>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0"/>
    <w:p w:rsidR="004B3397" w:rsidRDefault="004B3397" w:rsidP="00A810BF">
      <w:pPr>
        <w:spacing w:before="240" w:after="240" w:line="312" w:lineRule="auto"/>
        <w:contextualSpacing/>
        <w:jc w:val="both"/>
        <w:rPr>
          <w:rFonts w:ascii="Book Antiqua" w:eastAsia="Book Antiqua" w:hAnsi="Book Antiqua" w:cs="Book Antiqua"/>
          <w:b/>
          <w:color w:val="0070C0"/>
          <w:sz w:val="20"/>
          <w:szCs w:val="20"/>
        </w:rPr>
      </w:pPr>
    </w:p>
    <w:p w:rsidR="004B3397" w:rsidRDefault="004B3397" w:rsidP="00A810BF">
      <w:pPr>
        <w:pStyle w:val="MMTopic2"/>
        <w:numPr>
          <w:ilvl w:val="0"/>
          <w:numId w:val="0"/>
        </w:numPr>
        <w:spacing w:before="240" w:after="240" w:line="312" w:lineRule="auto"/>
        <w:contextualSpacing/>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t>II. Chômage et sous-emploi</w:t>
      </w:r>
    </w:p>
    <w:p w:rsidR="004E6363" w:rsidRPr="00283BE3" w:rsidRDefault="004E6363" w:rsidP="00A810BF">
      <w:pPr>
        <w:pStyle w:val="MMTopic2"/>
        <w:numPr>
          <w:ilvl w:val="0"/>
          <w:numId w:val="0"/>
        </w:numPr>
        <w:spacing w:before="240" w:after="240" w:line="312" w:lineRule="auto"/>
        <w:contextualSpacing/>
        <w:jc w:val="both"/>
        <w:rPr>
          <w:rFonts w:ascii="Book Antiqua" w:eastAsia="Book Antiqua" w:hAnsi="Book Antiqua" w:cs="Book Antiqua"/>
          <w:b/>
          <w:bCs/>
          <w:color w:val="1F497D" w:themeColor="text2"/>
          <w:lang w:eastAsia="fr-FR"/>
        </w:rPr>
      </w:pPr>
    </w:p>
    <w:p w:rsidR="004B3397" w:rsidRPr="00283BE3" w:rsidRDefault="004B3397" w:rsidP="00A810BF">
      <w:pPr>
        <w:pStyle w:val="MMTopic2"/>
        <w:numPr>
          <w:ilvl w:val="0"/>
          <w:numId w:val="0"/>
        </w:numPr>
        <w:spacing w:before="240" w:after="240" w:line="312" w:lineRule="auto"/>
        <w:contextualSpacing/>
        <w:jc w:val="both"/>
        <w:rPr>
          <w:rFonts w:ascii="Book Antiqua" w:eastAsia="Book Antiqua" w:hAnsi="Book Antiqua" w:cs="Book Antiqua"/>
          <w:b/>
          <w:bCs/>
          <w:color w:val="0070C0"/>
          <w:lang w:eastAsia="fr-FR"/>
        </w:rPr>
      </w:pPr>
      <w:r w:rsidRPr="00283BE3">
        <w:rPr>
          <w:rFonts w:ascii="Book Antiqua" w:eastAsia="Book Antiqua" w:hAnsi="Book Antiqua" w:cs="Book Antiqua"/>
          <w:b/>
          <w:bCs/>
          <w:color w:val="0070C0"/>
          <w:lang w:eastAsia="fr-FR"/>
        </w:rPr>
        <w:t>Hausse de chômage</w:t>
      </w:r>
    </w:p>
    <w:p w:rsidR="00A810BF" w:rsidRDefault="004B3397" w:rsidP="00A810BF">
      <w:pPr>
        <w:spacing w:before="240" w:after="240" w:line="312" w:lineRule="auto"/>
        <w:jc w:val="both"/>
        <w:rPr>
          <w:rFonts w:ascii="Book Antiqua" w:hAnsi="Book Antiqua" w:cs="Times New Roman"/>
          <w:sz w:val="24"/>
          <w:szCs w:val="24"/>
        </w:rPr>
      </w:pPr>
      <w:r w:rsidRPr="00286060">
        <w:rPr>
          <w:rFonts w:ascii="Book Antiqua" w:hAnsi="Book Antiqua" w:cs="Times New Roman"/>
          <w:sz w:val="24"/>
          <w:szCs w:val="24"/>
        </w:rPr>
        <w:t xml:space="preserve">Le nombre de chômeurs a augmenté de </w:t>
      </w:r>
      <w:r>
        <w:rPr>
          <w:rFonts w:ascii="Book Antiqua" w:hAnsi="Book Antiqua" w:cs="Times New Roman"/>
          <w:sz w:val="24"/>
          <w:szCs w:val="24"/>
        </w:rPr>
        <w:t>248</w:t>
      </w:r>
      <w:r w:rsidRPr="00286060">
        <w:rPr>
          <w:rFonts w:ascii="Book Antiqua" w:hAnsi="Book Antiqua" w:cs="Times New Roman"/>
          <w:sz w:val="24"/>
          <w:szCs w:val="24"/>
        </w:rPr>
        <w:t xml:space="preserve">.000 personnes entre le </w:t>
      </w:r>
      <w:r>
        <w:rPr>
          <w:rFonts w:ascii="Book Antiqua" w:hAnsi="Book Antiqua" w:cs="Times New Roman"/>
          <w:sz w:val="24"/>
          <w:szCs w:val="24"/>
        </w:rPr>
        <w:t>troisième</w:t>
      </w:r>
      <w:r w:rsidRPr="00286060">
        <w:rPr>
          <w:rFonts w:ascii="Book Antiqua" w:hAnsi="Book Antiqua" w:cs="Times New Roman"/>
          <w:sz w:val="24"/>
          <w:szCs w:val="24"/>
        </w:rPr>
        <w:t xml:space="preserve"> trimestre de l’année 20</w:t>
      </w:r>
      <w:r>
        <w:rPr>
          <w:rFonts w:ascii="Book Antiqua" w:hAnsi="Book Antiqua" w:cs="Times New Roman"/>
          <w:sz w:val="24"/>
          <w:szCs w:val="24"/>
        </w:rPr>
        <w:t>22</w:t>
      </w:r>
      <w:r w:rsidRPr="00286060">
        <w:rPr>
          <w:rFonts w:ascii="Book Antiqua" w:hAnsi="Book Antiqua" w:cs="Times New Roman"/>
          <w:sz w:val="24"/>
          <w:szCs w:val="24"/>
        </w:rPr>
        <w:t xml:space="preserve"> et celui de 20</w:t>
      </w:r>
      <w:r>
        <w:rPr>
          <w:rFonts w:ascii="Book Antiqua" w:hAnsi="Book Antiqua" w:cs="Times New Roman"/>
          <w:sz w:val="24"/>
          <w:szCs w:val="24"/>
        </w:rPr>
        <w:t>23</w:t>
      </w:r>
      <w:r w:rsidRPr="00286060">
        <w:rPr>
          <w:rFonts w:ascii="Book Antiqua" w:hAnsi="Book Antiqua" w:cs="Times New Roman"/>
          <w:sz w:val="24"/>
          <w:szCs w:val="24"/>
        </w:rPr>
        <w:t xml:space="preserve">, passant de </w:t>
      </w:r>
      <w:r>
        <w:rPr>
          <w:rFonts w:ascii="Book Antiqua" w:hAnsi="Book Antiqua" w:cs="Times New Roman"/>
          <w:sz w:val="24"/>
          <w:szCs w:val="24"/>
        </w:rPr>
        <w:t>1.378</w:t>
      </w:r>
      <w:r w:rsidRPr="00286060">
        <w:rPr>
          <w:rFonts w:ascii="Book Antiqua" w:hAnsi="Book Antiqua" w:cs="Times New Roman"/>
          <w:sz w:val="24"/>
          <w:szCs w:val="24"/>
        </w:rPr>
        <w:t>.000 à 1.</w:t>
      </w:r>
      <w:r>
        <w:rPr>
          <w:rFonts w:ascii="Book Antiqua" w:hAnsi="Book Antiqua" w:cs="Times New Roman"/>
          <w:sz w:val="24"/>
          <w:szCs w:val="24"/>
        </w:rPr>
        <w:t>625</w:t>
      </w:r>
      <w:r w:rsidRPr="00286060">
        <w:rPr>
          <w:rFonts w:ascii="Book Antiqua" w:hAnsi="Book Antiqua" w:cs="Times New Roman"/>
          <w:sz w:val="24"/>
          <w:szCs w:val="24"/>
        </w:rPr>
        <w:t xml:space="preserve">.000 chômeurs, ce qui correspond à une augmentation de </w:t>
      </w:r>
      <w:r>
        <w:rPr>
          <w:rFonts w:ascii="Book Antiqua" w:hAnsi="Book Antiqua" w:cs="Times New Roman"/>
          <w:sz w:val="24"/>
          <w:szCs w:val="24"/>
        </w:rPr>
        <w:t>18</w:t>
      </w:r>
      <w:r w:rsidRPr="00286060">
        <w:rPr>
          <w:rFonts w:ascii="Book Antiqua" w:hAnsi="Book Antiqua" w:cs="Times New Roman"/>
          <w:sz w:val="24"/>
          <w:szCs w:val="24"/>
        </w:rPr>
        <w:t>%.</w:t>
      </w:r>
      <w:r>
        <w:rPr>
          <w:rFonts w:ascii="Book Antiqua" w:hAnsi="Book Antiqua" w:cs="Times New Roman"/>
          <w:sz w:val="24"/>
          <w:szCs w:val="24"/>
        </w:rPr>
        <w:t xml:space="preserve"> </w:t>
      </w:r>
      <w:r w:rsidRPr="00286060">
        <w:rPr>
          <w:rFonts w:ascii="Book Antiqua" w:hAnsi="Book Antiqua" w:cs="Times New Roman"/>
          <w:sz w:val="24"/>
          <w:szCs w:val="24"/>
        </w:rPr>
        <w:t xml:space="preserve">Cette hausse, résultant d’une augmentation de </w:t>
      </w:r>
      <w:r>
        <w:rPr>
          <w:rFonts w:ascii="Book Antiqua" w:hAnsi="Book Antiqua" w:cs="Times New Roman"/>
          <w:sz w:val="24"/>
          <w:szCs w:val="24"/>
        </w:rPr>
        <w:t>181</w:t>
      </w:r>
      <w:r w:rsidRPr="00286060">
        <w:rPr>
          <w:rFonts w:ascii="Book Antiqua" w:hAnsi="Book Antiqua" w:cs="Times New Roman"/>
          <w:sz w:val="24"/>
          <w:szCs w:val="24"/>
        </w:rPr>
        <w:t xml:space="preserve">.000 chômeurs en milieu urbain et de </w:t>
      </w:r>
      <w:r>
        <w:rPr>
          <w:rFonts w:ascii="Book Antiqua" w:hAnsi="Book Antiqua" w:cs="Times New Roman"/>
          <w:sz w:val="24"/>
          <w:szCs w:val="24"/>
        </w:rPr>
        <w:t>67</w:t>
      </w:r>
      <w:r w:rsidRPr="00286060">
        <w:rPr>
          <w:rFonts w:ascii="Book Antiqua" w:hAnsi="Book Antiqua" w:cs="Times New Roman"/>
          <w:sz w:val="24"/>
          <w:szCs w:val="24"/>
        </w:rPr>
        <w:t>.000 en milieu rural</w:t>
      </w:r>
      <w:r>
        <w:rPr>
          <w:rFonts w:ascii="Book Antiqua" w:hAnsi="Book Antiqua" w:cs="Times New Roman"/>
          <w:sz w:val="24"/>
          <w:szCs w:val="24"/>
        </w:rPr>
        <w:t>.</w:t>
      </w:r>
    </w:p>
    <w:p w:rsidR="004B3397" w:rsidRPr="006209A1" w:rsidRDefault="004B3397" w:rsidP="00A810BF">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L</w:t>
      </w:r>
      <w:r w:rsidRPr="006209A1">
        <w:rPr>
          <w:rFonts w:ascii="Book Antiqua" w:hAnsi="Book Antiqua" w:cs="Times New Roman"/>
          <w:sz w:val="24"/>
          <w:szCs w:val="24"/>
        </w:rPr>
        <w:t xml:space="preserve">e taux de chômage s’est accru de </w:t>
      </w:r>
      <w:r>
        <w:rPr>
          <w:rFonts w:ascii="Book Antiqua" w:hAnsi="Book Antiqua" w:cs="Times New Roman"/>
          <w:sz w:val="24"/>
          <w:szCs w:val="24"/>
        </w:rPr>
        <w:t>2</w:t>
      </w:r>
      <w:r w:rsidRPr="006209A1">
        <w:rPr>
          <w:rFonts w:ascii="Book Antiqua" w:hAnsi="Book Antiqua" w:cs="Times New Roman"/>
          <w:sz w:val="24"/>
          <w:szCs w:val="24"/>
        </w:rPr>
        <w:t>,</w:t>
      </w:r>
      <w:r>
        <w:rPr>
          <w:rFonts w:ascii="Book Antiqua" w:hAnsi="Book Antiqua" w:cs="Times New Roman"/>
          <w:sz w:val="24"/>
          <w:szCs w:val="24"/>
        </w:rPr>
        <w:t>1</w:t>
      </w:r>
      <w:r w:rsidRPr="006209A1">
        <w:rPr>
          <w:rFonts w:ascii="Book Antiqua" w:hAnsi="Book Antiqua" w:cs="Times New Roman"/>
          <w:sz w:val="24"/>
          <w:szCs w:val="24"/>
        </w:rPr>
        <w:t xml:space="preserve"> points </w:t>
      </w:r>
      <w:r>
        <w:rPr>
          <w:rFonts w:ascii="Book Antiqua" w:hAnsi="Book Antiqua" w:cs="Times New Roman"/>
          <w:sz w:val="24"/>
          <w:szCs w:val="24"/>
        </w:rPr>
        <w:t>au cours de cette période</w:t>
      </w:r>
      <w:r w:rsidRPr="006209A1">
        <w:rPr>
          <w:rFonts w:ascii="Book Antiqua" w:hAnsi="Book Antiqua" w:cs="Times New Roman"/>
          <w:sz w:val="24"/>
          <w:szCs w:val="24"/>
        </w:rPr>
        <w:t xml:space="preserve">, passant de </w:t>
      </w:r>
      <w:r>
        <w:rPr>
          <w:rFonts w:ascii="Book Antiqua" w:hAnsi="Book Antiqua" w:cs="Times New Roman"/>
          <w:sz w:val="24"/>
          <w:szCs w:val="24"/>
        </w:rPr>
        <w:t>11</w:t>
      </w:r>
      <w:r w:rsidRPr="006209A1">
        <w:rPr>
          <w:rFonts w:ascii="Book Antiqua" w:hAnsi="Book Antiqua" w:cs="Times New Roman"/>
          <w:sz w:val="24"/>
          <w:szCs w:val="24"/>
        </w:rPr>
        <w:t>,</w:t>
      </w:r>
      <w:r>
        <w:rPr>
          <w:rFonts w:ascii="Book Antiqua" w:hAnsi="Book Antiqua" w:cs="Times New Roman"/>
          <w:sz w:val="24"/>
          <w:szCs w:val="24"/>
        </w:rPr>
        <w:t>4</w:t>
      </w:r>
      <w:r w:rsidRPr="006209A1">
        <w:rPr>
          <w:rFonts w:ascii="Book Antiqua" w:hAnsi="Book Antiqua" w:cs="Times New Roman"/>
          <w:sz w:val="24"/>
          <w:szCs w:val="24"/>
        </w:rPr>
        <w:t>% à 1</w:t>
      </w:r>
      <w:r>
        <w:rPr>
          <w:rFonts w:ascii="Book Antiqua" w:hAnsi="Book Antiqua" w:cs="Times New Roman"/>
          <w:sz w:val="24"/>
          <w:szCs w:val="24"/>
        </w:rPr>
        <w:t>3</w:t>
      </w:r>
      <w:r w:rsidRPr="006209A1">
        <w:rPr>
          <w:rFonts w:ascii="Book Antiqua" w:hAnsi="Book Antiqua" w:cs="Times New Roman"/>
          <w:sz w:val="24"/>
          <w:szCs w:val="24"/>
        </w:rPr>
        <w:t>,</w:t>
      </w:r>
      <w:r>
        <w:rPr>
          <w:rFonts w:ascii="Book Antiqua" w:hAnsi="Book Antiqua" w:cs="Times New Roman"/>
          <w:sz w:val="24"/>
          <w:szCs w:val="24"/>
        </w:rPr>
        <w:t>5</w:t>
      </w:r>
      <w:r w:rsidRPr="002933EE">
        <w:rPr>
          <w:rFonts w:ascii="Book Antiqua" w:hAnsi="Book Antiqua" w:cs="Times New Roman"/>
          <w:sz w:val="24"/>
          <w:szCs w:val="24"/>
        </w:rPr>
        <w:t xml:space="preserve">%, résultat d’une hausse dans les deux milieux, passant de </w:t>
      </w:r>
      <w:r>
        <w:rPr>
          <w:rFonts w:ascii="Book Antiqua" w:hAnsi="Book Antiqua" w:cs="Times New Roman"/>
          <w:sz w:val="24"/>
          <w:szCs w:val="24"/>
        </w:rPr>
        <w:t>5</w:t>
      </w:r>
      <w:r w:rsidRPr="002933EE">
        <w:rPr>
          <w:rFonts w:ascii="Book Antiqua" w:hAnsi="Book Antiqua" w:cs="Times New Roman"/>
          <w:sz w:val="24"/>
          <w:szCs w:val="24"/>
        </w:rPr>
        <w:t>,</w:t>
      </w:r>
      <w:r>
        <w:rPr>
          <w:rFonts w:ascii="Book Antiqua" w:hAnsi="Book Antiqua" w:cs="Times New Roman"/>
          <w:sz w:val="24"/>
          <w:szCs w:val="24"/>
        </w:rPr>
        <w:t>2</w:t>
      </w:r>
      <w:r w:rsidRPr="002933EE">
        <w:rPr>
          <w:rFonts w:ascii="Book Antiqua" w:hAnsi="Book Antiqua" w:cs="Times New Roman"/>
          <w:sz w:val="24"/>
          <w:szCs w:val="24"/>
        </w:rPr>
        <w:t>% à </w:t>
      </w:r>
      <w:r>
        <w:rPr>
          <w:rFonts w:ascii="Book Antiqua" w:hAnsi="Book Antiqua" w:cs="Times New Roman"/>
          <w:sz w:val="24"/>
          <w:szCs w:val="24"/>
        </w:rPr>
        <w:t>7</w:t>
      </w:r>
      <w:r w:rsidRPr="002933EE">
        <w:rPr>
          <w:rFonts w:ascii="Book Antiqua" w:hAnsi="Book Antiqua" w:cs="Times New Roman"/>
          <w:sz w:val="24"/>
          <w:szCs w:val="24"/>
        </w:rPr>
        <w:t xml:space="preserve">% en milieu rural </w:t>
      </w:r>
      <w:r>
        <w:rPr>
          <w:rFonts w:ascii="Book Antiqua" w:hAnsi="Book Antiqua" w:cs="Times New Roman"/>
          <w:sz w:val="24"/>
          <w:szCs w:val="24"/>
        </w:rPr>
        <w:t xml:space="preserve">(+ 1,8 point) </w:t>
      </w:r>
      <w:r w:rsidRPr="002933EE">
        <w:rPr>
          <w:rFonts w:ascii="Book Antiqua" w:hAnsi="Book Antiqua" w:cs="Times New Roman"/>
          <w:sz w:val="24"/>
          <w:szCs w:val="24"/>
        </w:rPr>
        <w:t>et de 1</w:t>
      </w:r>
      <w:r>
        <w:rPr>
          <w:rFonts w:ascii="Book Antiqua" w:hAnsi="Book Antiqua" w:cs="Times New Roman"/>
          <w:sz w:val="24"/>
          <w:szCs w:val="24"/>
        </w:rPr>
        <w:t>5</w:t>
      </w:r>
      <w:r w:rsidRPr="002933EE">
        <w:rPr>
          <w:rFonts w:ascii="Book Antiqua" w:hAnsi="Book Antiqua" w:cs="Times New Roman"/>
          <w:sz w:val="24"/>
          <w:szCs w:val="24"/>
        </w:rPr>
        <w:t xml:space="preserve">% à </w:t>
      </w:r>
      <w:r>
        <w:rPr>
          <w:rFonts w:ascii="Book Antiqua" w:hAnsi="Book Antiqua" w:cs="Times New Roman"/>
          <w:sz w:val="24"/>
          <w:szCs w:val="24"/>
        </w:rPr>
        <w:t>17</w:t>
      </w:r>
      <w:r w:rsidRPr="002933EE">
        <w:rPr>
          <w:rFonts w:ascii="Book Antiqua" w:hAnsi="Book Antiqua" w:cs="Times New Roman"/>
          <w:sz w:val="24"/>
          <w:szCs w:val="24"/>
        </w:rPr>
        <w:t>% en milieu urbain</w:t>
      </w:r>
      <w:r>
        <w:rPr>
          <w:rFonts w:ascii="Book Antiqua" w:hAnsi="Book Antiqua" w:cs="Times New Roman"/>
          <w:sz w:val="24"/>
          <w:szCs w:val="24"/>
        </w:rPr>
        <w:t xml:space="preserve"> (+2 points)</w:t>
      </w:r>
      <w:r w:rsidRPr="002933EE">
        <w:rPr>
          <w:rFonts w:ascii="Book Antiqua" w:hAnsi="Book Antiqua" w:cs="Times New Roman"/>
          <w:sz w:val="24"/>
          <w:szCs w:val="24"/>
        </w:rPr>
        <w:t>.</w:t>
      </w:r>
    </w:p>
    <w:p w:rsidR="004B3397" w:rsidRDefault="004B3397" w:rsidP="00571BCC">
      <w:pPr>
        <w:spacing w:before="240" w:after="240" w:line="312" w:lineRule="auto"/>
        <w:jc w:val="both"/>
        <w:rPr>
          <w:rFonts w:ascii="Book Antiqua" w:hAnsi="Book Antiqua" w:cs="Times New Roman"/>
          <w:b/>
          <w:bCs/>
          <w:sz w:val="20"/>
          <w:szCs w:val="20"/>
        </w:rPr>
      </w:pPr>
      <w:r w:rsidRPr="00713D06">
        <w:rPr>
          <w:rFonts w:ascii="Book Antiqua" w:hAnsi="Book Antiqua" w:cs="Times New Roman"/>
          <w:sz w:val="24"/>
          <w:szCs w:val="24"/>
        </w:rPr>
        <w:t xml:space="preserve">Cette hausse du chômage a concerné l’ensemble des catégories de la population. </w:t>
      </w:r>
      <w:r w:rsidR="00A810BF" w:rsidRPr="00713D06">
        <w:rPr>
          <w:rFonts w:ascii="Book Antiqua" w:hAnsi="Book Antiqua" w:cs="Times New Roman"/>
          <w:sz w:val="24"/>
          <w:szCs w:val="24"/>
        </w:rPr>
        <w:t>La hausse la plus important est enregistrée parmi les jeunes âgés de 15 à 24 ans de 6,5 points, passant de 31,7% à 38,2% suivis par les personnes âgées de 25 à 34 ans (</w:t>
      </w:r>
      <w:r w:rsidR="00D65C1F">
        <w:rPr>
          <w:rFonts w:ascii="Book Antiqua" w:hAnsi="Book Antiqua" w:cs="Times New Roman"/>
          <w:sz w:val="24"/>
          <w:szCs w:val="24"/>
        </w:rPr>
        <w:t>+</w:t>
      </w:r>
      <w:r w:rsidR="00A810BF" w:rsidRPr="00713D06">
        <w:rPr>
          <w:rFonts w:ascii="Book Antiqua" w:hAnsi="Book Antiqua" w:cs="Times New Roman"/>
          <w:sz w:val="24"/>
          <w:szCs w:val="24"/>
        </w:rPr>
        <w:t>2,5), de 18,4% à 20,9%. En outre</w:t>
      </w:r>
      <w:r w:rsidRPr="00713D06">
        <w:rPr>
          <w:rFonts w:ascii="Book Antiqua" w:hAnsi="Book Antiqua" w:cs="Times New Roman"/>
          <w:sz w:val="24"/>
          <w:szCs w:val="24"/>
        </w:rPr>
        <w:t>, le taux de chômage s’est accru de 2,2 points pour les hommes, passant de 9,5% à 11,7%, et de 2 points pour les femmes, de 17,8% à 19,8%.</w:t>
      </w:r>
      <w:r w:rsidR="00A810BF" w:rsidRPr="00713D06">
        <w:rPr>
          <w:rFonts w:ascii="Book Antiqua" w:hAnsi="Book Antiqua" w:cs="Times New Roman"/>
          <w:sz w:val="24"/>
          <w:szCs w:val="24"/>
        </w:rPr>
        <w:t xml:space="preserve"> </w:t>
      </w:r>
      <w:r w:rsidR="00517EB2" w:rsidRPr="00713D06">
        <w:rPr>
          <w:rFonts w:ascii="Book Antiqua" w:hAnsi="Book Antiqua" w:cs="Times New Roman"/>
          <w:sz w:val="24"/>
          <w:szCs w:val="24"/>
        </w:rPr>
        <w:t>Par diplôme</w:t>
      </w:r>
      <w:r w:rsidR="00A810BF" w:rsidRPr="00713D06">
        <w:rPr>
          <w:rFonts w:ascii="Book Antiqua" w:hAnsi="Book Antiqua" w:cs="Times New Roman"/>
          <w:sz w:val="24"/>
          <w:szCs w:val="24"/>
        </w:rPr>
        <w:t>, le taux de chômage a enregistré une hausse de 2,1 points</w:t>
      </w:r>
      <w:r w:rsidR="00517EB2" w:rsidRPr="00713D06">
        <w:rPr>
          <w:rFonts w:ascii="Book Antiqua" w:hAnsi="Book Antiqua" w:cs="Times New Roman"/>
          <w:sz w:val="24"/>
          <w:szCs w:val="24"/>
        </w:rPr>
        <w:t xml:space="preserve"> parmi les diplômés</w:t>
      </w:r>
      <w:r w:rsidR="00A810BF" w:rsidRPr="00713D06">
        <w:rPr>
          <w:rFonts w:ascii="Book Antiqua" w:hAnsi="Book Antiqua" w:cs="Times New Roman"/>
          <w:sz w:val="24"/>
          <w:szCs w:val="24"/>
        </w:rPr>
        <w:t>, passant de 17,7% à 19,8%</w:t>
      </w:r>
      <w:r w:rsidR="00517EB2" w:rsidRPr="00713D06">
        <w:rPr>
          <w:rFonts w:ascii="Book Antiqua" w:hAnsi="Book Antiqua" w:cs="Times New Roman"/>
          <w:sz w:val="24"/>
          <w:szCs w:val="24"/>
        </w:rPr>
        <w:t xml:space="preserve"> et de 1,4 point parmi les non diplômés, de </w:t>
      </w:r>
      <w:r w:rsidR="00D65C1F">
        <w:rPr>
          <w:rFonts w:ascii="Book Antiqua" w:hAnsi="Book Antiqua" w:cs="Times New Roman"/>
          <w:sz w:val="24"/>
          <w:szCs w:val="24"/>
        </w:rPr>
        <w:t>4</w:t>
      </w:r>
      <w:r w:rsidR="00517EB2" w:rsidRPr="00713D06">
        <w:rPr>
          <w:rFonts w:ascii="Book Antiqua" w:hAnsi="Book Antiqua" w:cs="Times New Roman"/>
          <w:sz w:val="24"/>
          <w:szCs w:val="24"/>
        </w:rPr>
        <w:t>,</w:t>
      </w:r>
      <w:r w:rsidR="00D65C1F">
        <w:rPr>
          <w:rFonts w:ascii="Book Antiqua" w:hAnsi="Book Antiqua" w:cs="Times New Roman"/>
          <w:sz w:val="24"/>
          <w:szCs w:val="24"/>
        </w:rPr>
        <w:t>1</w:t>
      </w:r>
      <w:r w:rsidR="00517EB2" w:rsidRPr="00713D06">
        <w:rPr>
          <w:rFonts w:ascii="Book Antiqua" w:hAnsi="Book Antiqua" w:cs="Times New Roman"/>
          <w:sz w:val="24"/>
          <w:szCs w:val="24"/>
        </w:rPr>
        <w:t xml:space="preserve">% à </w:t>
      </w:r>
      <w:r w:rsidR="00D65C1F">
        <w:rPr>
          <w:rFonts w:ascii="Book Antiqua" w:hAnsi="Book Antiqua" w:cs="Times New Roman"/>
          <w:sz w:val="24"/>
          <w:szCs w:val="24"/>
        </w:rPr>
        <w:t>5</w:t>
      </w:r>
      <w:r w:rsidR="00517EB2" w:rsidRPr="00713D06">
        <w:rPr>
          <w:rFonts w:ascii="Book Antiqua" w:hAnsi="Book Antiqua" w:cs="Times New Roman"/>
          <w:sz w:val="24"/>
          <w:szCs w:val="24"/>
        </w:rPr>
        <w:t>,</w:t>
      </w:r>
      <w:r w:rsidR="00571BCC">
        <w:rPr>
          <w:rFonts w:ascii="Book Antiqua" w:hAnsi="Book Antiqua" w:cs="Times New Roman"/>
          <w:sz w:val="24"/>
          <w:szCs w:val="24"/>
        </w:rPr>
        <w:t>5</w:t>
      </w:r>
      <w:r w:rsidR="00517EB2" w:rsidRPr="00713D06">
        <w:rPr>
          <w:rFonts w:ascii="Book Antiqua" w:hAnsi="Book Antiqua" w:cs="Times New Roman"/>
          <w:sz w:val="24"/>
          <w:szCs w:val="24"/>
        </w:rPr>
        <w:t>%</w:t>
      </w:r>
      <w:r w:rsidR="00A810BF" w:rsidRPr="00713D06">
        <w:rPr>
          <w:rFonts w:ascii="Book Antiqua" w:hAnsi="Book Antiqua" w:cs="Times New Roman"/>
          <w:sz w:val="24"/>
          <w:szCs w:val="24"/>
        </w:rPr>
        <w:t>.</w:t>
      </w:r>
    </w:p>
    <w:p w:rsidR="004B3397" w:rsidRPr="00283BE3" w:rsidRDefault="004E0C71" w:rsidP="00A810BF">
      <w:pPr>
        <w:spacing w:before="240" w:after="240" w:line="312" w:lineRule="auto"/>
        <w:contextualSpacing/>
        <w:jc w:val="center"/>
        <w:rPr>
          <w:rFonts w:ascii="Book Antiqua" w:eastAsia="Book Antiqua" w:hAnsi="Book Antiqua" w:cs="Book Antiqua"/>
          <w:b/>
          <w:color w:val="0070C0"/>
          <w:sz w:val="20"/>
          <w:szCs w:val="20"/>
        </w:rPr>
      </w:pPr>
      <w:r w:rsidRPr="00283BE3">
        <w:rPr>
          <w:rFonts w:ascii="Book Antiqua" w:eastAsia="Book Antiqua" w:hAnsi="Book Antiqua" w:cs="Book Antiqua"/>
          <w:b/>
          <w:color w:val="0070C0"/>
          <w:sz w:val="20"/>
          <w:szCs w:val="20"/>
        </w:rPr>
        <w:t>Graphique 4</w:t>
      </w:r>
      <w:r w:rsidR="00D234F5">
        <w:rPr>
          <w:rFonts w:ascii="Book Antiqua" w:eastAsia="Book Antiqua" w:hAnsi="Book Antiqua" w:cs="Book Antiqua"/>
          <w:b/>
          <w:color w:val="0070C0"/>
          <w:sz w:val="20"/>
          <w:szCs w:val="20"/>
        </w:rPr>
        <w:t xml:space="preserve"> : </w:t>
      </w:r>
      <w:r w:rsidR="004B3397" w:rsidRPr="00283BE3">
        <w:rPr>
          <w:rFonts w:ascii="Book Antiqua" w:eastAsia="Book Antiqua" w:hAnsi="Book Antiqua" w:cs="Book Antiqua"/>
          <w:b/>
          <w:color w:val="0070C0"/>
          <w:sz w:val="20"/>
          <w:szCs w:val="20"/>
        </w:rPr>
        <w:t xml:space="preserve">Evolution du taux de chômage entre les troisièmes trimestres de 2022 et de 2023 pour certaines catégories de la population (en %) </w:t>
      </w:r>
    </w:p>
    <w:p w:rsidR="004B3397" w:rsidRPr="0016011E" w:rsidRDefault="004B3397" w:rsidP="00A810BF">
      <w:pPr>
        <w:spacing w:before="240" w:after="240" w:line="312" w:lineRule="auto"/>
        <w:contextualSpacing/>
        <w:jc w:val="center"/>
        <w:rPr>
          <w:rFonts w:ascii="Book Antiqua" w:hAnsi="Book Antiqua" w:cs="Times New Roman"/>
          <w:b/>
          <w:bCs/>
          <w:sz w:val="20"/>
          <w:szCs w:val="20"/>
        </w:rPr>
      </w:pPr>
      <w:r w:rsidRPr="004B3397">
        <w:rPr>
          <w:rFonts w:ascii="Book Antiqua" w:hAnsi="Book Antiqua" w:cs="Times New Roman"/>
          <w:b/>
          <w:bCs/>
          <w:noProof/>
          <w:sz w:val="20"/>
          <w:szCs w:val="20"/>
        </w:rPr>
        <w:drawing>
          <wp:inline distT="0" distB="0" distL="0" distR="0">
            <wp:extent cx="5759355" cy="1835624"/>
            <wp:effectExtent l="0" t="0" r="0" b="0"/>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3397" w:rsidRDefault="004B3397" w:rsidP="00A810BF">
      <w:pPr>
        <w:autoSpaceDE w:val="0"/>
        <w:autoSpaceDN w:val="0"/>
        <w:adjustRightInd w:val="0"/>
        <w:spacing w:before="240" w:after="240" w:line="312" w:lineRule="auto"/>
        <w:contextualSpacing/>
        <w:jc w:val="both"/>
        <w:rPr>
          <w:rFonts w:ascii="Book Antiqua" w:hAnsi="Book Antiqua" w:cs="Times New Roman"/>
          <w:sz w:val="24"/>
          <w:szCs w:val="24"/>
        </w:rPr>
      </w:pPr>
    </w:p>
    <w:p w:rsidR="003C20E7" w:rsidRDefault="004B3397" w:rsidP="00A810BF">
      <w:pPr>
        <w:spacing w:before="240" w:after="240" w:line="312" w:lineRule="auto"/>
        <w:contextualSpacing/>
        <w:jc w:val="both"/>
        <w:rPr>
          <w:rFonts w:ascii="Book Antiqua" w:hAnsi="Book Antiqua" w:cs="Times New Roman"/>
          <w:sz w:val="24"/>
          <w:szCs w:val="24"/>
        </w:rPr>
      </w:pPr>
      <w:r w:rsidRPr="002E7023">
        <w:rPr>
          <w:rFonts w:ascii="Book Antiqua" w:hAnsi="Book Antiqua" w:cs="Times New Roman"/>
          <w:sz w:val="24"/>
          <w:szCs w:val="24"/>
        </w:rPr>
        <w:t>Par ailleurs,</w:t>
      </w:r>
      <w:r>
        <w:rPr>
          <w:rFonts w:ascii="Book Antiqua" w:hAnsi="Book Antiqua" w:cs="Times New Roman"/>
          <w:sz w:val="24"/>
          <w:szCs w:val="24"/>
        </w:rPr>
        <w:t xml:space="preserve"> au cours de cette période</w:t>
      </w:r>
      <w:r w:rsidR="003C20E7">
        <w:rPr>
          <w:rFonts w:ascii="Book Antiqua" w:hAnsi="Book Antiqua" w:cs="Times New Roman"/>
          <w:sz w:val="24"/>
          <w:szCs w:val="24"/>
        </w:rPr>
        <w:t>,</w:t>
      </w:r>
      <w:r w:rsidRPr="002E7023">
        <w:rPr>
          <w:rFonts w:ascii="Book Antiqua" w:hAnsi="Book Antiqua" w:cs="Times New Roman"/>
          <w:sz w:val="24"/>
          <w:szCs w:val="24"/>
        </w:rPr>
        <w:t xml:space="preserve"> le chômage a été marqué par la hausse de la proportion des personnes récemment en chômage. </w:t>
      </w:r>
      <w:r w:rsidRPr="005B7114">
        <w:rPr>
          <w:rFonts w:ascii="Book Antiqua" w:hAnsi="Book Antiqua" w:cs="Times New Roman"/>
          <w:sz w:val="24"/>
          <w:szCs w:val="24"/>
        </w:rPr>
        <w:t>La part des personnes en situa</w:t>
      </w:r>
      <w:r>
        <w:rPr>
          <w:rFonts w:ascii="Book Antiqua" w:hAnsi="Book Antiqua" w:cs="Times New Roman"/>
          <w:sz w:val="24"/>
          <w:szCs w:val="24"/>
        </w:rPr>
        <w:t xml:space="preserve">tion </w:t>
      </w:r>
    </w:p>
    <w:p w:rsidR="004B3397" w:rsidRDefault="004B3397" w:rsidP="00A810BF">
      <w:pPr>
        <w:spacing w:before="240" w:after="240" w:line="312" w:lineRule="auto"/>
        <w:contextualSpacing/>
        <w:jc w:val="both"/>
        <w:rPr>
          <w:rFonts w:ascii="Book Antiqua" w:hAnsi="Book Antiqua" w:cs="Times New Roman"/>
          <w:sz w:val="24"/>
          <w:szCs w:val="24"/>
        </w:rPr>
      </w:pPr>
      <w:r>
        <w:rPr>
          <w:rFonts w:ascii="Book Antiqua" w:hAnsi="Book Antiqua" w:cs="Times New Roman"/>
          <w:sz w:val="24"/>
          <w:szCs w:val="24"/>
        </w:rPr>
        <w:lastRenderedPageBreak/>
        <w:t xml:space="preserve">de chômage depuis moins d’un an </w:t>
      </w:r>
      <w:r w:rsidRPr="005B7114">
        <w:rPr>
          <w:rFonts w:ascii="Book Antiqua" w:hAnsi="Book Antiqua" w:cs="Times New Roman"/>
          <w:sz w:val="24"/>
          <w:szCs w:val="24"/>
        </w:rPr>
        <w:t xml:space="preserve">s'est élevée de </w:t>
      </w:r>
      <w:r>
        <w:rPr>
          <w:rFonts w:ascii="Book Antiqua" w:hAnsi="Book Antiqua" w:cs="Times New Roman"/>
          <w:sz w:val="24"/>
          <w:szCs w:val="24"/>
        </w:rPr>
        <w:t>31</w:t>
      </w:r>
      <w:r w:rsidRPr="005B7114">
        <w:rPr>
          <w:rFonts w:ascii="Book Antiqua" w:hAnsi="Book Antiqua" w:cs="Times New Roman"/>
          <w:sz w:val="24"/>
          <w:szCs w:val="24"/>
        </w:rPr>
        <w:t>% à</w:t>
      </w:r>
      <w:r>
        <w:rPr>
          <w:rFonts w:ascii="Book Antiqua" w:hAnsi="Book Antiqua" w:cs="Times New Roman"/>
          <w:sz w:val="24"/>
          <w:szCs w:val="24"/>
        </w:rPr>
        <w:t xml:space="preserve"> 33</w:t>
      </w:r>
      <w:r w:rsidRPr="005B7114">
        <w:rPr>
          <w:rFonts w:ascii="Book Antiqua" w:hAnsi="Book Antiqua" w:cs="Times New Roman"/>
          <w:sz w:val="24"/>
          <w:szCs w:val="24"/>
        </w:rPr>
        <w:t>,7%</w:t>
      </w:r>
      <w:r w:rsidRPr="000C50FC">
        <w:rPr>
          <w:rFonts w:ascii="Book Antiqua" w:hAnsi="Book Antiqua" w:cs="Times New Roman"/>
          <w:sz w:val="24"/>
          <w:szCs w:val="24"/>
        </w:rPr>
        <w:t>.</w:t>
      </w:r>
      <w:r>
        <w:rPr>
          <w:rFonts w:ascii="Book Antiqua" w:hAnsi="Book Antiqua" w:cs="Times New Roman"/>
          <w:sz w:val="24"/>
          <w:szCs w:val="24"/>
        </w:rPr>
        <w:t xml:space="preserve"> Ainsi</w:t>
      </w:r>
      <w:r w:rsidRPr="000C50FC">
        <w:rPr>
          <w:rFonts w:ascii="Book Antiqua" w:hAnsi="Book Antiqua" w:cs="Times New Roman"/>
          <w:sz w:val="24"/>
          <w:szCs w:val="24"/>
        </w:rPr>
        <w:t>, la durée moyenne de chômage est passée de 33 mois à 31 mois.</w:t>
      </w:r>
      <w:r>
        <w:rPr>
          <w:rFonts w:ascii="Book Antiqua" w:hAnsi="Book Antiqua" w:cs="Times New Roman"/>
          <w:sz w:val="24"/>
          <w:szCs w:val="24"/>
        </w:rPr>
        <w:t xml:space="preserve"> </w:t>
      </w:r>
    </w:p>
    <w:p w:rsidR="004B3397" w:rsidRDefault="004B3397" w:rsidP="00A810BF">
      <w:pPr>
        <w:spacing w:before="240" w:after="240" w:line="312" w:lineRule="auto"/>
        <w:contextualSpacing/>
        <w:jc w:val="both"/>
        <w:rPr>
          <w:rFonts w:ascii="Book Antiqua" w:hAnsi="Book Antiqua" w:cs="Times New Roman"/>
          <w:sz w:val="24"/>
          <w:szCs w:val="24"/>
        </w:rPr>
      </w:pPr>
    </w:p>
    <w:p w:rsidR="004B3397" w:rsidRDefault="004B3397" w:rsidP="00BF6CA5">
      <w:pPr>
        <w:spacing w:before="240" w:after="240" w:line="312" w:lineRule="auto"/>
        <w:jc w:val="both"/>
        <w:rPr>
          <w:rFonts w:ascii="Book Antiqua" w:hAnsi="Book Antiqua" w:cs="Browallia New"/>
          <w:sz w:val="24"/>
          <w:szCs w:val="24"/>
        </w:rPr>
      </w:pPr>
      <w:r w:rsidRPr="003F42E2">
        <w:rPr>
          <w:rFonts w:ascii="Book Antiqua" w:hAnsi="Book Antiqua" w:cs="Browallia New"/>
          <w:sz w:val="24"/>
          <w:szCs w:val="24"/>
        </w:rPr>
        <w:t xml:space="preserve">D’un autre côté, </w:t>
      </w:r>
      <w:r>
        <w:rPr>
          <w:rFonts w:ascii="Book Antiqua" w:hAnsi="Book Antiqua" w:cs="Browallia New"/>
          <w:sz w:val="24"/>
          <w:szCs w:val="24"/>
        </w:rPr>
        <w:t>la moitié des chômeurs (50,1%)</w:t>
      </w:r>
      <w:r w:rsidRPr="003F42E2">
        <w:rPr>
          <w:rFonts w:ascii="Book Antiqua" w:hAnsi="Book Antiqua" w:cs="Browallia New"/>
          <w:sz w:val="24"/>
          <w:szCs w:val="24"/>
        </w:rPr>
        <w:t xml:space="preserve"> se sont retrouvés dans cette situation suite </w:t>
      </w:r>
      <w:r>
        <w:rPr>
          <w:rFonts w:ascii="Book Antiqua" w:hAnsi="Book Antiqua" w:cs="Browallia New"/>
          <w:sz w:val="24"/>
          <w:szCs w:val="24"/>
        </w:rPr>
        <w:t>à l’a</w:t>
      </w:r>
      <w:r w:rsidRPr="00990F3F">
        <w:rPr>
          <w:rFonts w:ascii="Book Antiqua" w:hAnsi="Book Antiqua" w:cs="Browallia New"/>
          <w:sz w:val="24"/>
          <w:szCs w:val="24"/>
        </w:rPr>
        <w:t xml:space="preserve">chèvement </w:t>
      </w:r>
      <w:r>
        <w:rPr>
          <w:rFonts w:ascii="Book Antiqua" w:hAnsi="Book Antiqua" w:cs="Browallia New"/>
          <w:sz w:val="24"/>
          <w:szCs w:val="24"/>
        </w:rPr>
        <w:t xml:space="preserve">ou l’arrêt </w:t>
      </w:r>
      <w:r w:rsidRPr="00990F3F">
        <w:rPr>
          <w:rFonts w:ascii="Book Antiqua" w:hAnsi="Book Antiqua" w:cs="Browallia New"/>
          <w:sz w:val="24"/>
          <w:szCs w:val="24"/>
        </w:rPr>
        <w:t xml:space="preserve">des études </w:t>
      </w:r>
      <w:r>
        <w:rPr>
          <w:rFonts w:ascii="Book Antiqua" w:hAnsi="Book Antiqua" w:cs="Browallia New"/>
          <w:sz w:val="24"/>
          <w:szCs w:val="24"/>
        </w:rPr>
        <w:t xml:space="preserve">(38,1%) </w:t>
      </w:r>
      <w:r w:rsidRPr="00990F3F">
        <w:rPr>
          <w:rFonts w:ascii="Book Antiqua" w:hAnsi="Book Antiqua" w:cs="Browallia New"/>
          <w:sz w:val="24"/>
          <w:szCs w:val="24"/>
        </w:rPr>
        <w:t xml:space="preserve">ou </w:t>
      </w:r>
      <w:r>
        <w:rPr>
          <w:rFonts w:ascii="Book Antiqua" w:hAnsi="Book Antiqua" w:cs="Browallia New"/>
          <w:sz w:val="24"/>
          <w:szCs w:val="24"/>
        </w:rPr>
        <w:t>l’atteinte de l’âge de travailler (12%).</w:t>
      </w:r>
    </w:p>
    <w:p w:rsidR="004B3397" w:rsidRPr="007015E0" w:rsidRDefault="004B3397" w:rsidP="00A810BF">
      <w:pPr>
        <w:spacing w:before="240" w:after="240" w:line="312" w:lineRule="auto"/>
        <w:rPr>
          <w:rFonts w:ascii="Book Antiqua" w:eastAsiaTheme="majorEastAsia" w:hAnsi="Book Antiqua" w:cstheme="majorHAnsi"/>
          <w:b/>
          <w:bCs/>
          <w:i/>
          <w:iCs/>
          <w:color w:val="31849B" w:themeColor="accent5" w:themeShade="BF"/>
          <w:spacing w:val="-10"/>
          <w:kern w:val="28"/>
          <w:sz w:val="24"/>
          <w:szCs w:val="24"/>
        </w:rPr>
      </w:pPr>
      <w:r w:rsidRPr="007015E0">
        <w:rPr>
          <w:rFonts w:ascii="Book Antiqua" w:eastAsiaTheme="majorEastAsia" w:hAnsi="Book Antiqua" w:cstheme="majorHAnsi"/>
          <w:b/>
          <w:bCs/>
          <w:i/>
          <w:iCs/>
          <w:color w:val="31849B" w:themeColor="accent5" w:themeShade="BF"/>
          <w:spacing w:val="-10"/>
          <w:kern w:val="28"/>
          <w:sz w:val="24"/>
          <w:szCs w:val="24"/>
        </w:rPr>
        <w:t xml:space="preserve">Augmentation du sous-emploi </w:t>
      </w:r>
    </w:p>
    <w:p w:rsidR="004B3397" w:rsidRDefault="004B3397" w:rsidP="00B63650">
      <w:pPr>
        <w:autoSpaceDE w:val="0"/>
        <w:autoSpaceDN w:val="0"/>
        <w:adjustRightInd w:val="0"/>
        <w:spacing w:before="240" w:after="240" w:line="312" w:lineRule="auto"/>
        <w:contextualSpacing/>
        <w:jc w:val="both"/>
        <w:rPr>
          <w:rFonts w:ascii="Book Antiqua" w:hAnsi="Book Antiqua" w:cs="Times New Roman"/>
          <w:sz w:val="24"/>
          <w:szCs w:val="24"/>
        </w:rPr>
      </w:pPr>
      <w:r w:rsidRPr="002D324E">
        <w:rPr>
          <w:rFonts w:ascii="Book Antiqua" w:hAnsi="Book Antiqua" w:cs="Times New Roman"/>
          <w:sz w:val="24"/>
          <w:szCs w:val="24"/>
        </w:rPr>
        <w:t>Le volume des actifs occupés en situation de sous-emploi</w:t>
      </w:r>
      <w:r>
        <w:rPr>
          <w:rFonts w:ascii="Book Antiqua" w:hAnsi="Book Antiqua" w:cs="Times New Roman"/>
          <w:sz w:val="24"/>
          <w:szCs w:val="24"/>
        </w:rPr>
        <w:t xml:space="preserve"> </w:t>
      </w:r>
      <w:r w:rsidR="00B63650">
        <w:rPr>
          <w:rFonts w:ascii="Book Antiqua" w:hAnsi="Book Antiqua" w:cs="Times New Roman"/>
          <w:sz w:val="24"/>
          <w:szCs w:val="24"/>
        </w:rPr>
        <w:t>a augmenté</w:t>
      </w:r>
      <w:r>
        <w:rPr>
          <w:rFonts w:ascii="Book Antiqua" w:hAnsi="Book Antiqua" w:cs="Times New Roman"/>
          <w:sz w:val="24"/>
          <w:szCs w:val="24"/>
        </w:rPr>
        <w:t xml:space="preserve"> </w:t>
      </w:r>
      <w:r w:rsidRPr="002D324E">
        <w:rPr>
          <w:rFonts w:ascii="Book Antiqua" w:hAnsi="Book Antiqua" w:cs="Times New Roman"/>
          <w:sz w:val="24"/>
          <w:szCs w:val="24"/>
        </w:rPr>
        <w:t xml:space="preserve">de </w:t>
      </w:r>
      <w:r>
        <w:rPr>
          <w:rFonts w:ascii="Book Antiqua" w:hAnsi="Book Antiqua" w:cs="Times New Roman"/>
          <w:sz w:val="24"/>
          <w:szCs w:val="24"/>
        </w:rPr>
        <w:t>94</w:t>
      </w:r>
      <w:r w:rsidRPr="002D324E">
        <w:rPr>
          <w:rFonts w:ascii="Book Antiqua" w:hAnsi="Book Antiqua" w:cs="Times New Roman"/>
          <w:sz w:val="24"/>
          <w:szCs w:val="24"/>
        </w:rPr>
        <w:t xml:space="preserve">.000 personnes, entre le </w:t>
      </w:r>
      <w:r>
        <w:rPr>
          <w:rFonts w:ascii="Book Antiqua" w:hAnsi="Book Antiqua" w:cs="Times New Roman"/>
          <w:sz w:val="24"/>
          <w:szCs w:val="24"/>
        </w:rPr>
        <w:t xml:space="preserve">troisième trimestre </w:t>
      </w:r>
      <w:r w:rsidRPr="002D324E">
        <w:rPr>
          <w:rFonts w:ascii="Book Antiqua" w:hAnsi="Book Antiqua" w:cs="Times New Roman"/>
          <w:sz w:val="24"/>
          <w:szCs w:val="24"/>
        </w:rPr>
        <w:t xml:space="preserve">de </w:t>
      </w:r>
      <w:r>
        <w:rPr>
          <w:rFonts w:ascii="Book Antiqua" w:hAnsi="Book Antiqua" w:cs="Times New Roman"/>
          <w:sz w:val="24"/>
          <w:szCs w:val="24"/>
        </w:rPr>
        <w:t>2022</w:t>
      </w:r>
      <w:r w:rsidRPr="002D324E">
        <w:rPr>
          <w:rFonts w:ascii="Book Antiqua" w:hAnsi="Book Antiqua" w:cs="Times New Roman"/>
          <w:sz w:val="24"/>
          <w:szCs w:val="24"/>
        </w:rPr>
        <w:t xml:space="preserve"> et la même période de </w:t>
      </w:r>
      <w:r>
        <w:rPr>
          <w:rFonts w:ascii="Book Antiqua" w:hAnsi="Book Antiqua" w:cs="Times New Roman"/>
          <w:sz w:val="24"/>
          <w:szCs w:val="24"/>
        </w:rPr>
        <w:t>2023</w:t>
      </w:r>
      <w:r w:rsidRPr="002D324E">
        <w:rPr>
          <w:rFonts w:ascii="Book Antiqua" w:hAnsi="Book Antiqua" w:cs="Times New Roman"/>
          <w:sz w:val="24"/>
          <w:szCs w:val="24"/>
        </w:rPr>
        <w:t>, passant de 9</w:t>
      </w:r>
      <w:r>
        <w:rPr>
          <w:rFonts w:ascii="Book Antiqua" w:hAnsi="Book Antiqua" w:cs="Times New Roman"/>
          <w:sz w:val="24"/>
          <w:szCs w:val="24"/>
        </w:rPr>
        <w:t>11</w:t>
      </w:r>
      <w:r w:rsidRPr="002D324E">
        <w:rPr>
          <w:rFonts w:ascii="Book Antiqua" w:hAnsi="Book Antiqua" w:cs="Times New Roman"/>
          <w:sz w:val="24"/>
          <w:szCs w:val="24"/>
        </w:rPr>
        <w:t>.000 à 1.</w:t>
      </w:r>
      <w:r>
        <w:rPr>
          <w:rFonts w:ascii="Book Antiqua" w:hAnsi="Book Antiqua" w:cs="Times New Roman"/>
          <w:sz w:val="24"/>
          <w:szCs w:val="24"/>
        </w:rPr>
        <w:t>005</w:t>
      </w:r>
      <w:r w:rsidRPr="002D324E">
        <w:rPr>
          <w:rFonts w:ascii="Book Antiqua" w:hAnsi="Book Antiqua" w:cs="Times New Roman"/>
          <w:sz w:val="24"/>
          <w:szCs w:val="24"/>
        </w:rPr>
        <w:t>.000 personnes au niveau national, de 48</w:t>
      </w:r>
      <w:r>
        <w:rPr>
          <w:rFonts w:ascii="Book Antiqua" w:hAnsi="Book Antiqua" w:cs="Times New Roman"/>
          <w:sz w:val="24"/>
          <w:szCs w:val="24"/>
        </w:rPr>
        <w:t>8</w:t>
      </w:r>
      <w:r w:rsidRPr="002D324E">
        <w:rPr>
          <w:rFonts w:ascii="Book Antiqua" w:hAnsi="Book Antiqua" w:cs="Times New Roman"/>
          <w:sz w:val="24"/>
          <w:szCs w:val="24"/>
        </w:rPr>
        <w:t xml:space="preserve">.000 à </w:t>
      </w:r>
      <w:r>
        <w:rPr>
          <w:rFonts w:ascii="Book Antiqua" w:hAnsi="Book Antiqua" w:cs="Times New Roman"/>
          <w:sz w:val="24"/>
          <w:szCs w:val="24"/>
        </w:rPr>
        <w:t>52</w:t>
      </w:r>
      <w:r w:rsidRPr="002D324E">
        <w:rPr>
          <w:rFonts w:ascii="Book Antiqua" w:hAnsi="Book Antiqua" w:cs="Times New Roman"/>
          <w:sz w:val="24"/>
          <w:szCs w:val="24"/>
        </w:rPr>
        <w:t xml:space="preserve">3.000 personnes </w:t>
      </w:r>
      <w:r>
        <w:rPr>
          <w:rFonts w:ascii="Book Antiqua" w:hAnsi="Book Antiqua" w:cs="Times New Roman"/>
          <w:sz w:val="24"/>
          <w:szCs w:val="24"/>
        </w:rPr>
        <w:t>en milieu urbain</w:t>
      </w:r>
      <w:r w:rsidRPr="002D324E">
        <w:rPr>
          <w:rFonts w:ascii="Book Antiqua" w:hAnsi="Book Antiqua" w:cs="Times New Roman"/>
          <w:sz w:val="24"/>
          <w:szCs w:val="24"/>
        </w:rPr>
        <w:t xml:space="preserve"> et de </w:t>
      </w:r>
      <w:r>
        <w:rPr>
          <w:rFonts w:ascii="Book Antiqua" w:hAnsi="Book Antiqua" w:cs="Times New Roman"/>
          <w:sz w:val="24"/>
          <w:szCs w:val="24"/>
        </w:rPr>
        <w:t>423</w:t>
      </w:r>
      <w:r w:rsidRPr="002D324E">
        <w:rPr>
          <w:rFonts w:ascii="Book Antiqua" w:hAnsi="Book Antiqua" w:cs="Times New Roman"/>
          <w:sz w:val="24"/>
          <w:szCs w:val="24"/>
        </w:rPr>
        <w:t xml:space="preserve">.000 à </w:t>
      </w:r>
      <w:r>
        <w:rPr>
          <w:rFonts w:ascii="Book Antiqua" w:hAnsi="Book Antiqua" w:cs="Times New Roman"/>
          <w:sz w:val="24"/>
          <w:szCs w:val="24"/>
        </w:rPr>
        <w:t>482</w:t>
      </w:r>
      <w:r w:rsidRPr="002D324E">
        <w:rPr>
          <w:rFonts w:ascii="Book Antiqua" w:hAnsi="Book Antiqua" w:cs="Times New Roman"/>
          <w:sz w:val="24"/>
          <w:szCs w:val="24"/>
        </w:rPr>
        <w:t xml:space="preserve">.000 </w:t>
      </w:r>
      <w:r>
        <w:rPr>
          <w:rFonts w:ascii="Book Antiqua" w:hAnsi="Book Antiqua" w:cs="Times New Roman"/>
          <w:sz w:val="24"/>
          <w:szCs w:val="24"/>
        </w:rPr>
        <w:t>en milieu rural</w:t>
      </w:r>
      <w:r w:rsidRPr="002D324E">
        <w:rPr>
          <w:rFonts w:ascii="Book Antiqua" w:hAnsi="Book Antiqua" w:cs="Times New Roman"/>
          <w:sz w:val="24"/>
          <w:szCs w:val="24"/>
        </w:rPr>
        <w:t xml:space="preserve">. </w:t>
      </w:r>
    </w:p>
    <w:p w:rsidR="004B3397" w:rsidRDefault="004B3397" w:rsidP="00A810BF">
      <w:pPr>
        <w:autoSpaceDE w:val="0"/>
        <w:autoSpaceDN w:val="0"/>
        <w:adjustRightInd w:val="0"/>
        <w:spacing w:before="240" w:after="240" w:line="312" w:lineRule="auto"/>
        <w:contextualSpacing/>
        <w:jc w:val="both"/>
        <w:rPr>
          <w:rFonts w:ascii="Book Antiqua" w:hAnsi="Book Antiqua" w:cs="Times New Roman"/>
          <w:sz w:val="24"/>
          <w:szCs w:val="24"/>
        </w:rPr>
      </w:pPr>
    </w:p>
    <w:p w:rsidR="004B3397" w:rsidRPr="002D324E" w:rsidRDefault="004B3397" w:rsidP="00D65C1F">
      <w:pPr>
        <w:autoSpaceDE w:val="0"/>
        <w:autoSpaceDN w:val="0"/>
        <w:adjustRightInd w:val="0"/>
        <w:spacing w:before="240" w:after="240" w:line="312" w:lineRule="auto"/>
        <w:jc w:val="both"/>
        <w:rPr>
          <w:rFonts w:ascii="Book Antiqua" w:hAnsi="Book Antiqua" w:cs="Times New Roman"/>
          <w:sz w:val="24"/>
          <w:szCs w:val="24"/>
        </w:rPr>
      </w:pPr>
      <w:r w:rsidRPr="002D324E">
        <w:rPr>
          <w:rFonts w:ascii="Book Antiqua" w:hAnsi="Book Antiqua" w:cs="Times New Roman"/>
          <w:sz w:val="24"/>
          <w:szCs w:val="24"/>
        </w:rPr>
        <w:t xml:space="preserve">Le taux de sous-emploi est ainsi passé de </w:t>
      </w:r>
      <w:r>
        <w:rPr>
          <w:rFonts w:ascii="Book Antiqua" w:hAnsi="Book Antiqua" w:cs="Times New Roman"/>
          <w:sz w:val="24"/>
          <w:szCs w:val="24"/>
        </w:rPr>
        <w:t>8,5</w:t>
      </w:r>
      <w:r w:rsidRPr="002D324E">
        <w:rPr>
          <w:rFonts w:ascii="Book Antiqua" w:hAnsi="Book Antiqua" w:cs="Times New Roman"/>
          <w:sz w:val="24"/>
          <w:szCs w:val="24"/>
        </w:rPr>
        <w:t xml:space="preserve">% à </w:t>
      </w:r>
      <w:r>
        <w:rPr>
          <w:rFonts w:ascii="Book Antiqua" w:hAnsi="Book Antiqua" w:cs="Times New Roman"/>
          <w:sz w:val="24"/>
          <w:szCs w:val="24"/>
        </w:rPr>
        <w:t>9,</w:t>
      </w:r>
      <w:r w:rsidR="00D65C1F">
        <w:rPr>
          <w:rFonts w:ascii="Book Antiqua" w:hAnsi="Book Antiqua" w:cs="Times New Roman"/>
          <w:sz w:val="24"/>
          <w:szCs w:val="24"/>
        </w:rPr>
        <w:t>6</w:t>
      </w:r>
      <w:r w:rsidRPr="002D324E">
        <w:rPr>
          <w:rFonts w:ascii="Book Antiqua" w:hAnsi="Book Antiqua" w:cs="Times New Roman"/>
          <w:sz w:val="24"/>
          <w:szCs w:val="24"/>
        </w:rPr>
        <w:t>% au niveau national, de 7,</w:t>
      </w:r>
      <w:r>
        <w:rPr>
          <w:rFonts w:ascii="Book Antiqua" w:hAnsi="Book Antiqua" w:cs="Times New Roman"/>
          <w:sz w:val="24"/>
          <w:szCs w:val="24"/>
        </w:rPr>
        <w:t>5</w:t>
      </w:r>
      <w:r w:rsidRPr="002D324E">
        <w:rPr>
          <w:rFonts w:ascii="Book Antiqua" w:hAnsi="Book Antiqua" w:cs="Times New Roman"/>
          <w:sz w:val="24"/>
          <w:szCs w:val="24"/>
        </w:rPr>
        <w:t xml:space="preserve">% à </w:t>
      </w:r>
      <w:r>
        <w:rPr>
          <w:rFonts w:ascii="Book Antiqua" w:hAnsi="Book Antiqua" w:cs="Times New Roman"/>
          <w:sz w:val="24"/>
          <w:szCs w:val="24"/>
        </w:rPr>
        <w:t>8</w:t>
      </w:r>
      <w:r w:rsidRPr="002D324E">
        <w:rPr>
          <w:rFonts w:ascii="Book Antiqua" w:hAnsi="Book Antiqua" w:cs="Times New Roman"/>
          <w:sz w:val="24"/>
          <w:szCs w:val="24"/>
        </w:rPr>
        <w:t>,</w:t>
      </w:r>
      <w:r>
        <w:rPr>
          <w:rFonts w:ascii="Book Antiqua" w:hAnsi="Book Antiqua" w:cs="Times New Roman"/>
          <w:sz w:val="24"/>
          <w:szCs w:val="24"/>
        </w:rPr>
        <w:t>1</w:t>
      </w:r>
      <w:r w:rsidRPr="002D324E">
        <w:rPr>
          <w:rFonts w:ascii="Book Antiqua" w:hAnsi="Book Antiqua" w:cs="Times New Roman"/>
          <w:sz w:val="24"/>
          <w:szCs w:val="24"/>
        </w:rPr>
        <w:t xml:space="preserve">% en milieu urbain et de </w:t>
      </w:r>
      <w:r>
        <w:rPr>
          <w:rFonts w:ascii="Book Antiqua" w:hAnsi="Book Antiqua" w:cs="Times New Roman"/>
          <w:sz w:val="24"/>
          <w:szCs w:val="24"/>
        </w:rPr>
        <w:t>9</w:t>
      </w:r>
      <w:r w:rsidRPr="002D324E">
        <w:rPr>
          <w:rFonts w:ascii="Book Antiqua" w:hAnsi="Book Antiqua" w:cs="Times New Roman"/>
          <w:sz w:val="24"/>
          <w:szCs w:val="24"/>
        </w:rPr>
        <w:t>,</w:t>
      </w:r>
      <w:r>
        <w:rPr>
          <w:rFonts w:ascii="Book Antiqua" w:hAnsi="Book Antiqua" w:cs="Times New Roman"/>
          <w:sz w:val="24"/>
          <w:szCs w:val="24"/>
        </w:rPr>
        <w:t>9</w:t>
      </w:r>
      <w:r w:rsidRPr="002D324E">
        <w:rPr>
          <w:rFonts w:ascii="Book Antiqua" w:hAnsi="Book Antiqua" w:cs="Times New Roman"/>
          <w:sz w:val="24"/>
          <w:szCs w:val="24"/>
        </w:rPr>
        <w:t xml:space="preserve">% à </w:t>
      </w:r>
      <w:r>
        <w:rPr>
          <w:rFonts w:ascii="Book Antiqua" w:hAnsi="Book Antiqua" w:cs="Times New Roman"/>
          <w:sz w:val="24"/>
          <w:szCs w:val="24"/>
        </w:rPr>
        <w:t>12</w:t>
      </w:r>
      <w:r w:rsidRPr="002D324E">
        <w:rPr>
          <w:rFonts w:ascii="Book Antiqua" w:hAnsi="Book Antiqua" w:cs="Times New Roman"/>
          <w:sz w:val="24"/>
          <w:szCs w:val="24"/>
        </w:rPr>
        <w:t>% en milieu rural.</w:t>
      </w:r>
    </w:p>
    <w:p w:rsidR="004B3397" w:rsidRDefault="004B3397" w:rsidP="00A810BF">
      <w:pPr>
        <w:autoSpaceDE w:val="0"/>
        <w:autoSpaceDN w:val="0"/>
        <w:adjustRightInd w:val="0"/>
        <w:spacing w:before="240" w:after="240" w:line="312" w:lineRule="auto"/>
        <w:jc w:val="both"/>
        <w:rPr>
          <w:rFonts w:ascii="Book Antiqua" w:hAnsi="Book Antiqua" w:cs="Times New Roman"/>
          <w:sz w:val="24"/>
          <w:szCs w:val="24"/>
        </w:rPr>
      </w:pPr>
      <w:r w:rsidRPr="002D324E">
        <w:rPr>
          <w:rFonts w:ascii="Book Antiqua" w:hAnsi="Book Antiqua" w:cs="Times New Roman"/>
          <w:sz w:val="24"/>
          <w:szCs w:val="24"/>
        </w:rPr>
        <w:t>S’agissant d</w:t>
      </w:r>
      <w:r>
        <w:rPr>
          <w:rFonts w:ascii="Book Antiqua" w:hAnsi="Book Antiqua" w:cs="Times New Roman"/>
          <w:sz w:val="24"/>
          <w:szCs w:val="24"/>
        </w:rPr>
        <w:t>u volume d</w:t>
      </w:r>
      <w:r w:rsidRPr="002D324E">
        <w:rPr>
          <w:rFonts w:ascii="Book Antiqua" w:hAnsi="Book Antiqua" w:cs="Times New Roman"/>
          <w:sz w:val="24"/>
          <w:szCs w:val="24"/>
        </w:rPr>
        <w:t xml:space="preserve">e la population active occupée </w:t>
      </w:r>
      <w:r>
        <w:rPr>
          <w:rFonts w:ascii="Book Antiqua" w:hAnsi="Book Antiqua" w:cs="Times New Roman"/>
          <w:sz w:val="24"/>
          <w:szCs w:val="24"/>
        </w:rPr>
        <w:t>en situation de sous-emploi lié</w:t>
      </w:r>
      <w:r w:rsidRPr="002D324E">
        <w:rPr>
          <w:rFonts w:ascii="Book Antiqua" w:hAnsi="Book Antiqua" w:cs="Times New Roman"/>
          <w:sz w:val="24"/>
          <w:szCs w:val="24"/>
        </w:rPr>
        <w:t xml:space="preserve"> au nombre d’heures travaillées</w:t>
      </w:r>
      <w:r>
        <w:rPr>
          <w:rFonts w:ascii="Book Antiqua" w:hAnsi="Book Antiqua" w:cs="Times New Roman"/>
          <w:sz w:val="24"/>
          <w:szCs w:val="24"/>
        </w:rPr>
        <w:t>, il est passé</w:t>
      </w:r>
      <w:r w:rsidRPr="002D324E">
        <w:rPr>
          <w:rFonts w:ascii="Book Antiqua" w:hAnsi="Book Antiqua" w:cs="Times New Roman"/>
          <w:sz w:val="24"/>
          <w:szCs w:val="24"/>
        </w:rPr>
        <w:t xml:space="preserve"> de </w:t>
      </w:r>
      <w:r>
        <w:rPr>
          <w:rFonts w:ascii="Book Antiqua" w:hAnsi="Book Antiqua" w:cs="Times New Roman"/>
          <w:sz w:val="24"/>
          <w:szCs w:val="24"/>
        </w:rPr>
        <w:t>401</w:t>
      </w:r>
      <w:r w:rsidRPr="002D324E">
        <w:rPr>
          <w:rFonts w:ascii="Book Antiqua" w:hAnsi="Book Antiqua" w:cs="Times New Roman"/>
          <w:sz w:val="24"/>
          <w:szCs w:val="24"/>
        </w:rPr>
        <w:t xml:space="preserve">.000 à </w:t>
      </w:r>
      <w:r>
        <w:rPr>
          <w:rFonts w:ascii="Book Antiqua" w:hAnsi="Book Antiqua" w:cs="Times New Roman"/>
          <w:sz w:val="24"/>
          <w:szCs w:val="24"/>
        </w:rPr>
        <w:t>501</w:t>
      </w:r>
      <w:r w:rsidRPr="002D324E">
        <w:rPr>
          <w:rFonts w:ascii="Book Antiqua" w:hAnsi="Book Antiqua" w:cs="Times New Roman"/>
          <w:sz w:val="24"/>
          <w:szCs w:val="24"/>
        </w:rPr>
        <w:t>.000 personnes au niveau national. Le taux correspondant pass</w:t>
      </w:r>
      <w:r>
        <w:rPr>
          <w:rFonts w:ascii="Book Antiqua" w:hAnsi="Book Antiqua" w:cs="Times New Roman"/>
          <w:sz w:val="24"/>
          <w:szCs w:val="24"/>
        </w:rPr>
        <w:t>e</w:t>
      </w:r>
      <w:r w:rsidRPr="002D324E">
        <w:rPr>
          <w:rFonts w:ascii="Book Antiqua" w:hAnsi="Book Antiqua" w:cs="Times New Roman"/>
          <w:sz w:val="24"/>
          <w:szCs w:val="24"/>
        </w:rPr>
        <w:t xml:space="preserve"> de 3,</w:t>
      </w:r>
      <w:r>
        <w:rPr>
          <w:rFonts w:ascii="Book Antiqua" w:hAnsi="Book Antiqua" w:cs="Times New Roman"/>
          <w:sz w:val="24"/>
          <w:szCs w:val="24"/>
        </w:rPr>
        <w:t>7</w:t>
      </w:r>
      <w:r w:rsidRPr="002D324E">
        <w:rPr>
          <w:rFonts w:ascii="Book Antiqua" w:hAnsi="Book Antiqua" w:cs="Times New Roman"/>
          <w:sz w:val="24"/>
          <w:szCs w:val="24"/>
        </w:rPr>
        <w:t xml:space="preserve">% à </w:t>
      </w:r>
      <w:r>
        <w:rPr>
          <w:rFonts w:ascii="Book Antiqua" w:hAnsi="Book Antiqua" w:cs="Times New Roman"/>
          <w:sz w:val="24"/>
          <w:szCs w:val="24"/>
        </w:rPr>
        <w:t>4</w:t>
      </w:r>
      <w:r w:rsidRPr="002D324E">
        <w:rPr>
          <w:rFonts w:ascii="Book Antiqua" w:hAnsi="Book Antiqua" w:cs="Times New Roman"/>
          <w:sz w:val="24"/>
          <w:szCs w:val="24"/>
        </w:rPr>
        <w:t>,</w:t>
      </w:r>
      <w:r>
        <w:rPr>
          <w:rFonts w:ascii="Book Antiqua" w:hAnsi="Book Antiqua" w:cs="Times New Roman"/>
          <w:sz w:val="24"/>
          <w:szCs w:val="24"/>
        </w:rPr>
        <w:t>8</w:t>
      </w:r>
      <w:r w:rsidRPr="002D324E">
        <w:rPr>
          <w:rFonts w:ascii="Book Antiqua" w:hAnsi="Book Antiqua" w:cs="Times New Roman"/>
          <w:sz w:val="24"/>
          <w:szCs w:val="24"/>
        </w:rPr>
        <w:t xml:space="preserve">%. </w:t>
      </w:r>
    </w:p>
    <w:p w:rsidR="004B3397" w:rsidRPr="002D324E" w:rsidRDefault="004B3397" w:rsidP="00D65C1F">
      <w:pPr>
        <w:spacing w:before="240" w:after="240" w:line="312" w:lineRule="auto"/>
        <w:jc w:val="both"/>
        <w:rPr>
          <w:sz w:val="24"/>
          <w:szCs w:val="24"/>
        </w:rPr>
      </w:pPr>
      <w:r w:rsidRPr="002D324E">
        <w:rPr>
          <w:rFonts w:ascii="Book Antiqua" w:hAnsi="Book Antiqua" w:cs="Times New Roman"/>
          <w:sz w:val="24"/>
          <w:szCs w:val="24"/>
        </w:rPr>
        <w:t xml:space="preserve">La population active occupée en situation de sous-emploi lié à l’insuffisance du revenu ou à l’inadéquation entre la formation et l’emploi exercé est passée de </w:t>
      </w:r>
      <w:r>
        <w:rPr>
          <w:rFonts w:ascii="Book Antiqua" w:hAnsi="Book Antiqua" w:cs="Times New Roman"/>
          <w:sz w:val="24"/>
          <w:szCs w:val="24"/>
        </w:rPr>
        <w:t>510</w:t>
      </w:r>
      <w:r w:rsidRPr="002D324E">
        <w:rPr>
          <w:rFonts w:ascii="Book Antiqua" w:hAnsi="Book Antiqua" w:cs="Times New Roman"/>
          <w:sz w:val="24"/>
          <w:szCs w:val="24"/>
        </w:rPr>
        <w:t xml:space="preserve">.000 à </w:t>
      </w:r>
      <w:r>
        <w:rPr>
          <w:rFonts w:ascii="Book Antiqua" w:hAnsi="Book Antiqua" w:cs="Times New Roman"/>
          <w:sz w:val="24"/>
          <w:szCs w:val="24"/>
        </w:rPr>
        <w:t>505</w:t>
      </w:r>
      <w:r w:rsidRPr="002D324E">
        <w:rPr>
          <w:rFonts w:ascii="Book Antiqua" w:hAnsi="Book Antiqua" w:cs="Times New Roman"/>
          <w:sz w:val="24"/>
          <w:szCs w:val="24"/>
        </w:rPr>
        <w:t>.000 personnes au niveau national</w:t>
      </w:r>
      <w:r>
        <w:rPr>
          <w:rFonts w:ascii="Book Antiqua" w:hAnsi="Book Antiqua" w:cs="Times New Roman"/>
          <w:sz w:val="24"/>
          <w:szCs w:val="24"/>
        </w:rPr>
        <w:t xml:space="preserve">. </w:t>
      </w:r>
      <w:r w:rsidRPr="002D324E">
        <w:rPr>
          <w:rFonts w:ascii="Book Antiqua" w:hAnsi="Book Antiqua" w:cs="Times New Roman"/>
          <w:sz w:val="24"/>
          <w:szCs w:val="24"/>
        </w:rPr>
        <w:t xml:space="preserve">Le taux correspondant </w:t>
      </w:r>
      <w:r w:rsidR="00D65C1F">
        <w:rPr>
          <w:rFonts w:ascii="Book Antiqua" w:hAnsi="Book Antiqua" w:cs="Times New Roman"/>
          <w:sz w:val="24"/>
          <w:szCs w:val="24"/>
        </w:rPr>
        <w:t>a</w:t>
      </w:r>
      <w:r>
        <w:rPr>
          <w:rFonts w:ascii="Book Antiqua" w:hAnsi="Book Antiqua" w:cs="Times New Roman"/>
          <w:sz w:val="24"/>
          <w:szCs w:val="24"/>
        </w:rPr>
        <w:t xml:space="preserve"> quasiment stagné,</w:t>
      </w:r>
      <w:r w:rsidRPr="002D324E">
        <w:rPr>
          <w:rFonts w:ascii="Book Antiqua" w:hAnsi="Book Antiqua" w:cs="Times New Roman"/>
          <w:sz w:val="24"/>
          <w:szCs w:val="24"/>
        </w:rPr>
        <w:t xml:space="preserve"> de </w:t>
      </w:r>
      <w:r>
        <w:rPr>
          <w:rFonts w:ascii="Book Antiqua" w:hAnsi="Book Antiqua" w:cs="Times New Roman"/>
          <w:sz w:val="24"/>
          <w:szCs w:val="24"/>
        </w:rPr>
        <w:t>4</w:t>
      </w:r>
      <w:r w:rsidRPr="002D324E">
        <w:rPr>
          <w:rFonts w:ascii="Book Antiqua" w:hAnsi="Book Antiqua" w:cs="Times New Roman"/>
          <w:sz w:val="24"/>
          <w:szCs w:val="24"/>
        </w:rPr>
        <w:t>,</w:t>
      </w:r>
      <w:r>
        <w:rPr>
          <w:rFonts w:ascii="Book Antiqua" w:hAnsi="Book Antiqua" w:cs="Times New Roman"/>
          <w:sz w:val="24"/>
          <w:szCs w:val="24"/>
        </w:rPr>
        <w:t>7</w:t>
      </w:r>
      <w:r w:rsidRPr="002D324E">
        <w:rPr>
          <w:rFonts w:ascii="Book Antiqua" w:hAnsi="Book Antiqua" w:cs="Times New Roman"/>
          <w:sz w:val="24"/>
          <w:szCs w:val="24"/>
        </w:rPr>
        <w:t xml:space="preserve">% à </w:t>
      </w:r>
      <w:r>
        <w:rPr>
          <w:rFonts w:ascii="Book Antiqua" w:hAnsi="Book Antiqua" w:cs="Times New Roman"/>
          <w:sz w:val="24"/>
          <w:szCs w:val="24"/>
        </w:rPr>
        <w:t>4</w:t>
      </w:r>
      <w:r w:rsidRPr="002D324E">
        <w:rPr>
          <w:rFonts w:ascii="Book Antiqua" w:hAnsi="Book Antiqua" w:cs="Times New Roman"/>
          <w:sz w:val="24"/>
          <w:szCs w:val="24"/>
        </w:rPr>
        <w:t>,8%.</w:t>
      </w:r>
    </w:p>
    <w:p w:rsidR="004B3397" w:rsidRDefault="004B3397" w:rsidP="00BF6CA5">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Le secteur des BTP, le plus touché par le sous emploi, a connu une importante hausse du taux de sous-emploi</w:t>
      </w:r>
      <w:r w:rsidR="00BF6CA5">
        <w:rPr>
          <w:rFonts w:ascii="Book Antiqua" w:hAnsi="Book Antiqua" w:cs="Times New Roman"/>
          <w:sz w:val="24"/>
          <w:szCs w:val="24"/>
        </w:rPr>
        <w:t xml:space="preserve"> </w:t>
      </w:r>
      <w:r>
        <w:rPr>
          <w:rFonts w:ascii="Book Antiqua" w:hAnsi="Book Antiqua" w:cs="Times New Roman"/>
          <w:sz w:val="24"/>
          <w:szCs w:val="24"/>
        </w:rPr>
        <w:t xml:space="preserve">avec +3,1 points (de 15,8% à 18,9%), suivi par le secteur de </w:t>
      </w:r>
      <w:r w:rsidR="004E0C71">
        <w:rPr>
          <w:rFonts w:ascii="Book Antiqua" w:hAnsi="Book Antiqua" w:cs="Times New Roman"/>
          <w:sz w:val="24"/>
          <w:szCs w:val="24"/>
        </w:rPr>
        <w:t>l</w:t>
      </w:r>
      <w:r w:rsidR="004E0C71" w:rsidRPr="009660EC">
        <w:rPr>
          <w:rFonts w:ascii="Book Antiqua" w:hAnsi="Book Antiqua" w:cs="Times New Roman"/>
          <w:sz w:val="24"/>
          <w:szCs w:val="24"/>
        </w:rPr>
        <w:t>"I</w:t>
      </w:r>
      <w:r w:rsidRPr="009660EC">
        <w:rPr>
          <w:rFonts w:ascii="Book Antiqua" w:hAnsi="Book Antiqua" w:cs="Times New Roman"/>
          <w:sz w:val="24"/>
          <w:szCs w:val="24"/>
        </w:rPr>
        <w:t>ndustrie y compris l’artisanat"</w:t>
      </w:r>
      <w:r>
        <w:rPr>
          <w:rFonts w:ascii="Book Antiqua" w:hAnsi="Book Antiqua" w:cs="Times New Roman"/>
          <w:sz w:val="24"/>
          <w:szCs w:val="24"/>
        </w:rPr>
        <w:t xml:space="preserve"> avec </w:t>
      </w:r>
      <w:r w:rsidRPr="004B3397">
        <w:rPr>
          <w:rFonts w:ascii="Book Antiqua" w:hAnsi="Book Antiqua" w:cs="Times New Roman"/>
          <w:sz w:val="24"/>
          <w:szCs w:val="24"/>
        </w:rPr>
        <w:t>2</w:t>
      </w:r>
      <w:r w:rsidRPr="000C50FC">
        <w:rPr>
          <w:rFonts w:ascii="Book Antiqua" w:hAnsi="Book Antiqua" w:cs="Times New Roman"/>
          <w:sz w:val="24"/>
          <w:szCs w:val="24"/>
        </w:rPr>
        <w:t>,1 points</w:t>
      </w:r>
      <w:r>
        <w:rPr>
          <w:rFonts w:ascii="Book Antiqua" w:hAnsi="Book Antiqua" w:cs="Times New Roman"/>
          <w:sz w:val="24"/>
          <w:szCs w:val="24"/>
        </w:rPr>
        <w:t xml:space="preserve"> (</w:t>
      </w:r>
      <w:r w:rsidRPr="001D5675">
        <w:rPr>
          <w:rFonts w:ascii="Book Antiqua" w:hAnsi="Book Antiqua" w:cs="Times New Roman"/>
          <w:sz w:val="24"/>
          <w:szCs w:val="24"/>
        </w:rPr>
        <w:t>de 5,</w:t>
      </w:r>
      <w:r>
        <w:rPr>
          <w:rFonts w:ascii="Book Antiqua" w:hAnsi="Book Antiqua" w:cs="Times New Roman"/>
          <w:sz w:val="24"/>
          <w:szCs w:val="24"/>
        </w:rPr>
        <w:t>6</w:t>
      </w:r>
      <w:r w:rsidRPr="001D5675">
        <w:rPr>
          <w:rFonts w:ascii="Book Antiqua" w:hAnsi="Book Antiqua" w:cs="Times New Roman"/>
          <w:sz w:val="24"/>
          <w:szCs w:val="24"/>
        </w:rPr>
        <w:t xml:space="preserve">% à </w:t>
      </w:r>
      <w:r>
        <w:rPr>
          <w:rFonts w:ascii="Book Antiqua" w:hAnsi="Book Antiqua" w:cs="Times New Roman"/>
          <w:sz w:val="24"/>
          <w:szCs w:val="24"/>
        </w:rPr>
        <w:t>7</w:t>
      </w:r>
      <w:r w:rsidRPr="001D5675">
        <w:rPr>
          <w:rFonts w:ascii="Book Antiqua" w:hAnsi="Book Antiqua" w:cs="Times New Roman"/>
          <w:sz w:val="24"/>
          <w:szCs w:val="24"/>
        </w:rPr>
        <w:t>,7%</w:t>
      </w:r>
      <w:r>
        <w:rPr>
          <w:rFonts w:ascii="Book Antiqua" w:hAnsi="Book Antiqua" w:cs="Times New Roman"/>
          <w:sz w:val="24"/>
          <w:szCs w:val="24"/>
        </w:rPr>
        <w:t xml:space="preserve">). </w:t>
      </w:r>
    </w:p>
    <w:p w:rsidR="004B3397" w:rsidRPr="00175477" w:rsidRDefault="004E0C71" w:rsidP="00A810BF">
      <w:pPr>
        <w:spacing w:before="240" w:after="240" w:line="312" w:lineRule="auto"/>
        <w:contextualSpacing/>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Graphique 5</w:t>
      </w:r>
      <w:r w:rsidR="004B3397">
        <w:rPr>
          <w:rFonts w:ascii="Book Antiqua" w:eastAsia="Book Antiqua" w:hAnsi="Book Antiqua" w:cs="Book Antiqua"/>
          <w:b/>
          <w:color w:val="0070C0"/>
          <w:sz w:val="20"/>
          <w:szCs w:val="20"/>
        </w:rPr>
        <w:t xml:space="preserve"> : </w:t>
      </w:r>
      <w:r w:rsidR="004B3397" w:rsidRPr="00175477">
        <w:rPr>
          <w:rFonts w:ascii="Book Antiqua" w:eastAsia="Book Antiqua" w:hAnsi="Book Antiqua" w:cs="Book Antiqua"/>
          <w:b/>
          <w:color w:val="0070C0"/>
          <w:sz w:val="20"/>
          <w:szCs w:val="20"/>
        </w:rPr>
        <w:t>Evolution du taux de sous-emploi entre l</w:t>
      </w:r>
      <w:r w:rsidR="004B3397">
        <w:rPr>
          <w:rFonts w:ascii="Book Antiqua" w:eastAsia="Book Antiqua" w:hAnsi="Book Antiqua" w:cs="Book Antiqua"/>
          <w:b/>
          <w:color w:val="0070C0"/>
          <w:sz w:val="20"/>
          <w:szCs w:val="20"/>
        </w:rPr>
        <w:t>es troisièmes trimestres de 2022 et de 2023</w:t>
      </w:r>
      <w:r w:rsidR="004B3397" w:rsidRPr="00175477">
        <w:rPr>
          <w:rFonts w:ascii="Book Antiqua" w:eastAsia="Book Antiqua" w:hAnsi="Book Antiqua" w:cs="Book Antiqua"/>
          <w:b/>
          <w:color w:val="0070C0"/>
          <w:sz w:val="20"/>
          <w:szCs w:val="20"/>
        </w:rPr>
        <w:t xml:space="preserve"> </w:t>
      </w:r>
      <w:r w:rsidR="004B3397">
        <w:rPr>
          <w:rFonts w:ascii="Book Antiqua" w:eastAsia="Book Antiqua" w:hAnsi="Book Antiqua" w:cs="Book Antiqua"/>
          <w:b/>
          <w:color w:val="0070C0"/>
          <w:sz w:val="20"/>
          <w:szCs w:val="20"/>
        </w:rPr>
        <w:t>selon les secteurs d’activité économique</w:t>
      </w:r>
      <w:r w:rsidR="004B3397" w:rsidRPr="00175477">
        <w:rPr>
          <w:rFonts w:ascii="Book Antiqua" w:eastAsia="Book Antiqua" w:hAnsi="Book Antiqua" w:cs="Book Antiqua"/>
          <w:b/>
          <w:color w:val="0070C0"/>
          <w:sz w:val="20"/>
          <w:szCs w:val="20"/>
        </w:rPr>
        <w:t xml:space="preserve"> (en %)</w:t>
      </w:r>
    </w:p>
    <w:p w:rsidR="004B3397" w:rsidRDefault="004B3397" w:rsidP="00A810BF">
      <w:pPr>
        <w:spacing w:before="240" w:after="240" w:line="312" w:lineRule="auto"/>
        <w:contextualSpacing/>
        <w:jc w:val="center"/>
        <w:rPr>
          <w:rFonts w:ascii="Book Antiqua" w:hAnsi="Book Antiqua" w:cs="Times New Roman"/>
          <w:sz w:val="24"/>
          <w:szCs w:val="24"/>
        </w:rPr>
      </w:pPr>
      <w:r w:rsidRPr="004B3397">
        <w:rPr>
          <w:rFonts w:ascii="Book Antiqua" w:hAnsi="Book Antiqua" w:cs="Times New Roman"/>
          <w:noProof/>
          <w:sz w:val="24"/>
          <w:szCs w:val="24"/>
        </w:rPr>
        <w:drawing>
          <wp:inline distT="0" distB="0" distL="0" distR="0">
            <wp:extent cx="5117910" cy="1535373"/>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5841" w:rsidRPr="00283BE3" w:rsidRDefault="00CE5841" w:rsidP="00CE5841">
      <w:pPr>
        <w:pStyle w:val="MMTopic2"/>
        <w:numPr>
          <w:ilvl w:val="0"/>
          <w:numId w:val="0"/>
        </w:numPr>
        <w:spacing w:line="240" w:lineRule="auto"/>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lastRenderedPageBreak/>
        <w:t>III. Situation régionale du marché du travail</w:t>
      </w:r>
    </w:p>
    <w:p w:rsidR="00CE5841" w:rsidRPr="00283BE3" w:rsidRDefault="00CE5841" w:rsidP="00CE5841">
      <w:pPr>
        <w:pStyle w:val="MMTopic2"/>
        <w:numPr>
          <w:ilvl w:val="0"/>
          <w:numId w:val="0"/>
        </w:numPr>
        <w:spacing w:line="240" w:lineRule="auto"/>
        <w:jc w:val="both"/>
        <w:rPr>
          <w:rFonts w:ascii="Book Antiqua" w:eastAsia="Book Antiqua" w:hAnsi="Book Antiqua" w:cs="Book Antiqua"/>
          <w:b/>
          <w:bCs/>
          <w:color w:val="0070C0"/>
          <w:lang w:eastAsia="fr-FR"/>
        </w:rPr>
      </w:pPr>
    </w:p>
    <w:p w:rsidR="00CE5841" w:rsidRDefault="00CE5841" w:rsidP="00AF439C">
      <w:pPr>
        <w:spacing w:line="360" w:lineRule="auto"/>
        <w:jc w:val="both"/>
        <w:rPr>
          <w:rFonts w:ascii="Book Antiqua" w:hAnsi="Book Antiqua" w:cs="Times New Roman"/>
          <w:sz w:val="24"/>
          <w:szCs w:val="24"/>
        </w:rPr>
      </w:pPr>
      <w:r w:rsidRPr="00A65ADE">
        <w:rPr>
          <w:rFonts w:ascii="Book Antiqua" w:hAnsi="Book Antiqua" w:cs="Times New Roman"/>
          <w:sz w:val="24"/>
          <w:szCs w:val="24"/>
        </w:rPr>
        <w:t>Cinq régions abritent 72,6% de l’ensemble des actifs âgés de 15 ans et plus. Casablanca-Settat vient en première position avec 22,5% d’actifs, suivie de Rabat-Salé-Kénitra (13,8%), de Marrakech-Safi (13,1%), de Fès-Meknès (11,7%)</w:t>
      </w:r>
      <w:r>
        <w:rPr>
          <w:rFonts w:ascii="Book Antiqua" w:hAnsi="Book Antiqua" w:cs="Times New Roman"/>
          <w:sz w:val="24"/>
          <w:szCs w:val="24"/>
        </w:rPr>
        <w:t xml:space="preserve">, et </w:t>
      </w:r>
      <w:r w:rsidRPr="00A65ADE">
        <w:rPr>
          <w:rFonts w:ascii="Book Antiqua" w:hAnsi="Book Antiqua" w:cs="Times New Roman"/>
          <w:sz w:val="24"/>
          <w:szCs w:val="24"/>
        </w:rPr>
        <w:t>de Tanger-Tétouan-Al Hoceima (11,5%)</w:t>
      </w:r>
      <w:r>
        <w:rPr>
          <w:rFonts w:ascii="Book Antiqua" w:hAnsi="Book Antiqua" w:cs="Times New Roman"/>
          <w:sz w:val="24"/>
          <w:szCs w:val="24"/>
        </w:rPr>
        <w:t>.</w:t>
      </w:r>
    </w:p>
    <w:p w:rsidR="00CE5841" w:rsidRPr="00A65ADE" w:rsidRDefault="00CE5841" w:rsidP="00CE5841">
      <w:pPr>
        <w:spacing w:line="360" w:lineRule="auto"/>
        <w:jc w:val="both"/>
        <w:rPr>
          <w:rFonts w:ascii="Book Antiqua" w:hAnsi="Book Antiqua" w:cs="Times New Roman"/>
          <w:sz w:val="24"/>
          <w:szCs w:val="24"/>
        </w:rPr>
      </w:pPr>
      <w:r w:rsidRPr="00A65ADE">
        <w:rPr>
          <w:rFonts w:ascii="Book Antiqua" w:hAnsi="Book Antiqua" w:cs="Times New Roman"/>
          <w:sz w:val="24"/>
          <w:szCs w:val="24"/>
        </w:rPr>
        <w:t xml:space="preserve">Cinq régions ont enregistré des taux d’activité supérieurs à la moyenne nationale (43,2%). </w:t>
      </w:r>
      <w:r w:rsidRPr="00A65ADE">
        <w:rPr>
          <w:rFonts w:ascii="Book Antiqua" w:hAnsi="Book Antiqua" w:cs="Times New Roman" w:hint="cs"/>
          <w:sz w:val="24"/>
          <w:szCs w:val="24"/>
          <w:rtl/>
        </w:rPr>
        <w:t xml:space="preserve"> </w:t>
      </w:r>
      <w:r w:rsidRPr="00A65ADE">
        <w:rPr>
          <w:rFonts w:ascii="Book Antiqua" w:hAnsi="Book Antiqua" w:cs="Times New Roman"/>
          <w:sz w:val="24"/>
          <w:szCs w:val="24"/>
        </w:rPr>
        <w:t>Il s’agit des régions de Tanger-Tétouan-Al Hoceima (47,0%),</w:t>
      </w:r>
      <w:r w:rsidRPr="00A65ADE">
        <w:rPr>
          <w:rFonts w:ascii="Book Antiqua" w:hAnsi="Book Antiqua" w:cs="Times New Roman" w:hint="cs"/>
          <w:sz w:val="24"/>
          <w:szCs w:val="24"/>
          <w:rtl/>
        </w:rPr>
        <w:t xml:space="preserve"> </w:t>
      </w:r>
      <w:r w:rsidRPr="00A65ADE">
        <w:rPr>
          <w:rFonts w:ascii="Book Antiqua" w:hAnsi="Book Antiqua" w:cs="Times New Roman"/>
          <w:sz w:val="24"/>
          <w:szCs w:val="24"/>
        </w:rPr>
        <w:t xml:space="preserve">de Casablanca-Settat (45,9%), du Sud (45,6%), de </w:t>
      </w:r>
      <w:r w:rsidRPr="008E21C2">
        <w:rPr>
          <w:rFonts w:ascii="Book Antiqua" w:hAnsi="Book Antiqua" w:cs="Times New Roman"/>
          <w:sz w:val="24"/>
          <w:szCs w:val="24"/>
        </w:rPr>
        <w:t>Marrakech-Safi</w:t>
      </w:r>
      <w:r w:rsidRPr="00A65ADE">
        <w:rPr>
          <w:rFonts w:ascii="Book Antiqua" w:hAnsi="Book Antiqua" w:cs="Times New Roman"/>
          <w:sz w:val="24"/>
          <w:szCs w:val="24"/>
        </w:rPr>
        <w:t xml:space="preserve"> (</w:t>
      </w:r>
      <w:r>
        <w:rPr>
          <w:rFonts w:ascii="Book Antiqua" w:hAnsi="Book Antiqua" w:cs="Times New Roman"/>
          <w:sz w:val="24"/>
          <w:szCs w:val="24"/>
        </w:rPr>
        <w:t xml:space="preserve">43,8%) </w:t>
      </w:r>
      <w:r w:rsidRPr="00A65ADE">
        <w:rPr>
          <w:rFonts w:ascii="Book Antiqua" w:hAnsi="Book Antiqua" w:cs="Times New Roman"/>
          <w:sz w:val="24"/>
          <w:szCs w:val="24"/>
        </w:rPr>
        <w:t>et de</w:t>
      </w:r>
      <w:r w:rsidRPr="00A65ADE">
        <w:rPr>
          <w:rFonts w:ascii="Book Antiqua" w:hAnsi="Book Antiqua" w:cs="Times New Roman" w:hint="cs"/>
          <w:sz w:val="24"/>
          <w:szCs w:val="24"/>
          <w:rtl/>
        </w:rPr>
        <w:t xml:space="preserve"> </w:t>
      </w:r>
      <w:r w:rsidRPr="00A65ADE">
        <w:rPr>
          <w:rFonts w:ascii="Book Antiqua" w:hAnsi="Book Antiqua" w:cs="Times New Roman"/>
          <w:sz w:val="24"/>
          <w:szCs w:val="24"/>
        </w:rPr>
        <w:t xml:space="preserve">Rabat-Salé-Kénitra (43,6%). En revanche, les taux les plus bas sont enregistrés dans les régions de </w:t>
      </w:r>
      <w:r w:rsidRPr="008E21C2">
        <w:rPr>
          <w:rFonts w:ascii="Book Antiqua" w:hAnsi="Book Antiqua" w:cs="Times New Roman"/>
          <w:sz w:val="24"/>
          <w:szCs w:val="24"/>
        </w:rPr>
        <w:t xml:space="preserve">Drâa-Tafilalet (38,3%), de Souss-Massa (39,5%), </w:t>
      </w:r>
      <w:r w:rsidRPr="00A65ADE">
        <w:rPr>
          <w:rFonts w:ascii="Book Antiqua" w:hAnsi="Book Antiqua" w:cs="Times New Roman"/>
          <w:sz w:val="24"/>
          <w:szCs w:val="24"/>
        </w:rPr>
        <w:t xml:space="preserve">de l’Oriental (39,9%), de </w:t>
      </w:r>
      <w:r w:rsidRPr="008E21C2">
        <w:rPr>
          <w:rFonts w:ascii="Book Antiqua" w:hAnsi="Book Antiqua" w:cs="Times New Roman"/>
          <w:sz w:val="24"/>
          <w:szCs w:val="24"/>
        </w:rPr>
        <w:t>Béni Mellal-Khénifra (40%) et de Fès-Meknès (41,8%).</w:t>
      </w:r>
    </w:p>
    <w:p w:rsidR="00CE5841" w:rsidRPr="00A65ADE" w:rsidRDefault="00CE5841" w:rsidP="00CE5841">
      <w:pPr>
        <w:rPr>
          <w:rFonts w:ascii="Book Antiqua" w:hAnsi="Book Antiqua" w:cs="Times New Roman"/>
          <w:b/>
          <w:bCs/>
          <w:sz w:val="20"/>
          <w:szCs w:val="20"/>
        </w:rPr>
      </w:pPr>
    </w:p>
    <w:p w:rsidR="00CE5841" w:rsidRPr="00283BE3" w:rsidRDefault="00CE5841" w:rsidP="00CE5841">
      <w:pPr>
        <w:jc w:val="center"/>
        <w:rPr>
          <w:rFonts w:ascii="Book Antiqua" w:eastAsia="Book Antiqua" w:hAnsi="Book Antiqua" w:cs="Book Antiqua"/>
          <w:b/>
          <w:color w:val="0070C0"/>
          <w:sz w:val="20"/>
          <w:szCs w:val="20"/>
        </w:rPr>
      </w:pPr>
      <w:r w:rsidRPr="00283BE3">
        <w:rPr>
          <w:rFonts w:ascii="Book Antiqua" w:eastAsia="Book Antiqua" w:hAnsi="Book Antiqua" w:cs="Book Antiqua"/>
          <w:b/>
          <w:color w:val="0070C0"/>
          <w:sz w:val="20"/>
          <w:szCs w:val="20"/>
        </w:rPr>
        <w:t>Graphique 6</w:t>
      </w:r>
      <w:r>
        <w:rPr>
          <w:rFonts w:ascii="Book Antiqua" w:eastAsia="Book Antiqua" w:hAnsi="Book Antiqua" w:cs="Book Antiqua"/>
          <w:b/>
          <w:color w:val="0070C0"/>
          <w:sz w:val="20"/>
          <w:szCs w:val="20"/>
        </w:rPr>
        <w:t xml:space="preserve"> : </w:t>
      </w:r>
      <w:r w:rsidRPr="00283BE3">
        <w:rPr>
          <w:rFonts w:ascii="Book Antiqua" w:eastAsia="Book Antiqua" w:hAnsi="Book Antiqua" w:cs="Book Antiqua"/>
          <w:b/>
          <w:color w:val="0070C0"/>
          <w:sz w:val="20"/>
          <w:szCs w:val="20"/>
        </w:rPr>
        <w:t>Taux d’activité selon les régions au troisième trimestre de 2023 (en%)</w:t>
      </w:r>
    </w:p>
    <w:p w:rsidR="00CE5841" w:rsidRDefault="00CE5841" w:rsidP="00CE5841">
      <w:pPr>
        <w:jc w:val="center"/>
        <w:rPr>
          <w:rFonts w:ascii="Book Antiqua" w:hAnsi="Book Antiqua" w:cs="Times New Roman"/>
          <w:b/>
          <w:bCs/>
          <w:sz w:val="20"/>
          <w:szCs w:val="20"/>
        </w:rPr>
      </w:pPr>
    </w:p>
    <w:p w:rsidR="00CE5841" w:rsidRDefault="00CE5841" w:rsidP="00CE5841">
      <w:pPr>
        <w:jc w:val="center"/>
        <w:rPr>
          <w:rFonts w:ascii="Book Antiqua" w:hAnsi="Book Antiqua" w:cs="Times New Roman"/>
          <w:sz w:val="24"/>
          <w:szCs w:val="24"/>
        </w:rPr>
      </w:pPr>
      <w:r w:rsidRPr="00DA2942">
        <w:rPr>
          <w:rFonts w:ascii="Book Antiqua" w:hAnsi="Book Antiqua" w:cs="Times New Roman"/>
          <w:b/>
          <w:bCs/>
          <w:noProof/>
          <w:sz w:val="20"/>
          <w:szCs w:val="20"/>
        </w:rPr>
        <w:drawing>
          <wp:inline distT="0" distB="0" distL="0" distR="0">
            <wp:extent cx="4572000" cy="2743200"/>
            <wp:effectExtent l="0" t="0" r="0" b="0"/>
            <wp:docPr id="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5841" w:rsidRDefault="00CE5841" w:rsidP="00CE5841">
      <w:pPr>
        <w:spacing w:line="360" w:lineRule="auto"/>
        <w:jc w:val="both"/>
        <w:rPr>
          <w:rFonts w:ascii="Book Antiqua" w:hAnsi="Book Antiqua" w:cs="Times New Roman"/>
          <w:sz w:val="24"/>
          <w:szCs w:val="24"/>
          <w:rtl/>
          <w:lang w:bidi="tzm-Arab-MA"/>
        </w:rPr>
      </w:pPr>
    </w:p>
    <w:p w:rsidR="00CE5841" w:rsidRDefault="00CE5841" w:rsidP="00CE5841">
      <w:pPr>
        <w:spacing w:line="360" w:lineRule="auto"/>
        <w:jc w:val="both"/>
        <w:rPr>
          <w:rFonts w:ascii="Book Antiqua" w:hAnsi="Book Antiqua" w:cs="Times New Roman"/>
          <w:sz w:val="24"/>
          <w:szCs w:val="24"/>
        </w:rPr>
      </w:pPr>
      <w:r w:rsidRPr="00A65ADE">
        <w:rPr>
          <w:rFonts w:ascii="Book Antiqua" w:hAnsi="Book Antiqua" w:cs="Times New Roman"/>
          <w:sz w:val="24"/>
          <w:szCs w:val="24"/>
        </w:rPr>
        <w:t>Par ailleurs, six régions concentrent près de trois quarts de chômeurs (75,8%) au niveau national. La région de Casablanca-Settat vient en première position avec 25,</w:t>
      </w:r>
      <w:r>
        <w:rPr>
          <w:rFonts w:ascii="Book Antiqua" w:hAnsi="Book Antiqua" w:cs="Times New Roman"/>
          <w:sz w:val="24"/>
          <w:szCs w:val="24"/>
        </w:rPr>
        <w:t>1</w:t>
      </w:r>
      <w:r w:rsidRPr="00A65ADE">
        <w:rPr>
          <w:rFonts w:ascii="Book Antiqua" w:hAnsi="Book Antiqua" w:cs="Times New Roman"/>
          <w:sz w:val="24"/>
          <w:szCs w:val="24"/>
        </w:rPr>
        <w:t>%, suivie de Fès-Meknès (13%), de Rabat-Salé-Kénitra (11,7%), de l’Oriental (9,8%) et de Marrakech-Safi (8,1%) et de Souss-Massa (8,1%).</w:t>
      </w:r>
    </w:p>
    <w:p w:rsidR="00CE5841" w:rsidRDefault="00CE5841" w:rsidP="00CE5841">
      <w:pPr>
        <w:spacing w:line="360" w:lineRule="auto"/>
        <w:jc w:val="center"/>
        <w:rPr>
          <w:rFonts w:ascii="Book Antiqua" w:hAnsi="Book Antiqua" w:cs="Times New Roman"/>
          <w:b/>
          <w:bCs/>
          <w:sz w:val="20"/>
          <w:szCs w:val="20"/>
        </w:rPr>
      </w:pPr>
    </w:p>
    <w:p w:rsidR="00CE5841" w:rsidRDefault="00CE5841">
      <w:pPr>
        <w:spacing w:after="200"/>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BF6CA5" w:rsidRDefault="00BF6CA5" w:rsidP="00BF6CA5">
      <w:pPr>
        <w:spacing w:line="360" w:lineRule="auto"/>
        <w:jc w:val="lowKashida"/>
        <w:rPr>
          <w:rFonts w:ascii="Book Antiqua" w:hAnsi="Book Antiqua" w:cs="Times New Roman"/>
          <w:sz w:val="24"/>
          <w:szCs w:val="24"/>
        </w:rPr>
      </w:pPr>
      <w:r w:rsidRPr="00A65ADE">
        <w:rPr>
          <w:rFonts w:ascii="Book Antiqua" w:hAnsi="Book Antiqua" w:cs="Times New Roman"/>
          <w:sz w:val="24"/>
          <w:szCs w:val="24"/>
        </w:rPr>
        <w:lastRenderedPageBreak/>
        <w:t xml:space="preserve">Les taux de chômage les plus élevés sont enregistrés au niveau des régions du Sud (23,5%) et de dans la région de l’Oriental (20,3%), de </w:t>
      </w:r>
      <w:r w:rsidRPr="008B02B1">
        <w:rPr>
          <w:rFonts w:ascii="Book Antiqua" w:hAnsi="Book Antiqua" w:cs="Times New Roman"/>
          <w:sz w:val="24"/>
          <w:szCs w:val="24"/>
        </w:rPr>
        <w:t>Drâa-Tafilalet</w:t>
      </w:r>
      <w:r w:rsidRPr="00A65ADE">
        <w:rPr>
          <w:rFonts w:ascii="Book Antiqua" w:hAnsi="Book Antiqua" w:cs="Times New Roman"/>
          <w:sz w:val="24"/>
          <w:szCs w:val="24"/>
        </w:rPr>
        <w:t xml:space="preserve"> (</w:t>
      </w:r>
      <w:r w:rsidRPr="008B02B1">
        <w:rPr>
          <w:rFonts w:ascii="Book Antiqua" w:hAnsi="Book Antiqua" w:cs="Times New Roman"/>
          <w:sz w:val="24"/>
          <w:szCs w:val="24"/>
        </w:rPr>
        <w:t>15,2</w:t>
      </w:r>
      <w:r w:rsidRPr="00A65ADE">
        <w:rPr>
          <w:rFonts w:ascii="Book Antiqua" w:hAnsi="Book Antiqua" w:cs="Times New Roman"/>
          <w:sz w:val="24"/>
          <w:szCs w:val="24"/>
        </w:rPr>
        <w:t xml:space="preserve">%) et de </w:t>
      </w:r>
      <w:r w:rsidRPr="008B02B1">
        <w:rPr>
          <w:rFonts w:ascii="Book Antiqua" w:hAnsi="Book Antiqua" w:cs="Times New Roman"/>
          <w:sz w:val="24"/>
          <w:szCs w:val="24"/>
        </w:rPr>
        <w:t>Casablanca-Settat</w:t>
      </w:r>
      <w:r w:rsidRPr="00A65ADE">
        <w:rPr>
          <w:rFonts w:ascii="Book Antiqua" w:hAnsi="Book Antiqua" w:cs="Times New Roman"/>
          <w:sz w:val="24"/>
          <w:szCs w:val="24"/>
        </w:rPr>
        <w:t xml:space="preserve"> (15%). Avec une acuité moindre, deux autres régions dépassent la moyenne nationale (13,5%); à savoir Fès-Meknès (14,9%) et </w:t>
      </w:r>
      <w:r w:rsidRPr="008B02B1">
        <w:rPr>
          <w:rFonts w:ascii="Book Antiqua" w:hAnsi="Book Antiqua" w:cs="Times New Roman"/>
          <w:sz w:val="24"/>
          <w:szCs w:val="24"/>
        </w:rPr>
        <w:t>Souss-Massa</w:t>
      </w:r>
      <w:r w:rsidRPr="00A65ADE">
        <w:rPr>
          <w:rFonts w:ascii="Book Antiqua" w:hAnsi="Book Antiqua" w:cs="Times New Roman"/>
          <w:sz w:val="24"/>
          <w:szCs w:val="24"/>
        </w:rPr>
        <w:t xml:space="preserve"> (14,6%). En revanche, les régions de Marrakech-Safi, de Tanger-Tétouan-Al Hoceïma enregistrent les taux les plus bas, avec respectivement 8,3% et 9,4%.</w:t>
      </w:r>
    </w:p>
    <w:p w:rsidR="00BF6CA5" w:rsidRDefault="00BF6CA5" w:rsidP="00CE5841">
      <w:pPr>
        <w:spacing w:after="200"/>
        <w:rPr>
          <w:rFonts w:ascii="Book Antiqua" w:eastAsia="Book Antiqua" w:hAnsi="Book Antiqua" w:cs="Book Antiqua"/>
          <w:b/>
          <w:color w:val="0070C0"/>
          <w:sz w:val="20"/>
          <w:szCs w:val="20"/>
        </w:rPr>
      </w:pPr>
    </w:p>
    <w:p w:rsidR="00CE5841" w:rsidRPr="00283BE3" w:rsidRDefault="00CE5841" w:rsidP="00CE5841">
      <w:pPr>
        <w:spacing w:after="200"/>
        <w:rPr>
          <w:rFonts w:ascii="Book Antiqua" w:eastAsia="Book Antiqua" w:hAnsi="Book Antiqua" w:cs="Book Antiqua"/>
          <w:b/>
          <w:color w:val="0070C0"/>
          <w:sz w:val="20"/>
          <w:szCs w:val="20"/>
        </w:rPr>
      </w:pPr>
      <w:r w:rsidRPr="00283BE3">
        <w:rPr>
          <w:rFonts w:ascii="Book Antiqua" w:eastAsia="Book Antiqua" w:hAnsi="Book Antiqua" w:cs="Book Antiqua"/>
          <w:b/>
          <w:color w:val="0070C0"/>
          <w:sz w:val="20"/>
          <w:szCs w:val="20"/>
        </w:rPr>
        <w:t>Graphique 7</w:t>
      </w:r>
      <w:r>
        <w:rPr>
          <w:rFonts w:ascii="Book Antiqua" w:eastAsia="Book Antiqua" w:hAnsi="Book Antiqua" w:cs="Book Antiqua"/>
          <w:b/>
          <w:color w:val="0070C0"/>
          <w:sz w:val="20"/>
          <w:szCs w:val="20"/>
        </w:rPr>
        <w:t> :</w:t>
      </w:r>
      <w:r w:rsidRPr="00283BE3">
        <w:rPr>
          <w:rFonts w:ascii="Book Antiqua" w:eastAsia="Book Antiqua" w:hAnsi="Book Antiqua" w:cs="Book Antiqua"/>
          <w:b/>
          <w:color w:val="0070C0"/>
          <w:sz w:val="20"/>
          <w:szCs w:val="20"/>
        </w:rPr>
        <w:t xml:space="preserve"> Taux de chômage selon les régions au troisième trimestre de  2023 (en%)</w:t>
      </w:r>
    </w:p>
    <w:p w:rsidR="00CE5841" w:rsidRDefault="00CE5841" w:rsidP="00CE5841">
      <w:pPr>
        <w:spacing w:line="360" w:lineRule="auto"/>
        <w:jc w:val="center"/>
        <w:rPr>
          <w:rFonts w:ascii="Book Antiqua" w:hAnsi="Book Antiqua" w:cs="Times New Roman"/>
          <w:b/>
          <w:bCs/>
          <w:sz w:val="20"/>
          <w:szCs w:val="20"/>
        </w:rPr>
      </w:pPr>
      <w:r w:rsidRPr="00A65ADE">
        <w:rPr>
          <w:rFonts w:ascii="Book Antiqua" w:hAnsi="Book Antiqua" w:cs="Times New Roman"/>
          <w:b/>
          <w:bCs/>
          <w:noProof/>
          <w:sz w:val="20"/>
          <w:szCs w:val="20"/>
        </w:rPr>
        <w:drawing>
          <wp:inline distT="0" distB="0" distL="0" distR="0">
            <wp:extent cx="4572000" cy="2743200"/>
            <wp:effectExtent l="0" t="0" r="0"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5841" w:rsidRDefault="00CE5841" w:rsidP="00A810BF">
      <w:pPr>
        <w:spacing w:before="240" w:after="240" w:line="312" w:lineRule="auto"/>
        <w:contextualSpacing/>
        <w:jc w:val="center"/>
        <w:rPr>
          <w:rFonts w:ascii="Book Antiqua" w:eastAsia="Book Antiqua" w:hAnsi="Book Antiqua" w:cs="Book Antiqua"/>
          <w:b/>
          <w:color w:val="0070C0"/>
          <w:sz w:val="24"/>
          <w:szCs w:val="24"/>
        </w:rPr>
      </w:pPr>
    </w:p>
    <w:p w:rsidR="00CE5841" w:rsidRDefault="00CE5841">
      <w:pPr>
        <w:spacing w:after="200"/>
        <w:rPr>
          <w:rFonts w:ascii="Book Antiqua" w:eastAsia="Book Antiqua" w:hAnsi="Book Antiqua" w:cs="Book Antiqua"/>
          <w:b/>
          <w:color w:val="0070C0"/>
          <w:sz w:val="24"/>
          <w:szCs w:val="24"/>
        </w:rPr>
      </w:pPr>
      <w:r>
        <w:rPr>
          <w:rFonts w:ascii="Book Antiqua" w:eastAsia="Book Antiqua" w:hAnsi="Book Antiqua" w:cs="Book Antiqua"/>
          <w:b/>
          <w:color w:val="0070C0"/>
          <w:sz w:val="24"/>
          <w:szCs w:val="24"/>
        </w:rPr>
        <w:br w:type="page"/>
      </w:r>
    </w:p>
    <w:p w:rsidR="00DA2942" w:rsidRPr="009660EC" w:rsidRDefault="00DA2942" w:rsidP="009660EC">
      <w:pPr>
        <w:spacing w:before="240" w:after="240" w:line="312" w:lineRule="auto"/>
        <w:contextualSpacing/>
        <w:rPr>
          <w:rFonts w:ascii="Book Antiqua" w:eastAsia="Book Antiqua" w:hAnsi="Book Antiqua" w:cs="Book Antiqua"/>
          <w:b/>
          <w:color w:val="0070C0"/>
          <w:sz w:val="20"/>
          <w:szCs w:val="20"/>
        </w:rPr>
      </w:pPr>
      <w:r w:rsidRPr="009660EC">
        <w:rPr>
          <w:rFonts w:ascii="Book Antiqua" w:eastAsia="Book Antiqua" w:hAnsi="Book Antiqua" w:cs="Book Antiqua"/>
          <w:b/>
          <w:color w:val="0070C0"/>
          <w:sz w:val="20"/>
          <w:szCs w:val="20"/>
        </w:rPr>
        <w:lastRenderedPageBreak/>
        <w:t>Tableau 1 : Indicateurs trimestriels d’activité, d’emploi et de chômage par milieu de résidence.</w:t>
      </w:r>
    </w:p>
    <w:tbl>
      <w:tblPr>
        <w:tblStyle w:val="Grilledutableau"/>
        <w:tblW w:w="0" w:type="auto"/>
        <w:jc w:val="center"/>
        <w:tblInd w:w="-399" w:type="dxa"/>
        <w:tblCellMar>
          <w:left w:w="57" w:type="dxa"/>
          <w:right w:w="57" w:type="dxa"/>
        </w:tblCellMar>
        <w:tblLook w:val="04A0"/>
      </w:tblPr>
      <w:tblGrid>
        <w:gridCol w:w="3662"/>
        <w:gridCol w:w="980"/>
        <w:gridCol w:w="979"/>
        <w:gridCol w:w="979"/>
        <w:gridCol w:w="979"/>
        <w:gridCol w:w="979"/>
        <w:gridCol w:w="979"/>
      </w:tblGrid>
      <w:tr w:rsidR="00DA2942" w:rsidRPr="009660EC" w:rsidTr="009660EC">
        <w:trPr>
          <w:trHeight w:val="287"/>
          <w:jc w:val="center"/>
        </w:trPr>
        <w:tc>
          <w:tcPr>
            <w:tcW w:w="36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tl/>
              </w:rPr>
              <w:t> </w:t>
            </w:r>
          </w:p>
        </w:tc>
        <w:tc>
          <w:tcPr>
            <w:tcW w:w="2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de 2022</w:t>
            </w:r>
          </w:p>
        </w:tc>
        <w:tc>
          <w:tcPr>
            <w:tcW w:w="2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vertAlign w:val="superscript"/>
              </w:rPr>
              <w:t>ème</w:t>
            </w:r>
            <w:r w:rsidR="00DA2942" w:rsidRPr="009660EC">
              <w:rPr>
                <w:rFonts w:ascii="Book Antiqua" w:eastAsia="Book Antiqua" w:hAnsi="Book Antiqua" w:cs="Book Antiqua"/>
                <w:b/>
                <w:bCs/>
                <w:sz w:val="20"/>
                <w:szCs w:val="20"/>
              </w:rPr>
              <w:t xml:space="preserve"> trimestre de 2023</w:t>
            </w:r>
          </w:p>
        </w:tc>
      </w:tr>
      <w:tr w:rsidR="00DA2942" w:rsidRPr="009660EC" w:rsidTr="009660EC">
        <w:trPr>
          <w:trHeight w:val="287"/>
          <w:jc w:val="center"/>
        </w:trPr>
        <w:tc>
          <w:tcPr>
            <w:tcW w:w="36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Activité (des 15 ans et plus)</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7 621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4 507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12 127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7 773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4 305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center"/>
              <w:rPr>
                <w:rFonts w:ascii="Garamond" w:hAnsi="Garamond" w:cs="Calibri"/>
                <w:b/>
                <w:bCs/>
                <w:color w:val="010205"/>
                <w:sz w:val="20"/>
                <w:szCs w:val="20"/>
              </w:rPr>
            </w:pPr>
            <w:r w:rsidRPr="009660EC">
              <w:rPr>
                <w:rFonts w:ascii="Garamond" w:hAnsi="Garamond" w:cs="Calibri"/>
                <w:b/>
                <w:bCs/>
                <w:color w:val="010205"/>
                <w:sz w:val="20"/>
                <w:szCs w:val="20"/>
              </w:rPr>
              <w:t>12 078</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 féminisation de la population active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22,5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21,8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22,2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21,6</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d'activité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48,1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43,2</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67,1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74,0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69,5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66,5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73,0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68,7</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21,3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19,3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17,6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center"/>
              <w:rPr>
                <w:rFonts w:ascii="Garamond" w:hAnsi="Garamond" w:cs="Calibri"/>
                <w:color w:val="000000"/>
                <w:sz w:val="20"/>
                <w:szCs w:val="20"/>
              </w:rPr>
            </w:pPr>
            <w:r w:rsidRPr="009660EC">
              <w:rPr>
                <w:rFonts w:ascii="Garamond" w:hAnsi="Garamond" w:cs="Calibri"/>
                <w:color w:val="000000"/>
                <w:sz w:val="20"/>
                <w:szCs w:val="20"/>
              </w:rPr>
              <w:t>18,4</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l'âge</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22,3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20,4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21,8</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59,5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59,6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59,5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60,2</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63,0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61,0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57,6</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35,8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50,2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40,5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47,5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39,1</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diplôme</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34,5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50,6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41,8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33,4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47,4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39,7</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46,1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47,5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46,5</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Emploi (des 15 ans et plus)</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occupée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6 479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4 271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10 750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6 450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4 002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10 452</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d'emploi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35,7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39,0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34,8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42,6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37,4</w:t>
            </w:r>
          </w:p>
        </w:tc>
      </w:tr>
      <w:tr w:rsidR="00DA2942" w:rsidRPr="009660EC" w:rsidTr="009660EC">
        <w:trPr>
          <w:trHeight w:val="287"/>
          <w:jc w:val="center"/>
        </w:trPr>
        <w:tc>
          <w:tcPr>
            <w:tcW w:w="95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59,1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62,9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60,7</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20,4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14,8</w:t>
            </w:r>
          </w:p>
        </w:tc>
      </w:tr>
      <w:tr w:rsidR="00DA2942" w:rsidRPr="009660EC" w:rsidTr="009660EC">
        <w:trPr>
          <w:trHeight w:val="488"/>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Structure de l'emploi selon les secteurs d'activité économique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Agriculture, forêt et pêche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28,0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25,9</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xml:space="preserve">Industrie </w:t>
            </w:r>
            <w:r w:rsidR="006B2C18">
              <w:rPr>
                <w:rFonts w:asciiTheme="majorBidi" w:eastAsia="Times New Roman" w:hAnsiTheme="majorBidi" w:cstheme="majorBidi"/>
                <w:sz w:val="20"/>
                <w:szCs w:val="20"/>
              </w:rPr>
              <w:t>y compris l’artisanat</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12,0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16,8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12,4</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BTP</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12,0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10,5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11,7</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Services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67,4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48,7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67,4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49,9</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Activités non déterminées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0,1</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Part de l'emploi rémunéré dans l'emploi total, dont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97,3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74,6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98,0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90,2</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Salariés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47,3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54,1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67,3</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Auto-employés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39,7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26,2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32,7</w:t>
            </w:r>
          </w:p>
        </w:tc>
      </w:tr>
      <w:tr w:rsidR="00A65ADE" w:rsidRPr="009660EC" w:rsidTr="009660EC">
        <w:trPr>
          <w:trHeight w:val="488"/>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ADE" w:rsidRPr="009660EC" w:rsidRDefault="00A65ADE" w:rsidP="00A810BF">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 xml:space="preserve">Population active occupée en sous-emploi  </w:t>
            </w:r>
            <w:r w:rsidR="009660EC" w:rsidRPr="009660EC">
              <w:rPr>
                <w:rFonts w:asciiTheme="majorBidi" w:hAnsiTheme="majorBidi" w:cstheme="majorBidi"/>
                <w:b/>
                <w:bCs/>
                <w:sz w:val="20"/>
                <w:szCs w:val="20"/>
              </w:rPr>
              <w:t xml:space="preserve">  </w:t>
            </w:r>
            <w:r w:rsidRPr="009660EC">
              <w:rPr>
                <w:rFonts w:asciiTheme="majorBidi" w:hAnsiTheme="majorBidi" w:cstheme="majorBidi"/>
                <w:b/>
                <w:bCs/>
                <w:sz w:val="20"/>
                <w:szCs w:val="20"/>
              </w:rPr>
              <w:t>(en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488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423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911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523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482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1 005</w:t>
            </w: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sz w:val="20"/>
                <w:szCs w:val="20"/>
              </w:rPr>
              <w:t>Taux de sous-emploi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12,0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9,6</w:t>
            </w:r>
          </w:p>
        </w:tc>
      </w:tr>
      <w:tr w:rsidR="00DA2942"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la forme de sous-emploi</w:t>
            </w:r>
          </w:p>
        </w:tc>
        <w:tc>
          <w:tcPr>
            <w:tcW w:w="5875" w:type="dxa"/>
            <w:gridSpan w:val="6"/>
            <w:tcBorders>
              <w:top w:val="single" w:sz="4" w:space="0" w:color="000000" w:themeColor="text1"/>
              <w:left w:val="single" w:sz="4" w:space="0" w:color="000000" w:themeColor="text1"/>
              <w:bottom w:val="single" w:sz="4" w:space="0" w:color="000000" w:themeColor="text1"/>
            </w:tcBorders>
            <w:noWrap/>
            <w:hideMark/>
          </w:tcPr>
          <w:p w:rsidR="00DA2942" w:rsidRPr="009660EC" w:rsidRDefault="00DA2942" w:rsidP="009660EC">
            <w:pPr>
              <w:spacing w:before="240" w:after="240" w:line="312" w:lineRule="auto"/>
              <w:ind w:firstLineChars="100" w:firstLine="200"/>
              <w:contextualSpacing/>
              <w:jc w:val="right"/>
              <w:rPr>
                <w:rFonts w:asciiTheme="majorBidi" w:hAnsiTheme="majorBidi" w:cstheme="majorBidi"/>
                <w:color w:val="000000"/>
                <w:sz w:val="20"/>
                <w:szCs w:val="20"/>
              </w:rPr>
            </w:pPr>
          </w:p>
        </w:tc>
      </w:tr>
      <w:tr w:rsidR="00A65ADE" w:rsidRPr="009660EC" w:rsidTr="009660EC">
        <w:trPr>
          <w:trHeight w:val="287"/>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à la durée de travail</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4,8</w:t>
            </w:r>
          </w:p>
        </w:tc>
      </w:tr>
      <w:tr w:rsidR="00A65ADE" w:rsidRPr="009660EC" w:rsidTr="009660EC">
        <w:trPr>
          <w:trHeight w:val="53"/>
          <w:jc w:val="center"/>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6D6719" w:rsidP="009660EC">
            <w:pPr>
              <w:spacing w:before="240" w:after="240" w:line="312" w:lineRule="auto"/>
              <w:contextualSpacing/>
              <w:rPr>
                <w:rFonts w:asciiTheme="majorBidi" w:hAnsiTheme="majorBidi" w:cstheme="majorBidi"/>
                <w:sz w:val="20"/>
                <w:szCs w:val="20"/>
              </w:rPr>
            </w:pPr>
            <w:r>
              <w:rPr>
                <w:rFonts w:asciiTheme="majorBidi" w:hAnsiTheme="majorBidi" w:cstheme="majorBidi"/>
                <w:sz w:val="20"/>
                <w:szCs w:val="20"/>
              </w:rPr>
              <w:t>S</w:t>
            </w:r>
            <w:r w:rsidRPr="006D6719">
              <w:rPr>
                <w:rFonts w:asciiTheme="majorBidi" w:hAnsiTheme="majorBidi" w:cstheme="majorBidi"/>
                <w:sz w:val="20"/>
                <w:szCs w:val="20"/>
              </w:rPr>
              <w:t>ous-emploi lié à l’insuffisance du revenu ou à l’inadéquation entre la formation et l’emploi</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4,6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5,1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10205"/>
                <w:sz w:val="20"/>
                <w:szCs w:val="20"/>
              </w:rPr>
            </w:pPr>
            <w:r w:rsidRPr="009660EC">
              <w:rPr>
                <w:rFonts w:ascii="Garamond" w:hAnsi="Garamond" w:cs="Calibri"/>
                <w:color w:val="010205"/>
                <w:sz w:val="20"/>
                <w:szCs w:val="20"/>
              </w:rPr>
              <w:t>4,8</w:t>
            </w:r>
          </w:p>
        </w:tc>
      </w:tr>
    </w:tbl>
    <w:p w:rsidR="00DA2942" w:rsidRDefault="00DA2942" w:rsidP="00A810BF">
      <w:pPr>
        <w:spacing w:before="240" w:after="240" w:line="312" w:lineRule="auto"/>
        <w:contextualSpacing/>
        <w:rPr>
          <w:rFonts w:ascii="Book Antiqua" w:eastAsia="Times New Roman" w:hAnsi="Book Antiqua" w:cs="Browallia New"/>
          <w:b/>
          <w:bCs/>
        </w:rPr>
      </w:pPr>
    </w:p>
    <w:p w:rsidR="00DA2942" w:rsidRPr="009660EC" w:rsidRDefault="00DA2942" w:rsidP="00A810BF">
      <w:pPr>
        <w:spacing w:before="240" w:after="240" w:line="312" w:lineRule="auto"/>
        <w:contextualSpacing/>
        <w:rPr>
          <w:rFonts w:ascii="Book Antiqua" w:eastAsia="Book Antiqua" w:hAnsi="Book Antiqua" w:cs="Book Antiqua"/>
          <w:b/>
          <w:color w:val="0070C0"/>
        </w:rPr>
      </w:pPr>
      <w:r w:rsidRPr="009660EC">
        <w:rPr>
          <w:rFonts w:ascii="Book Antiqua" w:eastAsia="Book Antiqua" w:hAnsi="Book Antiqua" w:cs="Book Antiqua"/>
          <w:b/>
          <w:color w:val="0070C0"/>
        </w:rPr>
        <w:lastRenderedPageBreak/>
        <w:t>Tableau</w:t>
      </w:r>
      <w:r w:rsidR="009660EC">
        <w:rPr>
          <w:rFonts w:ascii="Book Antiqua" w:eastAsia="Book Antiqua" w:hAnsi="Book Antiqua" w:cs="Book Antiqua"/>
          <w:b/>
          <w:color w:val="0070C0"/>
        </w:rPr>
        <w:t xml:space="preserve"> </w:t>
      </w:r>
      <w:r w:rsidRPr="009660EC">
        <w:rPr>
          <w:rFonts w:ascii="Book Antiqua" w:eastAsia="Book Antiqua" w:hAnsi="Book Antiqua" w:cs="Book Antiqua"/>
          <w:b/>
          <w:color w:val="0070C0"/>
        </w:rPr>
        <w:t>1 (suite) : Indicateurs trimestriels d’activité, d’emploi et de chômage par milieu de résidence</w:t>
      </w:r>
    </w:p>
    <w:tbl>
      <w:tblPr>
        <w:tblStyle w:val="Grilledutableau"/>
        <w:tblW w:w="9547" w:type="dxa"/>
        <w:jc w:val="center"/>
        <w:tblLook w:val="04A0"/>
      </w:tblPr>
      <w:tblGrid>
        <w:gridCol w:w="3672"/>
        <w:gridCol w:w="980"/>
        <w:gridCol w:w="979"/>
        <w:gridCol w:w="1050"/>
        <w:gridCol w:w="979"/>
        <w:gridCol w:w="979"/>
        <w:gridCol w:w="1050"/>
      </w:tblGrid>
      <w:tr w:rsidR="00DA2942" w:rsidRPr="009660EC" w:rsidTr="00E24161">
        <w:trPr>
          <w:trHeight w:val="309"/>
          <w:jc w:val="center"/>
        </w:trPr>
        <w:tc>
          <w:tcPr>
            <w:tcW w:w="3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tl/>
              </w:rPr>
              <w:t> </w:t>
            </w:r>
          </w:p>
        </w:tc>
        <w:tc>
          <w:tcPr>
            <w:tcW w:w="2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rPr>
              <w:t>ème trimestre de 2022</w:t>
            </w:r>
          </w:p>
        </w:tc>
        <w:tc>
          <w:tcPr>
            <w:tcW w:w="2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A65ADE" w:rsidP="00A810BF">
            <w:pPr>
              <w:spacing w:before="240" w:after="240" w:line="312" w:lineRule="auto"/>
              <w:contextualSpacing/>
              <w:jc w:val="center"/>
              <w:rPr>
                <w:rFonts w:ascii="Book Antiqua" w:eastAsia="Book Antiqua" w:hAnsi="Book Antiqua" w:cs="Book Antiqua"/>
                <w:b/>
                <w:bCs/>
                <w:sz w:val="20"/>
                <w:szCs w:val="20"/>
              </w:rPr>
            </w:pPr>
            <w:r w:rsidRPr="009660EC">
              <w:rPr>
                <w:rFonts w:ascii="Book Antiqua" w:eastAsia="Book Antiqua" w:hAnsi="Book Antiqua" w:cs="Book Antiqua"/>
                <w:b/>
                <w:bCs/>
                <w:sz w:val="20"/>
                <w:szCs w:val="20"/>
              </w:rPr>
              <w:t>3</w:t>
            </w:r>
            <w:r w:rsidR="00DA2942" w:rsidRPr="009660EC">
              <w:rPr>
                <w:rFonts w:ascii="Book Antiqua" w:eastAsia="Book Antiqua" w:hAnsi="Book Antiqua" w:cs="Book Antiqua"/>
                <w:b/>
                <w:bCs/>
                <w:sz w:val="20"/>
                <w:szCs w:val="20"/>
              </w:rPr>
              <w:t>ème trimestre de 2023</w:t>
            </w:r>
          </w:p>
        </w:tc>
      </w:tr>
      <w:tr w:rsidR="00DA2942" w:rsidRPr="009660EC" w:rsidTr="00E24161">
        <w:trPr>
          <w:trHeight w:val="30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942" w:rsidRPr="009660EC" w:rsidRDefault="00DA2942" w:rsidP="00A810BF">
            <w:pPr>
              <w:spacing w:before="240" w:after="240" w:line="312" w:lineRule="auto"/>
              <w:contextualSpacing/>
              <w:rPr>
                <w:rFonts w:asciiTheme="majorBidi" w:hAnsiTheme="majorBidi" w:cstheme="majorBidi"/>
                <w:b/>
                <w:bCs/>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2942" w:rsidRPr="009660EC" w:rsidRDefault="00DA2942" w:rsidP="00A810BF">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r>
      <w:tr w:rsidR="00DA2942" w:rsidRPr="009660EC" w:rsidTr="00E24161">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b/>
                <w:bCs/>
                <w:color w:val="365F91" w:themeColor="accent1" w:themeShade="BF"/>
                <w:sz w:val="20"/>
                <w:szCs w:val="20"/>
              </w:rPr>
            </w:pPr>
            <w:r w:rsidRPr="009660EC">
              <w:rPr>
                <w:rFonts w:asciiTheme="majorBidi" w:hAnsiTheme="majorBidi" w:cstheme="majorBidi"/>
                <w:b/>
                <w:bCs/>
                <w:color w:val="365F91" w:themeColor="accent1" w:themeShade="BF"/>
                <w:sz w:val="20"/>
                <w:szCs w:val="20"/>
              </w:rPr>
              <w:t>Chômage</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en chômage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1 142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236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1 378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1 322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303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1"/>
              <w:contextualSpacing/>
              <w:jc w:val="right"/>
              <w:rPr>
                <w:rFonts w:ascii="Garamond" w:hAnsi="Garamond" w:cs="Calibri"/>
                <w:b/>
                <w:bCs/>
                <w:color w:val="010205"/>
                <w:sz w:val="20"/>
                <w:szCs w:val="20"/>
              </w:rPr>
            </w:pPr>
            <w:r w:rsidRPr="009660EC">
              <w:rPr>
                <w:rFonts w:ascii="Garamond" w:hAnsi="Garamond" w:cs="Calibri"/>
                <w:b/>
                <w:bCs/>
                <w:color w:val="010205"/>
                <w:sz w:val="20"/>
                <w:szCs w:val="20"/>
              </w:rPr>
              <w:t>1 625</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féminisation de la population active en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31,7</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13,5</w:t>
            </w:r>
          </w:p>
        </w:tc>
      </w:tr>
      <w:tr w:rsidR="00DA2942" w:rsidRPr="009660EC" w:rsidTr="00E24161">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sexe</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9,5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14,4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11,7</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25,7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19,8</w:t>
            </w:r>
          </w:p>
        </w:tc>
      </w:tr>
      <w:tr w:rsidR="00DA2942" w:rsidRPr="009660EC" w:rsidTr="00E24161">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l'âge</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49,7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23,3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38,2</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7,2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18,4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25,6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10,2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20,9</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9C5700"/>
                <w:sz w:val="20"/>
                <w:szCs w:val="20"/>
              </w:rPr>
            </w:pPr>
            <w:r w:rsidRPr="009660EC">
              <w:rPr>
                <w:rFonts w:ascii="Garamond" w:hAnsi="Garamond" w:cs="Calibri"/>
                <w:color w:val="9C5700"/>
                <w:sz w:val="20"/>
                <w:szCs w:val="20"/>
              </w:rPr>
              <w:t>2,6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10,3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8,1</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3,7</w:t>
            </w:r>
          </w:p>
        </w:tc>
      </w:tr>
      <w:tr w:rsidR="00DA2942" w:rsidRPr="009660EC" w:rsidTr="00E24161">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DA2942" w:rsidRPr="009660EC" w:rsidRDefault="00DA2942" w:rsidP="00A810BF">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diplôme</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4,1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5,5</w:t>
            </w:r>
          </w:p>
        </w:tc>
      </w:tr>
      <w:tr w:rsidR="00A65ADE" w:rsidRPr="009660EC" w:rsidTr="00E24161">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A810BF">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19,3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11,8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21,1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14,9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A65ADE" w:rsidRPr="009660EC" w:rsidRDefault="00A65ADE" w:rsidP="009660EC">
            <w:pPr>
              <w:spacing w:before="240" w:after="240" w:line="312" w:lineRule="auto"/>
              <w:ind w:firstLineChars="100" w:firstLine="200"/>
              <w:contextualSpacing/>
              <w:jc w:val="right"/>
              <w:rPr>
                <w:rFonts w:ascii="Garamond" w:hAnsi="Garamond" w:cs="Calibri"/>
                <w:color w:val="000000"/>
                <w:sz w:val="20"/>
                <w:szCs w:val="20"/>
              </w:rPr>
            </w:pPr>
            <w:r w:rsidRPr="009660EC">
              <w:rPr>
                <w:rFonts w:ascii="Garamond" w:hAnsi="Garamond" w:cs="Calibri"/>
                <w:color w:val="000000"/>
                <w:sz w:val="20"/>
                <w:szCs w:val="20"/>
              </w:rPr>
              <w:t>19,8</w:t>
            </w:r>
          </w:p>
        </w:tc>
      </w:tr>
    </w:tbl>
    <w:p w:rsidR="00DA2942" w:rsidRDefault="00DA2942" w:rsidP="00A810BF">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DA2942" w:rsidRDefault="00DA2942" w:rsidP="00A810BF">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5"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DA2942" w:rsidRDefault="00DA2942" w:rsidP="00A810BF">
      <w:pPr>
        <w:numPr>
          <w:ilvl w:val="0"/>
          <w:numId w:val="1"/>
        </w:numPr>
        <w:tabs>
          <w:tab w:val="left" w:pos="-720"/>
        </w:tabs>
        <w:suppressAutoHyphens/>
        <w:spacing w:before="240" w:after="240" w:line="312"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DA2942" w:rsidRDefault="00DA2942" w:rsidP="00A810BF">
      <w:pPr>
        <w:spacing w:before="240" w:after="240" w:line="312" w:lineRule="auto"/>
        <w:contextualSpacing/>
        <w:rPr>
          <w:rFonts w:ascii="Book Antiqua" w:hAnsi="Book Antiqua" w:cs="Times New Roman"/>
        </w:rPr>
      </w:pPr>
    </w:p>
    <w:p w:rsidR="00DA2942" w:rsidRDefault="00DA2942" w:rsidP="00A810BF">
      <w:pPr>
        <w:spacing w:before="240" w:after="240" w:line="312" w:lineRule="auto"/>
        <w:contextualSpacing/>
        <w:rPr>
          <w:rFonts w:ascii="Book Antiqua" w:hAnsi="Book Antiqua" w:cs="Times New Roman"/>
        </w:rPr>
      </w:pPr>
    </w:p>
    <w:p w:rsidR="00DA2942" w:rsidRDefault="00DA2942" w:rsidP="00A810BF">
      <w:pPr>
        <w:pStyle w:val="Titre1"/>
        <w:keepLines w:val="0"/>
        <w:spacing w:before="240" w:after="240" w:line="312" w:lineRule="auto"/>
        <w:contextualSpacing/>
        <w:rPr>
          <w:rFonts w:ascii="Book Antiqua" w:eastAsia="Book Antiqua" w:hAnsi="Book Antiqua" w:cs="Book Antiqua"/>
          <w:b/>
          <w:bCs/>
          <w:color w:val="31849B" w:themeColor="accent5" w:themeShade="BF"/>
          <w:sz w:val="26"/>
          <w:szCs w:val="26"/>
        </w:rPr>
      </w:pPr>
      <w:r>
        <w:rPr>
          <w:rFonts w:ascii="Book Antiqua" w:hAnsi="Book Antiqua" w:cs="Times New Roman"/>
        </w:rPr>
        <w:br w:type="page"/>
      </w:r>
    </w:p>
    <w:tbl>
      <w:tblPr>
        <w:tblStyle w:val="Grilledutableau"/>
        <w:tblW w:w="4950" w:type="pct"/>
        <w:jc w:val="center"/>
        <w:tblLook w:val="04A0"/>
      </w:tblPr>
      <w:tblGrid>
        <w:gridCol w:w="4635"/>
        <w:gridCol w:w="2313"/>
        <w:gridCol w:w="2247"/>
      </w:tblGrid>
      <w:tr w:rsidR="00DA2942" w:rsidRPr="009660EC" w:rsidTr="00E24161">
        <w:trPr>
          <w:trHeight w:val="315"/>
          <w:jc w:val="center"/>
        </w:trPr>
        <w:tc>
          <w:tcPr>
            <w:tcW w:w="5000" w:type="pct"/>
            <w:gridSpan w:val="3"/>
            <w:tcBorders>
              <w:top w:val="nil"/>
              <w:left w:val="nil"/>
              <w:bottom w:val="single" w:sz="4" w:space="0" w:color="auto"/>
              <w:right w:val="nil"/>
            </w:tcBorders>
            <w:noWrap/>
            <w:hideMark/>
          </w:tcPr>
          <w:p w:rsidR="00DA2942" w:rsidRPr="009660EC" w:rsidRDefault="00DA2942" w:rsidP="00A810BF">
            <w:pPr>
              <w:spacing w:before="240" w:after="240" w:line="312" w:lineRule="auto"/>
              <w:contextualSpacing/>
              <w:jc w:val="center"/>
              <w:rPr>
                <w:rFonts w:ascii="Book Antiqua" w:eastAsia="Book Antiqua" w:hAnsi="Book Antiqua" w:cs="Book Antiqua"/>
                <w:b/>
                <w:bCs/>
                <w:sz w:val="20"/>
                <w:szCs w:val="20"/>
              </w:rPr>
            </w:pPr>
            <w:r w:rsidRPr="009660EC">
              <w:rPr>
                <w:rFonts w:ascii="Book Antiqua" w:eastAsia="Book Antiqua" w:hAnsi="Book Antiqua" w:cs="Book Antiqua"/>
                <w:b/>
                <w:color w:val="0070C0"/>
                <w:sz w:val="20"/>
                <w:szCs w:val="20"/>
              </w:rPr>
              <w:lastRenderedPageBreak/>
              <w:t>Tableau 2 : Taux d'activité, d’emploi et de chômage par région (en%)</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 </w:t>
            </w:r>
          </w:p>
        </w:tc>
        <w:tc>
          <w:tcPr>
            <w:tcW w:w="1258"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2022</w:t>
            </w:r>
          </w:p>
        </w:tc>
        <w:tc>
          <w:tcPr>
            <w:tcW w:w="1222"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2023</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color w:val="0070C0"/>
                <w:sz w:val="20"/>
                <w:szCs w:val="20"/>
                <w:highlight w:val="green"/>
              </w:rPr>
            </w:pPr>
            <w:r w:rsidRPr="009660EC">
              <w:rPr>
                <w:rFonts w:ascii="Garamond" w:hAnsi="Garamond"/>
                <w:b/>
                <w:bCs/>
                <w:color w:val="0070C0"/>
                <w:sz w:val="20"/>
                <w:szCs w:val="20"/>
              </w:rPr>
              <w:t>Taux d'activité (des 15 ans ou plus)</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49,9</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47,0</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41,6</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39,9</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42,5</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41,8</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44,4</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43,6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40,9</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40,0</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46,6</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45,9</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43,8</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38,5</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38,3</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37,7</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39,5</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42,9</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44,0</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43,2</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color w:val="0070C0"/>
                <w:sz w:val="20"/>
                <w:szCs w:val="20"/>
              </w:rPr>
            </w:pPr>
            <w:r w:rsidRPr="009660EC">
              <w:rPr>
                <w:rFonts w:ascii="Garamond" w:hAnsi="Garamond"/>
                <w:b/>
                <w:bCs/>
                <w:color w:val="0070C0"/>
                <w:sz w:val="20"/>
                <w:szCs w:val="20"/>
              </w:rPr>
              <w:t>Taux d'emploi (des 15 ans ou plus)</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45,5</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42,6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35,5</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31,8</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37,0</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35,6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39,4</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38,6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36,2</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34,7</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40,7</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39,0</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42,1</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40,1</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34,6</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32,5</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33,3</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33,7</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33,9</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34,9</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39,0</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37,4</w:t>
            </w:r>
          </w:p>
        </w:tc>
      </w:tr>
      <w:tr w:rsidR="00DA2942" w:rsidRPr="009660EC" w:rsidTr="00E24161">
        <w:trPr>
          <w:trHeight w:val="315"/>
          <w:jc w:val="center"/>
        </w:trPr>
        <w:tc>
          <w:tcPr>
            <w:tcW w:w="5000" w:type="pct"/>
            <w:gridSpan w:val="3"/>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sz w:val="20"/>
                <w:szCs w:val="20"/>
              </w:rPr>
            </w:pPr>
            <w:r w:rsidRPr="009660EC">
              <w:rPr>
                <w:rFonts w:ascii="Garamond" w:hAnsi="Garamond"/>
                <w:b/>
                <w:bCs/>
                <w:color w:val="0070C0"/>
                <w:sz w:val="20"/>
                <w:szCs w:val="20"/>
              </w:rPr>
              <w:t>Taux de chômage</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tabs>
                <w:tab w:val="left" w:pos="2505"/>
              </w:tabs>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r w:rsidRPr="009660EC">
              <w:rPr>
                <w:rFonts w:ascii="Garamond" w:eastAsia="Book Antiqua" w:hAnsi="Garamond" w:cs="Book Antiqua"/>
                <w:sz w:val="20"/>
                <w:szCs w:val="20"/>
              </w:rPr>
              <w:tab/>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8,8</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9,4</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14,6</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20,3</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13,0</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14,9</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11,2</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11,5</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11,6</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13,3</w:t>
            </w:r>
          </w:p>
        </w:tc>
      </w:tr>
      <w:tr w:rsidR="00DA2942" w:rsidRPr="009660EC" w:rsidTr="007B7AD4">
        <w:trPr>
          <w:trHeight w:val="373"/>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12,5</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15,0</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6,9</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8,3</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9C5700"/>
                <w:sz w:val="20"/>
                <w:szCs w:val="20"/>
              </w:rPr>
            </w:pPr>
            <w:r w:rsidRPr="009660EC">
              <w:rPr>
                <w:rFonts w:ascii="Garamond" w:hAnsi="Garamond" w:cs="Calibri"/>
                <w:color w:val="000000"/>
                <w:sz w:val="20"/>
                <w:szCs w:val="20"/>
              </w:rPr>
              <w:t>10,0</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15,2</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11,7</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14,6</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21,0</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0"/>
              <w:contextualSpacing/>
              <w:jc w:val="center"/>
              <w:rPr>
                <w:rFonts w:ascii="Garamond" w:hAnsi="Garamond" w:cs="Calibri"/>
                <w:color w:val="000000"/>
                <w:sz w:val="20"/>
                <w:szCs w:val="20"/>
              </w:rPr>
            </w:pPr>
            <w:r w:rsidRPr="009660EC">
              <w:rPr>
                <w:rFonts w:ascii="Garamond" w:hAnsi="Garamond" w:cs="Calibri"/>
                <w:color w:val="000000"/>
                <w:sz w:val="20"/>
                <w:szCs w:val="20"/>
              </w:rPr>
              <w:t>23,5</w:t>
            </w:r>
          </w:p>
        </w:tc>
      </w:tr>
      <w:tr w:rsidR="00DA2942" w:rsidRPr="009660EC" w:rsidTr="00E24161">
        <w:trPr>
          <w:trHeight w:val="315"/>
          <w:jc w:val="center"/>
        </w:trPr>
        <w:tc>
          <w:tcPr>
            <w:tcW w:w="2520" w:type="pct"/>
            <w:tcBorders>
              <w:top w:val="single" w:sz="4" w:space="0" w:color="auto"/>
              <w:left w:val="single" w:sz="4" w:space="0" w:color="auto"/>
              <w:bottom w:val="single" w:sz="4" w:space="0" w:color="auto"/>
              <w:right w:val="single" w:sz="4" w:space="0" w:color="auto"/>
            </w:tcBorders>
            <w:noWrap/>
            <w:hideMark/>
          </w:tcPr>
          <w:p w:rsidR="00DA2942" w:rsidRPr="009660EC" w:rsidRDefault="00DA2942" w:rsidP="00A810BF">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11,4</w:t>
            </w:r>
          </w:p>
        </w:tc>
        <w:tc>
          <w:tcPr>
            <w:tcW w:w="1222" w:type="pct"/>
            <w:tcBorders>
              <w:top w:val="single" w:sz="4" w:space="0" w:color="auto"/>
              <w:left w:val="single" w:sz="4" w:space="0" w:color="auto"/>
              <w:bottom w:val="single" w:sz="4" w:space="0" w:color="auto"/>
              <w:right w:val="single" w:sz="4" w:space="0" w:color="auto"/>
            </w:tcBorders>
            <w:noWrap/>
            <w:vAlign w:val="bottom"/>
          </w:tcPr>
          <w:p w:rsidR="00DA2942" w:rsidRPr="009660EC" w:rsidRDefault="00DA2942" w:rsidP="009660EC">
            <w:pPr>
              <w:spacing w:before="240" w:after="240" w:line="312" w:lineRule="auto"/>
              <w:ind w:firstLineChars="300" w:firstLine="602"/>
              <w:contextualSpacing/>
              <w:jc w:val="center"/>
              <w:rPr>
                <w:rFonts w:ascii="Garamond" w:hAnsi="Garamond" w:cs="Calibri"/>
                <w:b/>
                <w:bCs/>
                <w:color w:val="000000"/>
                <w:sz w:val="20"/>
                <w:szCs w:val="20"/>
              </w:rPr>
            </w:pPr>
            <w:r w:rsidRPr="009660EC">
              <w:rPr>
                <w:rFonts w:ascii="Garamond" w:hAnsi="Garamond" w:cs="Calibri"/>
                <w:b/>
                <w:bCs/>
                <w:color w:val="000000"/>
                <w:sz w:val="20"/>
                <w:szCs w:val="20"/>
              </w:rPr>
              <w:t>13,5</w:t>
            </w:r>
          </w:p>
        </w:tc>
      </w:tr>
    </w:tbl>
    <w:p w:rsidR="00DA2942" w:rsidRDefault="00DA2942" w:rsidP="00A810BF">
      <w:pPr>
        <w:spacing w:before="240" w:after="240" w:line="312" w:lineRule="auto"/>
        <w:contextualSpacing/>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2B3944" w:rsidRDefault="002B3944" w:rsidP="00A810BF">
      <w:pPr>
        <w:spacing w:before="240" w:after="240" w:line="312" w:lineRule="auto"/>
        <w:contextualSpacing/>
      </w:pPr>
    </w:p>
    <w:sectPr w:rsidR="002B3944" w:rsidSect="0018272A">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46" w:rsidRDefault="00F80646" w:rsidP="00283BE3">
      <w:pPr>
        <w:spacing w:line="240" w:lineRule="auto"/>
      </w:pPr>
      <w:r>
        <w:separator/>
      </w:r>
    </w:p>
  </w:endnote>
  <w:endnote w:type="continuationSeparator" w:id="0">
    <w:p w:rsidR="00F80646" w:rsidRDefault="00F80646" w:rsidP="00283B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061189"/>
      <w:docPartObj>
        <w:docPartGallery w:val="Page Numbers (Bottom of Page)"/>
        <w:docPartUnique/>
      </w:docPartObj>
    </w:sdtPr>
    <w:sdtContent>
      <w:p w:rsidR="00992282" w:rsidRDefault="00134638">
        <w:pPr>
          <w:pStyle w:val="Pieddepage"/>
          <w:jc w:val="center"/>
          <w:rPr>
            <w:sz w:val="16"/>
            <w:szCs w:val="16"/>
          </w:rPr>
        </w:pPr>
        <w:r w:rsidRPr="00CE5841">
          <w:rPr>
            <w:sz w:val="16"/>
            <w:szCs w:val="16"/>
          </w:rPr>
          <w:fldChar w:fldCharType="begin"/>
        </w:r>
        <w:r w:rsidR="00992282" w:rsidRPr="00CE5841">
          <w:rPr>
            <w:sz w:val="16"/>
            <w:szCs w:val="16"/>
          </w:rPr>
          <w:instrText xml:space="preserve"> PAGE   \* MERGEFORMAT </w:instrText>
        </w:r>
        <w:r w:rsidRPr="00CE5841">
          <w:rPr>
            <w:sz w:val="16"/>
            <w:szCs w:val="16"/>
          </w:rPr>
          <w:fldChar w:fldCharType="separate"/>
        </w:r>
        <w:r w:rsidR="00D27806">
          <w:rPr>
            <w:noProof/>
            <w:sz w:val="16"/>
            <w:szCs w:val="16"/>
          </w:rPr>
          <w:t>3</w:t>
        </w:r>
        <w:r w:rsidRPr="00CE5841">
          <w:rPr>
            <w:sz w:val="16"/>
            <w:szCs w:val="16"/>
          </w:rPr>
          <w:fldChar w:fldCharType="end"/>
        </w:r>
      </w:p>
      <w:p w:rsidR="00992282" w:rsidRDefault="00134638">
        <w:pPr>
          <w:pStyle w:val="Pieddepage"/>
          <w:jc w:val="center"/>
        </w:pPr>
      </w:p>
    </w:sdtContent>
  </w:sdt>
  <w:p w:rsidR="00992282" w:rsidRDefault="009922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46" w:rsidRDefault="00F80646" w:rsidP="00283BE3">
      <w:pPr>
        <w:spacing w:line="240" w:lineRule="auto"/>
      </w:pPr>
      <w:r>
        <w:separator/>
      </w:r>
    </w:p>
  </w:footnote>
  <w:footnote w:type="continuationSeparator" w:id="0">
    <w:p w:rsidR="00F80646" w:rsidRDefault="00F80646" w:rsidP="00283BE3">
      <w:pPr>
        <w:spacing w:line="240" w:lineRule="auto"/>
      </w:pPr>
      <w:r>
        <w:continuationSeparator/>
      </w:r>
    </w:p>
  </w:footnote>
  <w:footnote w:id="1">
    <w:p w:rsidR="00992282" w:rsidRPr="009660EC" w:rsidRDefault="00992282" w:rsidP="009660EC">
      <w:pPr>
        <w:pStyle w:val="Notedebasdepage"/>
        <w:rPr>
          <w:sz w:val="12"/>
          <w:szCs w:val="12"/>
        </w:rPr>
      </w:pPr>
      <w:r w:rsidRPr="009660EC">
        <w:rPr>
          <w:rStyle w:val="Appelnotedebasdep"/>
          <w:sz w:val="18"/>
          <w:szCs w:val="18"/>
        </w:rPr>
        <w:footnoteRef/>
      </w:r>
      <w:r w:rsidRPr="009660EC">
        <w:rPr>
          <w:sz w:val="18"/>
          <w:szCs w:val="18"/>
        </w:rPr>
        <w:t xml:space="preserve"> </w:t>
      </w:r>
      <w:r w:rsidRPr="009660EC">
        <w:rPr>
          <w:sz w:val="12"/>
          <w:szCs w:val="12"/>
        </w:rPr>
        <w:t>L’écart entre la baisse d’emploi au niveau global et par secteurs concerne les activités mal ou non désignées.</w:t>
      </w:r>
    </w:p>
    <w:p w:rsidR="00992282" w:rsidRDefault="00992282">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82" w:rsidRDefault="00992282" w:rsidP="0018272A">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82" w:rsidRDefault="00992282" w:rsidP="0018272A">
    <w:pPr>
      <w:pStyle w:val="En-tte"/>
      <w:jc w:val="center"/>
    </w:pPr>
    <w:r w:rsidRPr="0018272A">
      <w:rPr>
        <w:noProof/>
      </w:rPr>
      <w:drawing>
        <wp:inline distT="0" distB="0" distL="0" distR="0">
          <wp:extent cx="1202340" cy="787400"/>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11072" cy="79311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1E72355"/>
    <w:multiLevelType w:val="hybridMultilevel"/>
    <w:tmpl w:val="C088AAF8"/>
    <w:lvl w:ilvl="0" w:tplc="FD146DFC">
      <w:start w:val="1"/>
      <w:numFmt w:val="upperRoman"/>
      <w:lvlText w:val="%1."/>
      <w:lvlJc w:val="left"/>
      <w:pPr>
        <w:ind w:left="1080" w:hanging="720"/>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DA2942"/>
    <w:rsid w:val="00117CEC"/>
    <w:rsid w:val="00134638"/>
    <w:rsid w:val="0018272A"/>
    <w:rsid w:val="001A01F9"/>
    <w:rsid w:val="002817C0"/>
    <w:rsid w:val="00283BE3"/>
    <w:rsid w:val="002B3944"/>
    <w:rsid w:val="002C7E52"/>
    <w:rsid w:val="002F549B"/>
    <w:rsid w:val="003C20E7"/>
    <w:rsid w:val="003D3729"/>
    <w:rsid w:val="003E15BA"/>
    <w:rsid w:val="00452655"/>
    <w:rsid w:val="0046254F"/>
    <w:rsid w:val="004B3397"/>
    <w:rsid w:val="004C04F7"/>
    <w:rsid w:val="004C2034"/>
    <w:rsid w:val="004E0C71"/>
    <w:rsid w:val="004E6363"/>
    <w:rsid w:val="004F02A2"/>
    <w:rsid w:val="0051076B"/>
    <w:rsid w:val="00517EB2"/>
    <w:rsid w:val="00522A2C"/>
    <w:rsid w:val="00542B24"/>
    <w:rsid w:val="00551BC0"/>
    <w:rsid w:val="00565473"/>
    <w:rsid w:val="00565CC2"/>
    <w:rsid w:val="005668BC"/>
    <w:rsid w:val="00571BCC"/>
    <w:rsid w:val="006A4FC7"/>
    <w:rsid w:val="006B2C18"/>
    <w:rsid w:val="006B43F5"/>
    <w:rsid w:val="006B745F"/>
    <w:rsid w:val="006D6719"/>
    <w:rsid w:val="00713D06"/>
    <w:rsid w:val="00785B4D"/>
    <w:rsid w:val="007B7AD4"/>
    <w:rsid w:val="00802558"/>
    <w:rsid w:val="00880EB6"/>
    <w:rsid w:val="008B02B1"/>
    <w:rsid w:val="008C5334"/>
    <w:rsid w:val="00924338"/>
    <w:rsid w:val="00961470"/>
    <w:rsid w:val="009660EC"/>
    <w:rsid w:val="009769DA"/>
    <w:rsid w:val="00992282"/>
    <w:rsid w:val="009C0EA0"/>
    <w:rsid w:val="009F1331"/>
    <w:rsid w:val="00A26E44"/>
    <w:rsid w:val="00A65ADE"/>
    <w:rsid w:val="00A810BF"/>
    <w:rsid w:val="00A81DE2"/>
    <w:rsid w:val="00AE77D3"/>
    <w:rsid w:val="00AF439C"/>
    <w:rsid w:val="00B168F9"/>
    <w:rsid w:val="00B63650"/>
    <w:rsid w:val="00BE0DD8"/>
    <w:rsid w:val="00BF6CA5"/>
    <w:rsid w:val="00C80692"/>
    <w:rsid w:val="00CE5841"/>
    <w:rsid w:val="00D0641F"/>
    <w:rsid w:val="00D234F5"/>
    <w:rsid w:val="00D27806"/>
    <w:rsid w:val="00D433FB"/>
    <w:rsid w:val="00D569BB"/>
    <w:rsid w:val="00D65C1F"/>
    <w:rsid w:val="00DA2942"/>
    <w:rsid w:val="00DA449D"/>
    <w:rsid w:val="00DD48A0"/>
    <w:rsid w:val="00DE283E"/>
    <w:rsid w:val="00E04334"/>
    <w:rsid w:val="00E24161"/>
    <w:rsid w:val="00E51B3F"/>
    <w:rsid w:val="00EA0C44"/>
    <w:rsid w:val="00EA438C"/>
    <w:rsid w:val="00EB20ED"/>
    <w:rsid w:val="00F41718"/>
    <w:rsid w:val="00F53C07"/>
    <w:rsid w:val="00F62A74"/>
    <w:rsid w:val="00F80646"/>
    <w:rsid w:val="00FA2DD2"/>
    <w:rsid w:val="00FB3EE3"/>
    <w:rsid w:val="00FB7EF8"/>
    <w:rsid w:val="00FE68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42"/>
    <w:pPr>
      <w:spacing w:after="0"/>
    </w:pPr>
    <w:rPr>
      <w:rFonts w:ascii="Arial" w:eastAsia="Arial" w:hAnsi="Arial" w:cs="Arial"/>
      <w:lang w:eastAsia="fr-FR"/>
    </w:rPr>
  </w:style>
  <w:style w:type="paragraph" w:styleId="Titre1">
    <w:name w:val="heading 1"/>
    <w:basedOn w:val="Normal"/>
    <w:next w:val="Normal"/>
    <w:link w:val="Titre1Car"/>
    <w:uiPriority w:val="99"/>
    <w:qFormat/>
    <w:rsid w:val="00DA294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4B33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B3397"/>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B339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339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A2942"/>
    <w:rPr>
      <w:rFonts w:ascii="Arial" w:eastAsia="Arial" w:hAnsi="Arial" w:cs="Arial"/>
      <w:sz w:val="40"/>
      <w:szCs w:val="40"/>
      <w:lang w:eastAsia="fr-FR"/>
    </w:rPr>
  </w:style>
  <w:style w:type="table" w:styleId="Grilledutableau">
    <w:name w:val="Table Grid"/>
    <w:basedOn w:val="TableauNormal"/>
    <w:uiPriority w:val="39"/>
    <w:rsid w:val="00DA2942"/>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DA2942"/>
    <w:rPr>
      <w:color w:val="0000FF"/>
      <w:u w:val="single"/>
    </w:rPr>
  </w:style>
  <w:style w:type="paragraph" w:styleId="Textedebulles">
    <w:name w:val="Balloon Text"/>
    <w:basedOn w:val="Normal"/>
    <w:link w:val="TextedebullesCar"/>
    <w:uiPriority w:val="99"/>
    <w:semiHidden/>
    <w:unhideWhenUsed/>
    <w:rsid w:val="00DA294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942"/>
    <w:rPr>
      <w:rFonts w:ascii="Tahoma" w:eastAsia="Arial" w:hAnsi="Tahoma" w:cs="Tahoma"/>
      <w:sz w:val="16"/>
      <w:szCs w:val="16"/>
      <w:lang w:eastAsia="fr-FR"/>
    </w:rPr>
  </w:style>
  <w:style w:type="paragraph" w:customStyle="1" w:styleId="MMTopic1">
    <w:name w:val="MM Topic 1"/>
    <w:basedOn w:val="Titre1"/>
    <w:rsid w:val="004B3397"/>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4B3397"/>
    <w:pPr>
      <w:numPr>
        <w:ilvl w:val="1"/>
        <w:numId w:val="2"/>
      </w:numPr>
      <w:spacing w:before="40" w:line="259" w:lineRule="auto"/>
    </w:pPr>
    <w:rPr>
      <w:b w:val="0"/>
      <w:bCs w:val="0"/>
      <w:color w:val="365F91" w:themeColor="accent1" w:themeShade="BF"/>
      <w:lang w:eastAsia="en-US"/>
    </w:rPr>
  </w:style>
  <w:style w:type="character" w:customStyle="1" w:styleId="MMTopic2Car">
    <w:name w:val="MM Topic 2 Car"/>
    <w:basedOn w:val="Titre2Car"/>
    <w:link w:val="MMTopic2"/>
    <w:rsid w:val="004B3397"/>
    <w:rPr>
      <w:color w:val="365F91" w:themeColor="accent1" w:themeShade="BF"/>
    </w:rPr>
  </w:style>
  <w:style w:type="paragraph" w:customStyle="1" w:styleId="MMTopic3">
    <w:name w:val="MM Topic 3"/>
    <w:basedOn w:val="Titre3"/>
    <w:rsid w:val="004B3397"/>
    <w:pPr>
      <w:numPr>
        <w:ilvl w:val="2"/>
        <w:numId w:val="2"/>
      </w:numPr>
      <w:spacing w:before="40" w:line="259" w:lineRule="auto"/>
      <w:ind w:left="360"/>
    </w:pPr>
    <w:rPr>
      <w:b w:val="0"/>
      <w:bCs w:val="0"/>
      <w:color w:val="243F60" w:themeColor="accent1" w:themeShade="7F"/>
      <w:sz w:val="24"/>
      <w:szCs w:val="24"/>
      <w:lang w:eastAsia="en-US"/>
    </w:rPr>
  </w:style>
  <w:style w:type="paragraph" w:customStyle="1" w:styleId="MMTopic4">
    <w:name w:val="MM Topic 4"/>
    <w:basedOn w:val="Titre4"/>
    <w:rsid w:val="004B3397"/>
    <w:pPr>
      <w:numPr>
        <w:ilvl w:val="3"/>
        <w:numId w:val="2"/>
      </w:numPr>
      <w:spacing w:before="40" w:line="259" w:lineRule="auto"/>
      <w:ind w:left="540"/>
    </w:pPr>
    <w:rPr>
      <w:b w:val="0"/>
      <w:bCs w:val="0"/>
      <w:color w:val="365F91" w:themeColor="accent1" w:themeShade="BF"/>
      <w:sz w:val="28"/>
      <w:szCs w:val="28"/>
      <w:lang w:eastAsia="en-US"/>
    </w:rPr>
  </w:style>
  <w:style w:type="paragraph" w:customStyle="1" w:styleId="MMTopic5">
    <w:name w:val="MM Topic 5"/>
    <w:basedOn w:val="Titre5"/>
    <w:rsid w:val="004B3397"/>
    <w:pPr>
      <w:numPr>
        <w:ilvl w:val="4"/>
        <w:numId w:val="2"/>
      </w:numPr>
      <w:spacing w:before="40" w:line="259" w:lineRule="auto"/>
      <w:ind w:left="720"/>
    </w:pPr>
    <w:rPr>
      <w:color w:val="365F91" w:themeColor="accent1" w:themeShade="BF"/>
      <w:sz w:val="28"/>
      <w:szCs w:val="28"/>
      <w:lang w:eastAsia="en-US"/>
    </w:rPr>
  </w:style>
  <w:style w:type="character" w:customStyle="1" w:styleId="Titre2Car">
    <w:name w:val="Titre 2 Car"/>
    <w:basedOn w:val="Policepardfaut"/>
    <w:link w:val="Titre2"/>
    <w:uiPriority w:val="9"/>
    <w:semiHidden/>
    <w:rsid w:val="004B3397"/>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4B3397"/>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4B3397"/>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4B3397"/>
    <w:rPr>
      <w:rFonts w:asciiTheme="majorHAnsi" w:eastAsiaTheme="majorEastAsia" w:hAnsiTheme="majorHAnsi" w:cstheme="majorBidi"/>
      <w:color w:val="243F60" w:themeColor="accent1" w:themeShade="7F"/>
      <w:lang w:eastAsia="fr-FR"/>
    </w:rPr>
  </w:style>
  <w:style w:type="character" w:customStyle="1" w:styleId="MMTitleCar">
    <w:name w:val="MM Title Car"/>
    <w:basedOn w:val="Policepardfaut"/>
    <w:link w:val="MMTitle"/>
    <w:locked/>
    <w:rsid w:val="00283BE3"/>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283BE3"/>
    <w:pPr>
      <w:pBdr>
        <w:bottom w:val="none" w:sz="0" w:space="0" w:color="auto"/>
      </w:pBdr>
      <w:spacing w:after="0"/>
    </w:pPr>
    <w:rPr>
      <w:rFonts w:cs="Calibri Light"/>
      <w:color w:val="auto"/>
      <w:spacing w:val="-10"/>
      <w:sz w:val="56"/>
      <w:szCs w:val="56"/>
      <w:lang w:eastAsia="en-US"/>
    </w:rPr>
  </w:style>
  <w:style w:type="paragraph" w:styleId="Titre">
    <w:name w:val="Title"/>
    <w:basedOn w:val="Normal"/>
    <w:next w:val="Normal"/>
    <w:link w:val="TitreCar"/>
    <w:uiPriority w:val="10"/>
    <w:qFormat/>
    <w:rsid w:val="00283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BE3"/>
    <w:rPr>
      <w:rFonts w:asciiTheme="majorHAnsi" w:eastAsiaTheme="majorEastAsia" w:hAnsiTheme="majorHAnsi" w:cstheme="majorBidi"/>
      <w:color w:val="17365D" w:themeColor="text2" w:themeShade="BF"/>
      <w:spacing w:val="5"/>
      <w:kern w:val="28"/>
      <w:sz w:val="52"/>
      <w:szCs w:val="52"/>
      <w:lang w:eastAsia="fr-FR"/>
    </w:rPr>
  </w:style>
  <w:style w:type="paragraph" w:styleId="En-tte">
    <w:name w:val="header"/>
    <w:basedOn w:val="Normal"/>
    <w:link w:val="En-tteCar"/>
    <w:uiPriority w:val="99"/>
    <w:semiHidden/>
    <w:unhideWhenUsed/>
    <w:rsid w:val="00283BE3"/>
    <w:pPr>
      <w:tabs>
        <w:tab w:val="center" w:pos="4536"/>
        <w:tab w:val="right" w:pos="9072"/>
      </w:tabs>
      <w:spacing w:line="240" w:lineRule="auto"/>
    </w:pPr>
  </w:style>
  <w:style w:type="character" w:customStyle="1" w:styleId="En-tteCar">
    <w:name w:val="En-tête Car"/>
    <w:basedOn w:val="Policepardfaut"/>
    <w:link w:val="En-tte"/>
    <w:uiPriority w:val="99"/>
    <w:semiHidden/>
    <w:rsid w:val="00283BE3"/>
    <w:rPr>
      <w:rFonts w:ascii="Arial" w:eastAsia="Arial" w:hAnsi="Arial" w:cs="Arial"/>
      <w:lang w:eastAsia="fr-FR"/>
    </w:rPr>
  </w:style>
  <w:style w:type="paragraph" w:styleId="Pieddepage">
    <w:name w:val="footer"/>
    <w:basedOn w:val="Normal"/>
    <w:link w:val="PieddepageCar"/>
    <w:uiPriority w:val="99"/>
    <w:unhideWhenUsed/>
    <w:rsid w:val="00283BE3"/>
    <w:pPr>
      <w:tabs>
        <w:tab w:val="center" w:pos="4536"/>
        <w:tab w:val="right" w:pos="9072"/>
      </w:tabs>
      <w:spacing w:line="240" w:lineRule="auto"/>
    </w:pPr>
  </w:style>
  <w:style w:type="character" w:customStyle="1" w:styleId="PieddepageCar">
    <w:name w:val="Pied de page Car"/>
    <w:basedOn w:val="Policepardfaut"/>
    <w:link w:val="Pieddepage"/>
    <w:uiPriority w:val="99"/>
    <w:rsid w:val="00283BE3"/>
    <w:rPr>
      <w:rFonts w:ascii="Arial" w:eastAsia="Arial" w:hAnsi="Arial" w:cs="Arial"/>
      <w:lang w:eastAsia="fr-FR"/>
    </w:rPr>
  </w:style>
  <w:style w:type="paragraph" w:styleId="Notedebasdepage">
    <w:name w:val="footnote text"/>
    <w:basedOn w:val="Normal"/>
    <w:link w:val="NotedebasdepageCar"/>
    <w:uiPriority w:val="99"/>
    <w:semiHidden/>
    <w:unhideWhenUsed/>
    <w:rsid w:val="009660EC"/>
    <w:pPr>
      <w:spacing w:line="240" w:lineRule="auto"/>
    </w:pPr>
    <w:rPr>
      <w:sz w:val="20"/>
      <w:szCs w:val="20"/>
    </w:rPr>
  </w:style>
  <w:style w:type="character" w:customStyle="1" w:styleId="NotedebasdepageCar">
    <w:name w:val="Note de bas de page Car"/>
    <w:basedOn w:val="Policepardfaut"/>
    <w:link w:val="Notedebasdepage"/>
    <w:uiPriority w:val="99"/>
    <w:semiHidden/>
    <w:rsid w:val="009660EC"/>
    <w:rPr>
      <w:rFonts w:ascii="Arial" w:eastAsia="Arial" w:hAnsi="Arial" w:cs="Arial"/>
      <w:sz w:val="20"/>
      <w:szCs w:val="20"/>
      <w:lang w:eastAsia="fr-FR"/>
    </w:rPr>
  </w:style>
  <w:style w:type="character" w:styleId="Appelnotedebasdep">
    <w:name w:val="footnote reference"/>
    <w:basedOn w:val="Policepardfaut"/>
    <w:uiPriority w:val="99"/>
    <w:semiHidden/>
    <w:unhideWhenUsed/>
    <w:rsid w:val="009660EC"/>
    <w:rPr>
      <w:vertAlign w:val="superscript"/>
    </w:rPr>
  </w:style>
</w:styles>
</file>

<file path=word/webSettings.xml><?xml version="1.0" encoding="utf-8"?>
<w:webSettings xmlns:r="http://schemas.openxmlformats.org/officeDocument/2006/relationships" xmlns:w="http://schemas.openxmlformats.org/wordprocessingml/2006/main">
  <w:divs>
    <w:div w:id="1209024">
      <w:bodyDiv w:val="1"/>
      <w:marLeft w:val="0"/>
      <w:marRight w:val="0"/>
      <w:marTop w:val="0"/>
      <w:marBottom w:val="0"/>
      <w:divBdr>
        <w:top w:val="none" w:sz="0" w:space="0" w:color="auto"/>
        <w:left w:val="none" w:sz="0" w:space="0" w:color="auto"/>
        <w:bottom w:val="none" w:sz="0" w:space="0" w:color="auto"/>
        <w:right w:val="none" w:sz="0" w:space="0" w:color="auto"/>
      </w:divBdr>
    </w:div>
    <w:div w:id="908925161">
      <w:bodyDiv w:val="1"/>
      <w:marLeft w:val="0"/>
      <w:marRight w:val="0"/>
      <w:marTop w:val="0"/>
      <w:marBottom w:val="0"/>
      <w:divBdr>
        <w:top w:val="none" w:sz="0" w:space="0" w:color="auto"/>
        <w:left w:val="none" w:sz="0" w:space="0" w:color="auto"/>
        <w:bottom w:val="none" w:sz="0" w:space="0" w:color="auto"/>
        <w:right w:val="none" w:sz="0" w:space="0" w:color="auto"/>
      </w:divBdr>
    </w:div>
    <w:div w:id="1318653732">
      <w:bodyDiv w:val="1"/>
      <w:marLeft w:val="0"/>
      <w:marRight w:val="0"/>
      <w:marTop w:val="0"/>
      <w:marBottom w:val="0"/>
      <w:divBdr>
        <w:top w:val="none" w:sz="0" w:space="0" w:color="auto"/>
        <w:left w:val="none" w:sz="0" w:space="0" w:color="auto"/>
        <w:bottom w:val="none" w:sz="0" w:space="0" w:color="auto"/>
        <w:right w:val="none" w:sz="0" w:space="0" w:color="auto"/>
      </w:divBdr>
    </w:div>
    <w:div w:id="1892378965">
      <w:bodyDiv w:val="1"/>
      <w:marLeft w:val="0"/>
      <w:marRight w:val="0"/>
      <w:marTop w:val="0"/>
      <w:marBottom w:val="0"/>
      <w:divBdr>
        <w:top w:val="none" w:sz="0" w:space="0" w:color="auto"/>
        <w:left w:val="none" w:sz="0" w:space="0" w:color="auto"/>
        <w:bottom w:val="none" w:sz="0" w:space="0" w:color="auto"/>
        <w:right w:val="none" w:sz="0" w:space="0" w:color="auto"/>
      </w:divBdr>
    </w:div>
    <w:div w:id="19182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hcp.ma"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Tabulation%20%231%20-full%20-DEE%20231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Tabulation%20%231%20-full%20-DEE%20231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Annexe%20-DEE%2022102023%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Taches%20DEE\Publications%20DEE\Publications%20Trimestrielles\Notes%20Trimestrielles\Notes%20informatives\2023\T3\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Tabulation%20%231%20-full%20-DEE%202310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Annexe%20-DEE%2022102023%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aib\Desktop\T3%202023\2023T3%20-%20Note%20sur%20les%20chiffres%20cl&#233;s%20-%20Annexe%20-DEE%2022102023%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3.0555555555555645E-2"/>
          <c:y val="5.0925925925926124E-2"/>
          <c:w val="0.93888888888889288"/>
          <c:h val="0.59512357209952405"/>
        </c:manualLayout>
      </c:layout>
      <c:lineChart>
        <c:grouping val="standard"/>
        <c:ser>
          <c:idx val="0"/>
          <c:order val="0"/>
          <c:tx>
            <c:strRef>
              <c:f>Feuil1!$C$35</c:f>
              <c:strCache>
                <c:ptCount val="1"/>
                <c:pt idx="0">
                  <c:v>Urbain</c:v>
                </c:pt>
              </c:strCache>
            </c:strRef>
          </c:tx>
          <c:marker>
            <c:symbol val="none"/>
          </c:marker>
          <c:dLbls>
            <c:dLbl>
              <c:idx val="3"/>
              <c:layout>
                <c:manualLayout>
                  <c:x val="0"/>
                  <c:y val="6.3578316926759776E-2"/>
                </c:manualLayout>
              </c:layout>
              <c:showVal val="1"/>
            </c:dLbl>
            <c:dLbl>
              <c:idx val="4"/>
              <c:layout>
                <c:manualLayout>
                  <c:x val="7.0529903568405895E-3"/>
                  <c:y val="1.7339540980025402E-2"/>
                </c:manualLayout>
              </c:layout>
              <c:showVal val="1"/>
            </c:dLbl>
            <c:showVal val="1"/>
          </c:dLbls>
          <c:cat>
            <c:numRef>
              <c:f>Feuil1!$D$34:$H$34</c:f>
              <c:numCache>
                <c:formatCode>General</c:formatCode>
                <c:ptCount val="5"/>
                <c:pt idx="0">
                  <c:v>2019</c:v>
                </c:pt>
                <c:pt idx="1">
                  <c:v>2020</c:v>
                </c:pt>
                <c:pt idx="2">
                  <c:v>2021</c:v>
                </c:pt>
                <c:pt idx="3">
                  <c:v>2022</c:v>
                </c:pt>
                <c:pt idx="4">
                  <c:v>2023</c:v>
                </c:pt>
              </c:numCache>
            </c:numRef>
          </c:cat>
          <c:val>
            <c:numRef>
              <c:f>Feuil1!$D$35:$H$35</c:f>
              <c:numCache>
                <c:formatCode>General</c:formatCode>
                <c:ptCount val="5"/>
                <c:pt idx="0">
                  <c:v>41.7</c:v>
                </c:pt>
                <c:pt idx="1">
                  <c:v>41</c:v>
                </c:pt>
                <c:pt idx="2">
                  <c:v>42.4</c:v>
                </c:pt>
                <c:pt idx="3">
                  <c:v>41.9</c:v>
                </c:pt>
                <c:pt idx="4" formatCode="0.0">
                  <c:v>41.915260773841105</c:v>
                </c:pt>
              </c:numCache>
            </c:numRef>
          </c:val>
        </c:ser>
        <c:ser>
          <c:idx val="1"/>
          <c:order val="1"/>
          <c:tx>
            <c:strRef>
              <c:f>Feuil1!$C$36</c:f>
              <c:strCache>
                <c:ptCount val="1"/>
                <c:pt idx="0">
                  <c:v>Rural</c:v>
                </c:pt>
              </c:strCache>
            </c:strRef>
          </c:tx>
          <c:spPr>
            <a:ln>
              <a:solidFill>
                <a:srgbClr val="FFC000"/>
              </a:solidFill>
            </a:ln>
          </c:spPr>
          <c:marker>
            <c:symbol val="none"/>
          </c:marker>
          <c:dLbls>
            <c:dLbl>
              <c:idx val="0"/>
              <c:layout>
                <c:manualLayout>
                  <c:x val="0"/>
                  <c:y val="-4.0458928953392842E-2"/>
                </c:manualLayout>
              </c:layout>
              <c:showVal val="1"/>
            </c:dLbl>
            <c:dLbl>
              <c:idx val="1"/>
              <c:layout>
                <c:manualLayout>
                  <c:x val="2.3509967856135414E-3"/>
                  <c:y val="-5.2018622940076947E-2"/>
                </c:manualLayout>
              </c:layout>
              <c:showVal val="1"/>
            </c:dLbl>
            <c:dLbl>
              <c:idx val="2"/>
              <c:layout>
                <c:manualLayout>
                  <c:x val="-9.4039871424541205E-3"/>
                  <c:y val="-5.2018622940076947E-2"/>
                </c:manualLayout>
              </c:layout>
              <c:showVal val="1"/>
            </c:dLbl>
            <c:dLbl>
              <c:idx val="3"/>
              <c:layout>
                <c:manualLayout>
                  <c:x val="-9.4039871424541205E-3"/>
                  <c:y val="-6.3578316926759776E-2"/>
                </c:manualLayout>
              </c:layout>
              <c:showVal val="1"/>
            </c:dLbl>
            <c:dLbl>
              <c:idx val="4"/>
              <c:layout>
                <c:manualLayout>
                  <c:x val="-7.0549732329556114E-3"/>
                  <c:y val="-3.7132334930125292E-2"/>
                </c:manualLayout>
              </c:layout>
              <c:showVal val="1"/>
            </c:dLbl>
            <c:showVal val="1"/>
          </c:dLbls>
          <c:cat>
            <c:numRef>
              <c:f>Feuil1!$D$34:$H$34</c:f>
              <c:numCache>
                <c:formatCode>General</c:formatCode>
                <c:ptCount val="5"/>
                <c:pt idx="0">
                  <c:v>2019</c:v>
                </c:pt>
                <c:pt idx="1">
                  <c:v>2020</c:v>
                </c:pt>
                <c:pt idx="2">
                  <c:v>2021</c:v>
                </c:pt>
                <c:pt idx="3">
                  <c:v>2022</c:v>
                </c:pt>
                <c:pt idx="4">
                  <c:v>2023</c:v>
                </c:pt>
              </c:numCache>
            </c:numRef>
          </c:cat>
          <c:val>
            <c:numRef>
              <c:f>Feuil1!$D$36:$H$36</c:f>
              <c:numCache>
                <c:formatCode>General</c:formatCode>
                <c:ptCount val="5"/>
                <c:pt idx="0">
                  <c:v>50.8</c:v>
                </c:pt>
                <c:pt idx="1">
                  <c:v>48</c:v>
                </c:pt>
                <c:pt idx="2">
                  <c:v>50.3</c:v>
                </c:pt>
                <c:pt idx="3">
                  <c:v>48.1</c:v>
                </c:pt>
                <c:pt idx="4" formatCode="0.0">
                  <c:v>45.818780803410846</c:v>
                </c:pt>
              </c:numCache>
            </c:numRef>
          </c:val>
        </c:ser>
        <c:ser>
          <c:idx val="2"/>
          <c:order val="2"/>
          <c:tx>
            <c:strRef>
              <c:f>Feuil1!$C$37</c:f>
              <c:strCache>
                <c:ptCount val="1"/>
                <c:pt idx="0">
                  <c:v>National</c:v>
                </c:pt>
              </c:strCache>
            </c:strRef>
          </c:tx>
          <c:spPr>
            <a:ln>
              <a:solidFill>
                <a:schemeClr val="bg1">
                  <a:lumMod val="65000"/>
                </a:schemeClr>
              </a:solidFill>
            </a:ln>
          </c:spPr>
          <c:marker>
            <c:symbol val="none"/>
          </c:marker>
          <c:dLbls>
            <c:dLbl>
              <c:idx val="3"/>
              <c:layout>
                <c:manualLayout>
                  <c:x val="-7.0529903568405895E-3"/>
                  <c:y val="-5.7798469933418939E-3"/>
                </c:manualLayout>
              </c:layout>
              <c:showVal val="1"/>
            </c:dLbl>
            <c:dLbl>
              <c:idx val="4"/>
              <c:layout>
                <c:manualLayout>
                  <c:x val="-2.3451142157479492E-3"/>
                  <c:y val="-1.0215492360745758E-2"/>
                </c:manualLayout>
              </c:layout>
              <c:showVal val="1"/>
            </c:dLbl>
            <c:showVal val="1"/>
          </c:dLbls>
          <c:cat>
            <c:numRef>
              <c:f>Feuil1!$D$34:$H$34</c:f>
              <c:numCache>
                <c:formatCode>General</c:formatCode>
                <c:ptCount val="5"/>
                <c:pt idx="0">
                  <c:v>2019</c:v>
                </c:pt>
                <c:pt idx="1">
                  <c:v>2020</c:v>
                </c:pt>
                <c:pt idx="2">
                  <c:v>2021</c:v>
                </c:pt>
                <c:pt idx="3">
                  <c:v>2022</c:v>
                </c:pt>
                <c:pt idx="4">
                  <c:v>2023</c:v>
                </c:pt>
              </c:numCache>
            </c:numRef>
          </c:cat>
          <c:val>
            <c:numRef>
              <c:f>Feuil1!$D$37:$H$37</c:f>
              <c:numCache>
                <c:formatCode>General</c:formatCode>
                <c:ptCount val="5"/>
                <c:pt idx="0">
                  <c:v>44.9</c:v>
                </c:pt>
                <c:pt idx="1">
                  <c:v>43.5</c:v>
                </c:pt>
                <c:pt idx="2">
                  <c:v>45.1</c:v>
                </c:pt>
                <c:pt idx="3">
                  <c:v>44</c:v>
                </c:pt>
                <c:pt idx="4" formatCode="0.0">
                  <c:v>43.227962997012</c:v>
                </c:pt>
              </c:numCache>
            </c:numRef>
          </c:val>
        </c:ser>
        <c:marker val="1"/>
        <c:axId val="106346752"/>
        <c:axId val="33366016"/>
      </c:lineChart>
      <c:catAx>
        <c:axId val="106346752"/>
        <c:scaling>
          <c:orientation val="minMax"/>
        </c:scaling>
        <c:axPos val="b"/>
        <c:numFmt formatCode="General" sourceLinked="1"/>
        <c:majorTickMark val="none"/>
        <c:tickLblPos val="nextTo"/>
        <c:crossAx val="33366016"/>
        <c:crosses val="autoZero"/>
        <c:auto val="1"/>
        <c:lblAlgn val="ctr"/>
        <c:lblOffset val="100"/>
      </c:catAx>
      <c:valAx>
        <c:axId val="33366016"/>
        <c:scaling>
          <c:orientation val="minMax"/>
        </c:scaling>
        <c:delete val="1"/>
        <c:axPos val="l"/>
        <c:numFmt formatCode="General" sourceLinked="1"/>
        <c:majorTickMark val="none"/>
        <c:tickLblPos val="none"/>
        <c:crossAx val="106346752"/>
        <c:crosses val="autoZero"/>
        <c:crossBetween val="between"/>
      </c:valAx>
    </c:plotArea>
    <c:legend>
      <c:legendPos val="b"/>
    </c:legend>
    <c:plotVisOnly val="1"/>
  </c:chart>
  <c:spPr>
    <a:ln>
      <a:noFill/>
    </a:ln>
  </c:spPr>
  <c:txPr>
    <a:bodyPr/>
    <a:lstStyle/>
    <a:p>
      <a:pPr>
        <a:defRPr sz="800" b="1">
          <a:latin typeface="Times New Roman" pitchFamily="18" charset="0"/>
          <a:cs typeface="Times New Roman"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Feuil1!$B$6</c:f>
              <c:strCache>
                <c:ptCount val="1"/>
                <c:pt idx="0">
                  <c:v>Emploi rémunéré</c:v>
                </c:pt>
              </c:strCache>
            </c:strRef>
          </c:tx>
          <c:spPr>
            <a:solidFill>
              <a:schemeClr val="accent1"/>
            </a:solidFill>
          </c:spPr>
          <c:dLbls>
            <c:dLbl>
              <c:idx val="0"/>
              <c:tx>
                <c:rich>
                  <a:bodyPr/>
                  <a:lstStyle/>
                  <a:p>
                    <a:r>
                      <a:rPr lang="en-US" sz="900"/>
                      <a:t>13.000</a:t>
                    </a:r>
                  </a:p>
                </c:rich>
              </c:tx>
              <c:showVal val="1"/>
            </c:dLbl>
            <c:dLbl>
              <c:idx val="1"/>
              <c:tx>
                <c:rich>
                  <a:bodyPr/>
                  <a:lstStyle/>
                  <a:p>
                    <a:r>
                      <a:rPr lang="en-US" sz="900"/>
                      <a:t>-79.000</a:t>
                    </a:r>
                  </a:p>
                </c:rich>
              </c:tx>
              <c:showVal val="1"/>
            </c:dLbl>
            <c:dLbl>
              <c:idx val="2"/>
              <c:tx>
                <c:rich>
                  <a:bodyPr/>
                  <a:lstStyle/>
                  <a:p>
                    <a:r>
                      <a:rPr lang="en-US" sz="900"/>
                      <a:t>-66.000</a:t>
                    </a:r>
                  </a:p>
                </c:rich>
              </c:tx>
              <c:showVal val="1"/>
            </c:dLbl>
            <c:showVal val="1"/>
          </c:dLbls>
          <c:cat>
            <c:strRef>
              <c:f>Feuil1!$C$5:$E$5</c:f>
              <c:strCache>
                <c:ptCount val="3"/>
                <c:pt idx="0">
                  <c:v>Urbain</c:v>
                </c:pt>
                <c:pt idx="1">
                  <c:v>Rural</c:v>
                </c:pt>
                <c:pt idx="2">
                  <c:v>National</c:v>
                </c:pt>
              </c:strCache>
            </c:strRef>
          </c:cat>
          <c:val>
            <c:numRef>
              <c:f>Feuil1!$C$6:$E$6</c:f>
              <c:numCache>
                <c:formatCode>0</c:formatCode>
                <c:ptCount val="3"/>
                <c:pt idx="0">
                  <c:v>12.715719578760424</c:v>
                </c:pt>
                <c:pt idx="1">
                  <c:v>-78.991583000324695</c:v>
                </c:pt>
                <c:pt idx="2">
                  <c:v>-66.275863421413305</c:v>
                </c:pt>
              </c:numCache>
            </c:numRef>
          </c:val>
        </c:ser>
        <c:ser>
          <c:idx val="1"/>
          <c:order val="1"/>
          <c:tx>
            <c:strRef>
              <c:f>Feuil1!$B$7</c:f>
              <c:strCache>
                <c:ptCount val="1"/>
                <c:pt idx="0">
                  <c:v>Emploi non rémunéré</c:v>
                </c:pt>
              </c:strCache>
            </c:strRef>
          </c:tx>
          <c:spPr>
            <a:solidFill>
              <a:srgbClr val="FFC000"/>
            </a:solidFill>
          </c:spPr>
          <c:dLbls>
            <c:dLbl>
              <c:idx val="0"/>
              <c:tx>
                <c:rich>
                  <a:bodyPr/>
                  <a:lstStyle/>
                  <a:p>
                    <a:r>
                      <a:rPr lang="en-US" sz="900"/>
                      <a:t>-41.000</a:t>
                    </a:r>
                  </a:p>
                </c:rich>
              </c:tx>
              <c:showVal val="1"/>
            </c:dLbl>
            <c:dLbl>
              <c:idx val="1"/>
              <c:tx>
                <c:rich>
                  <a:bodyPr/>
                  <a:lstStyle/>
                  <a:p>
                    <a:r>
                      <a:rPr lang="en-US" sz="900"/>
                      <a:t>-190.000</a:t>
                    </a:r>
                  </a:p>
                </c:rich>
              </c:tx>
              <c:showVal val="1"/>
            </c:dLbl>
            <c:dLbl>
              <c:idx val="2"/>
              <c:tx>
                <c:rich>
                  <a:bodyPr/>
                  <a:lstStyle/>
                  <a:p>
                    <a:r>
                      <a:rPr lang="en-US" sz="900"/>
                      <a:t>-231.000</a:t>
                    </a:r>
                  </a:p>
                </c:rich>
              </c:tx>
              <c:showVal val="1"/>
            </c:dLbl>
            <c:showVal val="1"/>
          </c:dLbls>
          <c:cat>
            <c:strRef>
              <c:f>Feuil1!$C$5:$E$5</c:f>
              <c:strCache>
                <c:ptCount val="3"/>
                <c:pt idx="0">
                  <c:v>Urbain</c:v>
                </c:pt>
                <c:pt idx="1">
                  <c:v>Rural</c:v>
                </c:pt>
                <c:pt idx="2">
                  <c:v>National</c:v>
                </c:pt>
              </c:strCache>
            </c:strRef>
          </c:cat>
          <c:val>
            <c:numRef>
              <c:f>Feuil1!$C$7:$E$7</c:f>
              <c:numCache>
                <c:formatCode>0</c:formatCode>
                <c:ptCount val="3"/>
                <c:pt idx="0">
                  <c:v>-41.473921838438628</c:v>
                </c:pt>
                <c:pt idx="1">
                  <c:v>-189.65266917034072</c:v>
                </c:pt>
                <c:pt idx="2">
                  <c:v>-231.12659100876772</c:v>
                </c:pt>
              </c:numCache>
            </c:numRef>
          </c:val>
        </c:ser>
        <c:ser>
          <c:idx val="2"/>
          <c:order val="2"/>
          <c:tx>
            <c:strRef>
              <c:f>Feuil1!$B$8</c:f>
              <c:strCache>
                <c:ptCount val="1"/>
                <c:pt idx="0">
                  <c:v>Ensemble</c:v>
                </c:pt>
              </c:strCache>
            </c:strRef>
          </c:tx>
          <c:spPr>
            <a:solidFill>
              <a:schemeClr val="bg1">
                <a:lumMod val="65000"/>
              </a:schemeClr>
            </a:solidFill>
          </c:spPr>
          <c:dLbls>
            <c:dLbl>
              <c:idx val="0"/>
              <c:layout>
                <c:manualLayout>
                  <c:x val="1.3888888888889025E-2"/>
                  <c:y val="-4.6296296296296823E-3"/>
                </c:manualLayout>
              </c:layout>
              <c:tx>
                <c:rich>
                  <a:bodyPr/>
                  <a:lstStyle/>
                  <a:p>
                    <a:r>
                      <a:rPr lang="en-US" sz="900"/>
                      <a:t>-29.000</a:t>
                    </a:r>
                  </a:p>
                </c:rich>
              </c:tx>
              <c:showVal val="1"/>
            </c:dLbl>
            <c:dLbl>
              <c:idx val="1"/>
              <c:tx>
                <c:rich>
                  <a:bodyPr/>
                  <a:lstStyle/>
                  <a:p>
                    <a:r>
                      <a:rPr lang="en-US" sz="900"/>
                      <a:t>-269.000</a:t>
                    </a:r>
                  </a:p>
                </c:rich>
              </c:tx>
              <c:showVal val="1"/>
            </c:dLbl>
            <c:dLbl>
              <c:idx val="2"/>
              <c:tx>
                <c:rich>
                  <a:bodyPr/>
                  <a:lstStyle/>
                  <a:p>
                    <a:r>
                      <a:rPr lang="en-US" sz="900"/>
                      <a:t>-297.000</a:t>
                    </a:r>
                  </a:p>
                </c:rich>
              </c:tx>
              <c:showVal val="1"/>
            </c:dLbl>
            <c:showVal val="1"/>
          </c:dLbls>
          <c:cat>
            <c:strRef>
              <c:f>Feuil1!$C$5:$E$5</c:f>
              <c:strCache>
                <c:ptCount val="3"/>
                <c:pt idx="0">
                  <c:v>Urbain</c:v>
                </c:pt>
                <c:pt idx="1">
                  <c:v>Rural</c:v>
                </c:pt>
                <c:pt idx="2">
                  <c:v>National</c:v>
                </c:pt>
              </c:strCache>
            </c:strRef>
          </c:cat>
          <c:val>
            <c:numRef>
              <c:f>Feuil1!$C$8:$E$8</c:f>
              <c:numCache>
                <c:formatCode>0</c:formatCode>
                <c:ptCount val="3"/>
                <c:pt idx="0">
                  <c:v>-28.758202259712526</c:v>
                </c:pt>
                <c:pt idx="1">
                  <c:v>-268.64425217069447</c:v>
                </c:pt>
                <c:pt idx="2">
                  <c:v>-297.40245443040294</c:v>
                </c:pt>
              </c:numCache>
            </c:numRef>
          </c:val>
        </c:ser>
        <c:dLbls>
          <c:showVal val="1"/>
        </c:dLbls>
        <c:overlap val="-25"/>
        <c:axId val="99780480"/>
        <c:axId val="99782016"/>
      </c:barChart>
      <c:catAx>
        <c:axId val="99780480"/>
        <c:scaling>
          <c:orientation val="minMax"/>
        </c:scaling>
        <c:axPos val="b"/>
        <c:majorTickMark val="none"/>
        <c:tickLblPos val="low"/>
        <c:crossAx val="99782016"/>
        <c:crosses val="autoZero"/>
        <c:auto val="1"/>
        <c:lblAlgn val="ctr"/>
        <c:lblOffset val="100"/>
      </c:catAx>
      <c:valAx>
        <c:axId val="99782016"/>
        <c:scaling>
          <c:orientation val="minMax"/>
        </c:scaling>
        <c:delete val="1"/>
        <c:axPos val="l"/>
        <c:numFmt formatCode="0" sourceLinked="1"/>
        <c:majorTickMark val="none"/>
        <c:tickLblPos val="none"/>
        <c:crossAx val="99780480"/>
        <c:crosses val="autoZero"/>
        <c:crossBetween val="between"/>
      </c:valAx>
    </c:plotArea>
    <c:legend>
      <c:legendPos val="t"/>
    </c:legend>
    <c:plotVisOnly val="1"/>
  </c:chart>
  <c:spPr>
    <a:ln>
      <a:noFill/>
    </a:ln>
  </c:spPr>
  <c:txPr>
    <a:bodyPr/>
    <a:lstStyle/>
    <a:p>
      <a:pPr>
        <a:defRPr sz="800" b="1">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3.333333333333334E-2"/>
          <c:y val="0.19837519628862135"/>
          <c:w val="0.93888888888889244"/>
          <c:h val="0.44404877996314612"/>
        </c:manualLayout>
      </c:layout>
      <c:barChart>
        <c:barDir val="col"/>
        <c:grouping val="clustered"/>
        <c:ser>
          <c:idx val="0"/>
          <c:order val="0"/>
          <c:tx>
            <c:strRef>
              <c:f>Feuil1!$C$37</c:f>
              <c:strCache>
                <c:ptCount val="1"/>
                <c:pt idx="0">
                  <c:v>Urbain</c:v>
                </c:pt>
              </c:strCache>
            </c:strRef>
          </c:tx>
          <c:dLbls>
            <c:dLbl>
              <c:idx val="0"/>
              <c:tx>
                <c:rich>
                  <a:bodyPr/>
                  <a:lstStyle/>
                  <a:p>
                    <a:r>
                      <a:rPr lang="en-US" sz="900"/>
                      <a:t>-18.000</a:t>
                    </a:r>
                  </a:p>
                </c:rich>
              </c:tx>
              <c:showVal val="1"/>
            </c:dLbl>
            <c:dLbl>
              <c:idx val="1"/>
              <c:tx>
                <c:rich>
                  <a:bodyPr/>
                  <a:lstStyle/>
                  <a:p>
                    <a:r>
                      <a:rPr lang="en-US" sz="900"/>
                      <a:t>24.000</a:t>
                    </a:r>
                  </a:p>
                </c:rich>
              </c:tx>
              <c:showVal val="1"/>
            </c:dLbl>
            <c:dLbl>
              <c:idx val="2"/>
              <c:tx>
                <c:rich>
                  <a:bodyPr/>
                  <a:lstStyle/>
                  <a:p>
                    <a:r>
                      <a:rPr lang="en-US" sz="900"/>
                      <a:t>-20.000</a:t>
                    </a:r>
                  </a:p>
                </c:rich>
              </c:tx>
              <c:showVal val="1"/>
            </c:dLbl>
            <c:dLbl>
              <c:idx val="3"/>
              <c:tx>
                <c:rich>
                  <a:bodyPr/>
                  <a:lstStyle/>
                  <a:p>
                    <a:r>
                      <a:rPr lang="en-US" sz="900"/>
                      <a:t>-17.000</a:t>
                    </a:r>
                  </a:p>
                </c:rich>
              </c:tx>
              <c:showVal val="1"/>
            </c:dLbl>
            <c:txPr>
              <a:bodyPr/>
              <a:lstStyle/>
              <a:p>
                <a:pPr>
                  <a:defRPr sz="900"/>
                </a:pPr>
                <a:endParaRPr lang="fr-FR"/>
              </a:p>
            </c:txPr>
            <c:showVal val="1"/>
          </c:dLbls>
          <c:cat>
            <c:strRef>
              <c:f>Feuil1!$B$38:$B$41</c:f>
              <c:strCache>
                <c:ptCount val="4"/>
                <c:pt idx="0">
                  <c:v>Agriculture,  forêt et pêche</c:v>
                </c:pt>
                <c:pt idx="1">
                  <c:v>Industrie (y compris artisanat)</c:v>
                </c:pt>
                <c:pt idx="2">
                  <c:v>BTP</c:v>
                </c:pt>
                <c:pt idx="3">
                  <c:v>Services</c:v>
                </c:pt>
              </c:strCache>
            </c:strRef>
          </c:cat>
          <c:val>
            <c:numRef>
              <c:f>Feuil1!$C$38:$C$41</c:f>
              <c:numCache>
                <c:formatCode>\+#,##0;\-#,##0;#,##0</c:formatCode>
                <c:ptCount val="4"/>
                <c:pt idx="0">
                  <c:v>-17.919463331988517</c:v>
                </c:pt>
                <c:pt idx="1">
                  <c:v>23.524130074988189</c:v>
                </c:pt>
                <c:pt idx="2">
                  <c:v>-20.412504992844326</c:v>
                </c:pt>
                <c:pt idx="3">
                  <c:v>-17.417162721235655</c:v>
                </c:pt>
              </c:numCache>
            </c:numRef>
          </c:val>
        </c:ser>
        <c:ser>
          <c:idx val="1"/>
          <c:order val="1"/>
          <c:tx>
            <c:strRef>
              <c:f>Feuil1!$D$37</c:f>
              <c:strCache>
                <c:ptCount val="1"/>
                <c:pt idx="0">
                  <c:v>Rural</c:v>
                </c:pt>
              </c:strCache>
            </c:strRef>
          </c:tx>
          <c:spPr>
            <a:solidFill>
              <a:schemeClr val="bg1">
                <a:lumMod val="75000"/>
              </a:schemeClr>
            </a:solidFill>
          </c:spPr>
          <c:dLbls>
            <c:dLbl>
              <c:idx val="0"/>
              <c:tx>
                <c:rich>
                  <a:bodyPr/>
                  <a:lstStyle/>
                  <a:p>
                    <a:r>
                      <a:rPr lang="en-US" sz="900"/>
                      <a:t>-279.000</a:t>
                    </a:r>
                  </a:p>
                </c:rich>
              </c:tx>
              <c:showVal val="1"/>
            </c:dLbl>
            <c:dLbl>
              <c:idx val="1"/>
              <c:tx>
                <c:rich>
                  <a:bodyPr/>
                  <a:lstStyle/>
                  <a:p>
                    <a:r>
                      <a:rPr lang="en-US" sz="900"/>
                      <a:t>-10.000</a:t>
                    </a:r>
                  </a:p>
                </c:rich>
              </c:tx>
              <c:showVal val="1"/>
            </c:dLbl>
            <c:dLbl>
              <c:idx val="2"/>
              <c:tx>
                <c:rich>
                  <a:bodyPr/>
                  <a:lstStyle/>
                  <a:p>
                    <a:r>
                      <a:rPr lang="en-US" sz="900"/>
                      <a:t>18.000</a:t>
                    </a:r>
                  </a:p>
                </c:rich>
              </c:tx>
              <c:showVal val="1"/>
            </c:dLbl>
            <c:dLbl>
              <c:idx val="3"/>
              <c:tx>
                <c:rich>
                  <a:bodyPr/>
                  <a:lstStyle/>
                  <a:p>
                    <a:r>
                      <a:rPr lang="en-US" sz="900"/>
                      <a:t>3.000</a:t>
                    </a:r>
                  </a:p>
                </c:rich>
              </c:tx>
              <c:showVal val="1"/>
            </c:dLbl>
            <c:txPr>
              <a:bodyPr/>
              <a:lstStyle/>
              <a:p>
                <a:pPr>
                  <a:defRPr sz="900"/>
                </a:pPr>
                <a:endParaRPr lang="fr-FR"/>
              </a:p>
            </c:txPr>
            <c:showVal val="1"/>
          </c:dLbls>
          <c:cat>
            <c:strRef>
              <c:f>Feuil1!$B$38:$B$41</c:f>
              <c:strCache>
                <c:ptCount val="4"/>
                <c:pt idx="0">
                  <c:v>Agriculture,  forêt et pêche</c:v>
                </c:pt>
                <c:pt idx="1">
                  <c:v>Industrie (y compris artisanat)</c:v>
                </c:pt>
                <c:pt idx="2">
                  <c:v>BTP</c:v>
                </c:pt>
                <c:pt idx="3">
                  <c:v>Services</c:v>
                </c:pt>
              </c:strCache>
            </c:strRef>
          </c:cat>
          <c:val>
            <c:numRef>
              <c:f>Feuil1!$D$38:$D$41</c:f>
              <c:numCache>
                <c:formatCode>\+#,##0;\-#,##0;#,##0</c:formatCode>
                <c:ptCount val="4"/>
                <c:pt idx="0">
                  <c:v>-279.46064753268865</c:v>
                </c:pt>
                <c:pt idx="1">
                  <c:v>-9.8203670447815519</c:v>
                </c:pt>
                <c:pt idx="2">
                  <c:v>17.94685078500299</c:v>
                </c:pt>
                <c:pt idx="3">
                  <c:v>2.7595846739248371</c:v>
                </c:pt>
              </c:numCache>
            </c:numRef>
          </c:val>
        </c:ser>
        <c:ser>
          <c:idx val="2"/>
          <c:order val="2"/>
          <c:tx>
            <c:strRef>
              <c:f>Feuil1!$E$37</c:f>
              <c:strCache>
                <c:ptCount val="1"/>
                <c:pt idx="0">
                  <c:v>Ensemble</c:v>
                </c:pt>
              </c:strCache>
            </c:strRef>
          </c:tx>
          <c:spPr>
            <a:solidFill>
              <a:srgbClr val="FFC000"/>
            </a:solidFill>
          </c:spPr>
          <c:dLbls>
            <c:dLbl>
              <c:idx val="0"/>
              <c:layout>
                <c:manualLayout>
                  <c:x val="8.9584165469713851E-3"/>
                  <c:y val="0"/>
                </c:manualLayout>
              </c:layout>
              <c:tx>
                <c:rich>
                  <a:bodyPr/>
                  <a:lstStyle/>
                  <a:p>
                    <a:r>
                      <a:rPr lang="en-US" sz="900"/>
                      <a:t>-297.000</a:t>
                    </a:r>
                  </a:p>
                </c:rich>
              </c:tx>
              <c:showVal val="1"/>
            </c:dLbl>
            <c:dLbl>
              <c:idx val="1"/>
              <c:tx>
                <c:rich>
                  <a:bodyPr/>
                  <a:lstStyle/>
                  <a:p>
                    <a:r>
                      <a:rPr lang="en-US" sz="900"/>
                      <a:t>14.000</a:t>
                    </a:r>
                  </a:p>
                </c:rich>
              </c:tx>
              <c:showVal val="1"/>
            </c:dLbl>
            <c:dLbl>
              <c:idx val="2"/>
              <c:tx>
                <c:rich>
                  <a:bodyPr/>
                  <a:lstStyle/>
                  <a:p>
                    <a:r>
                      <a:rPr lang="en-US" sz="900"/>
                      <a:t>-2.000</a:t>
                    </a:r>
                  </a:p>
                </c:rich>
              </c:tx>
              <c:showVal val="1"/>
            </c:dLbl>
            <c:dLbl>
              <c:idx val="3"/>
              <c:tx>
                <c:rich>
                  <a:bodyPr/>
                  <a:lstStyle/>
                  <a:p>
                    <a:r>
                      <a:rPr lang="en-US" sz="900"/>
                      <a:t>-15.000</a:t>
                    </a:r>
                  </a:p>
                </c:rich>
              </c:tx>
              <c:showVal val="1"/>
            </c:dLbl>
            <c:txPr>
              <a:bodyPr/>
              <a:lstStyle/>
              <a:p>
                <a:pPr>
                  <a:defRPr sz="900"/>
                </a:pPr>
                <a:endParaRPr lang="fr-FR"/>
              </a:p>
            </c:txPr>
            <c:showVal val="1"/>
          </c:dLbls>
          <c:cat>
            <c:strRef>
              <c:f>Feuil1!$B$38:$B$41</c:f>
              <c:strCache>
                <c:ptCount val="4"/>
                <c:pt idx="0">
                  <c:v>Agriculture,  forêt et pêche</c:v>
                </c:pt>
                <c:pt idx="1">
                  <c:v>Industrie (y compris artisanat)</c:v>
                </c:pt>
                <c:pt idx="2">
                  <c:v>BTP</c:v>
                </c:pt>
                <c:pt idx="3">
                  <c:v>Services</c:v>
                </c:pt>
              </c:strCache>
            </c:strRef>
          </c:cat>
          <c:val>
            <c:numRef>
              <c:f>Feuil1!$E$38:$E$41</c:f>
              <c:numCache>
                <c:formatCode>\+#,##0;\-#,##0;#,##0</c:formatCode>
                <c:ptCount val="4"/>
                <c:pt idx="0">
                  <c:v>-297.38011086466969</c:v>
                </c:pt>
                <c:pt idx="1">
                  <c:v>13.703763030203994</c:v>
                </c:pt>
                <c:pt idx="2">
                  <c:v>-2.4656542078399801</c:v>
                </c:pt>
                <c:pt idx="3">
                  <c:v>-14.657578047261923</c:v>
                </c:pt>
              </c:numCache>
            </c:numRef>
          </c:val>
        </c:ser>
        <c:gapWidth val="75"/>
        <c:overlap val="-25"/>
        <c:axId val="99849728"/>
        <c:axId val="99851264"/>
      </c:barChart>
      <c:catAx>
        <c:axId val="99849728"/>
        <c:scaling>
          <c:orientation val="minMax"/>
        </c:scaling>
        <c:axPos val="b"/>
        <c:majorTickMark val="none"/>
        <c:tickLblPos val="low"/>
        <c:txPr>
          <a:bodyPr/>
          <a:lstStyle/>
          <a:p>
            <a:pPr>
              <a:defRPr sz="900" b="0"/>
            </a:pPr>
            <a:endParaRPr lang="fr-FR"/>
          </a:p>
        </c:txPr>
        <c:crossAx val="99851264"/>
        <c:crosses val="autoZero"/>
        <c:auto val="1"/>
        <c:lblAlgn val="ctr"/>
        <c:lblOffset val="100"/>
      </c:catAx>
      <c:valAx>
        <c:axId val="99851264"/>
        <c:scaling>
          <c:orientation val="minMax"/>
        </c:scaling>
        <c:delete val="1"/>
        <c:axPos val="l"/>
        <c:numFmt formatCode="\+#,##0;\-#,##0;#,##0" sourceLinked="1"/>
        <c:majorTickMark val="none"/>
        <c:tickLblPos val="none"/>
        <c:crossAx val="99849728"/>
        <c:crosses val="autoZero"/>
        <c:crossBetween val="between"/>
      </c:valAx>
    </c:plotArea>
    <c:legend>
      <c:legendPos val="b"/>
      <c:layout>
        <c:manualLayout>
          <c:xMode val="edge"/>
          <c:yMode val="edge"/>
          <c:x val="0.29633207509904447"/>
          <c:y val="0.88932593232613988"/>
          <c:w val="0.37667884718294004"/>
          <c:h val="7.9572776175255322E-2"/>
        </c:manualLayout>
      </c:layout>
      <c:txPr>
        <a:bodyPr/>
        <a:lstStyle/>
        <a:p>
          <a:pPr>
            <a:defRPr sz="900"/>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Feuil1!$B$1</c:f>
              <c:strCache>
                <c:ptCount val="1"/>
                <c:pt idx="0">
                  <c:v>2022</c:v>
                </c:pt>
              </c:strCache>
            </c:strRef>
          </c:tx>
          <c:spPr>
            <a:solidFill>
              <a:srgbClr val="FFC000"/>
            </a:solidFill>
            <a:ln>
              <a:noFill/>
            </a:ln>
            <a:effectLst/>
          </c:spPr>
          <c:dLbls>
            <c:spPr>
              <a:noFill/>
              <a:ln>
                <a:noFill/>
              </a:ln>
              <a:effectLst/>
            </c:spPr>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Urbain</c:v>
                </c:pt>
                <c:pt idx="1">
                  <c:v>Rural</c:v>
                </c:pt>
                <c:pt idx="2">
                  <c:v>Hommes</c:v>
                </c:pt>
                <c:pt idx="3">
                  <c:v>Femmes</c:v>
                </c:pt>
                <c:pt idx="4">
                  <c:v>15-24 ans</c:v>
                </c:pt>
                <c:pt idx="5">
                  <c:v>Diplômés</c:v>
                </c:pt>
                <c:pt idx="6">
                  <c:v>National</c:v>
                </c:pt>
              </c:strCache>
            </c:strRef>
          </c:cat>
          <c:val>
            <c:numRef>
              <c:f>Feuil1!$B$2:$B$8</c:f>
              <c:numCache>
                <c:formatCode>0.0</c:formatCode>
                <c:ptCount val="7"/>
                <c:pt idx="0">
                  <c:v>14.979396375249427</c:v>
                </c:pt>
                <c:pt idx="1">
                  <c:v>5.2369172072864245</c:v>
                </c:pt>
                <c:pt idx="2">
                  <c:v>9.5335610296348499</c:v>
                </c:pt>
                <c:pt idx="3">
                  <c:v>17.753887600186697</c:v>
                </c:pt>
                <c:pt idx="4">
                  <c:v>31.669674484313425</c:v>
                </c:pt>
                <c:pt idx="5">
                  <c:v>17.685623752184629</c:v>
                </c:pt>
                <c:pt idx="6">
                  <c:v>11.359011428314735</c:v>
                </c:pt>
              </c:numCache>
            </c:numRef>
          </c:val>
          <c:extLst xmlns:c16r2="http://schemas.microsoft.com/office/drawing/2015/06/chart">
            <c:ext xmlns:c16="http://schemas.microsoft.com/office/drawing/2014/chart" uri="{C3380CC4-5D6E-409C-BE32-E72D297353CC}">
              <c16:uniqueId val="{00000000-2FBC-4E3F-9410-58C445E03569}"/>
            </c:ext>
          </c:extLst>
        </c:ser>
        <c:ser>
          <c:idx val="1"/>
          <c:order val="1"/>
          <c:tx>
            <c:strRef>
              <c:f>Feuil1!$C$1</c:f>
              <c:strCache>
                <c:ptCount val="1"/>
                <c:pt idx="0">
                  <c:v>2023</c:v>
                </c:pt>
              </c:strCache>
            </c:strRef>
          </c:tx>
          <c:spPr>
            <a:solidFill>
              <a:schemeClr val="bg1">
                <a:lumMod val="65000"/>
              </a:schemeClr>
            </a:solidFill>
            <a:ln>
              <a:noFill/>
            </a:ln>
            <a:effectLst/>
          </c:spPr>
          <c:dLbls>
            <c:spPr>
              <a:noFill/>
              <a:ln>
                <a:noFill/>
              </a:ln>
              <a:effectLst/>
            </c:spPr>
            <c:txPr>
              <a:bodyPr rot="0" vert="horz"/>
              <a:lstStyle/>
              <a:p>
                <a:pPr>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Urbain</c:v>
                </c:pt>
                <c:pt idx="1">
                  <c:v>Rural</c:v>
                </c:pt>
                <c:pt idx="2">
                  <c:v>Hommes</c:v>
                </c:pt>
                <c:pt idx="3">
                  <c:v>Femmes</c:v>
                </c:pt>
                <c:pt idx="4">
                  <c:v>15-24 ans</c:v>
                </c:pt>
                <c:pt idx="5">
                  <c:v>Diplômés</c:v>
                </c:pt>
                <c:pt idx="6">
                  <c:v>National</c:v>
                </c:pt>
              </c:strCache>
            </c:strRef>
          </c:cat>
          <c:val>
            <c:numRef>
              <c:f>Feuil1!$C$2:$C$8</c:f>
              <c:numCache>
                <c:formatCode>0.0</c:formatCode>
                <c:ptCount val="7"/>
                <c:pt idx="0">
                  <c:v>17.011142587893492</c:v>
                </c:pt>
                <c:pt idx="1">
                  <c:v>7.0382952932067004</c:v>
                </c:pt>
                <c:pt idx="2">
                  <c:v>11.718327840173211</c:v>
                </c:pt>
                <c:pt idx="3">
                  <c:v>19.763747601193657</c:v>
                </c:pt>
                <c:pt idx="4">
                  <c:v>38.206131869468912</c:v>
                </c:pt>
                <c:pt idx="5">
                  <c:v>19.764584417018831</c:v>
                </c:pt>
                <c:pt idx="6">
                  <c:v>13.456403452494722</c:v>
                </c:pt>
              </c:numCache>
            </c:numRef>
          </c:val>
          <c:extLst xmlns:c16r2="http://schemas.microsoft.com/office/drawing/2015/06/chart">
            <c:ext xmlns:c16="http://schemas.microsoft.com/office/drawing/2014/chart" uri="{C3380CC4-5D6E-409C-BE32-E72D297353CC}">
              <c16:uniqueId val="{00000001-2FBC-4E3F-9410-58C445E03569}"/>
            </c:ext>
          </c:extLst>
        </c:ser>
        <c:dLbls>
          <c:showVal val="1"/>
        </c:dLbls>
        <c:gapWidth val="219"/>
        <c:overlap val="-27"/>
        <c:axId val="105505536"/>
        <c:axId val="105507072"/>
      </c:barChart>
      <c:catAx>
        <c:axId val="105505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105507072"/>
        <c:crosses val="autoZero"/>
        <c:auto val="1"/>
        <c:lblAlgn val="ctr"/>
        <c:lblOffset val="100"/>
      </c:catAx>
      <c:valAx>
        <c:axId val="105507072"/>
        <c:scaling>
          <c:orientation val="minMax"/>
        </c:scaling>
        <c:delete val="1"/>
        <c:axPos val="l"/>
        <c:numFmt formatCode="0.0" sourceLinked="1"/>
        <c:majorTickMark val="none"/>
        <c:tickLblPos val="none"/>
        <c:crossAx val="105505536"/>
        <c:crosses val="autoZero"/>
        <c:crossBetween val="between"/>
      </c:valAx>
      <c:spPr>
        <a:noFill/>
        <a:ln>
          <a:noFill/>
        </a:ln>
        <a:effectLst/>
      </c:spPr>
    </c:plotArea>
    <c:legend>
      <c:legendPos val="b"/>
      <c:spPr>
        <a:noFill/>
        <a:ln>
          <a:noFill/>
        </a:ln>
        <a:effectLst/>
      </c:spPr>
      <c:txPr>
        <a:bodyPr rot="0" vert="horz"/>
        <a:lstStyle/>
        <a:p>
          <a:pPr>
            <a:defRPr/>
          </a:pPr>
          <a:endParaRPr lang="fr-FR"/>
        </a:p>
      </c:txPr>
    </c:legend>
    <c:plotVisOnly val="1"/>
    <c:dispBlanksAs val="gap"/>
  </c:chart>
  <c:spPr>
    <a:solidFill>
      <a:schemeClr val="bg1"/>
    </a:solidFill>
    <a:ln w="9525" cap="flat" cmpd="sng" algn="ctr">
      <a:noFill/>
      <a:round/>
    </a:ln>
    <a:effectLst/>
  </c:spPr>
  <c:txPr>
    <a:bodyPr/>
    <a:lstStyle/>
    <a:p>
      <a:pPr>
        <a:defRPr sz="800" b="1">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Feuil1!$C$5</c:f>
              <c:strCache>
                <c:ptCount val="1"/>
                <c:pt idx="0">
                  <c:v>2022</c:v>
                </c:pt>
              </c:strCache>
            </c:strRef>
          </c:tx>
          <c:spPr>
            <a:solidFill>
              <a:srgbClr val="FFC000"/>
            </a:solidFill>
          </c:spPr>
          <c:dLbls>
            <c:showVal val="1"/>
          </c:dLbls>
          <c:cat>
            <c:strRef>
              <c:f>Feuil1!$B$6:$B$10</c:f>
              <c:strCache>
                <c:ptCount val="5"/>
                <c:pt idx="0">
                  <c:v>Agriculture, forêt et pêche</c:v>
                </c:pt>
                <c:pt idx="1">
                  <c:v>Industrie (y compris artisanat)</c:v>
                </c:pt>
                <c:pt idx="2">
                  <c:v>BTP</c:v>
                </c:pt>
                <c:pt idx="3">
                  <c:v>Services</c:v>
                </c:pt>
                <c:pt idx="4">
                  <c:v>Ensemble</c:v>
                </c:pt>
              </c:strCache>
            </c:strRef>
          </c:cat>
          <c:val>
            <c:numRef>
              <c:f>Feuil1!$C$6:$C$10</c:f>
              <c:numCache>
                <c:formatCode>0.0</c:formatCode>
                <c:ptCount val="5"/>
                <c:pt idx="0">
                  <c:v>10.24454340305503</c:v>
                </c:pt>
                <c:pt idx="1">
                  <c:v>5.5802255386025976</c:v>
                </c:pt>
                <c:pt idx="2">
                  <c:v>15.7816496730634</c:v>
                </c:pt>
                <c:pt idx="3">
                  <c:v>6.4604780473974746</c:v>
                </c:pt>
                <c:pt idx="4">
                  <c:v>8.4754439022413042</c:v>
                </c:pt>
              </c:numCache>
            </c:numRef>
          </c:val>
        </c:ser>
        <c:ser>
          <c:idx val="1"/>
          <c:order val="1"/>
          <c:tx>
            <c:strRef>
              <c:f>Feuil1!$D$5</c:f>
              <c:strCache>
                <c:ptCount val="1"/>
                <c:pt idx="0">
                  <c:v>2023</c:v>
                </c:pt>
              </c:strCache>
            </c:strRef>
          </c:tx>
          <c:spPr>
            <a:solidFill>
              <a:sysClr val="window" lastClr="FFFFFF">
                <a:lumMod val="65000"/>
              </a:sysClr>
            </a:solidFill>
          </c:spPr>
          <c:dLbls>
            <c:showVal val="1"/>
          </c:dLbls>
          <c:cat>
            <c:strRef>
              <c:f>Feuil1!$B$6:$B$10</c:f>
              <c:strCache>
                <c:ptCount val="5"/>
                <c:pt idx="0">
                  <c:v>Agriculture, forêt et pêche</c:v>
                </c:pt>
                <c:pt idx="1">
                  <c:v>Industrie (y compris artisanat)</c:v>
                </c:pt>
                <c:pt idx="2">
                  <c:v>BTP</c:v>
                </c:pt>
                <c:pt idx="3">
                  <c:v>Services</c:v>
                </c:pt>
                <c:pt idx="4">
                  <c:v>Ensemble</c:v>
                </c:pt>
              </c:strCache>
            </c:strRef>
          </c:cat>
          <c:val>
            <c:numRef>
              <c:f>Feuil1!$D$6:$D$10</c:f>
              <c:numCache>
                <c:formatCode>0.0</c:formatCode>
                <c:ptCount val="5"/>
                <c:pt idx="0">
                  <c:v>11.199502102710309</c:v>
                </c:pt>
                <c:pt idx="1">
                  <c:v>7.7112394231386761</c:v>
                </c:pt>
                <c:pt idx="2">
                  <c:v>18.939767072409129</c:v>
                </c:pt>
                <c:pt idx="3">
                  <c:v>7.0944854793319285</c:v>
                </c:pt>
                <c:pt idx="4">
                  <c:v>9.6197610359359427</c:v>
                </c:pt>
              </c:numCache>
            </c:numRef>
          </c:val>
        </c:ser>
        <c:gapWidth val="75"/>
        <c:overlap val="-25"/>
        <c:axId val="105532416"/>
        <c:axId val="105579264"/>
      </c:barChart>
      <c:catAx>
        <c:axId val="105532416"/>
        <c:scaling>
          <c:orientation val="minMax"/>
        </c:scaling>
        <c:axPos val="b"/>
        <c:majorTickMark val="none"/>
        <c:tickLblPos val="nextTo"/>
        <c:crossAx val="105579264"/>
        <c:crosses val="autoZero"/>
        <c:auto val="1"/>
        <c:lblAlgn val="ctr"/>
        <c:lblOffset val="100"/>
      </c:catAx>
      <c:valAx>
        <c:axId val="105579264"/>
        <c:scaling>
          <c:orientation val="minMax"/>
        </c:scaling>
        <c:delete val="1"/>
        <c:axPos val="l"/>
        <c:numFmt formatCode="0.0" sourceLinked="1"/>
        <c:majorTickMark val="none"/>
        <c:tickLblPos val="none"/>
        <c:crossAx val="105532416"/>
        <c:crosses val="autoZero"/>
        <c:crossBetween val="between"/>
      </c:valAx>
    </c:plotArea>
    <c:legend>
      <c:legendPos val="b"/>
    </c:legend>
    <c:plotVisOnly val="1"/>
  </c:chart>
  <c:spPr>
    <a:ln>
      <a:noFill/>
    </a:ln>
  </c:spPr>
  <c:txPr>
    <a:bodyPr/>
    <a:lstStyle/>
    <a:p>
      <a:pPr>
        <a:defRPr sz="800" b="1">
          <a:latin typeface="Times New Roman" pitchFamily="18" charset="0"/>
          <a:cs typeface="Times New Roman"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chemeClr val="bg1">
                <a:lumMod val="65000"/>
              </a:schemeClr>
            </a:solidFill>
          </c:spPr>
          <c:dPt>
            <c:idx val="10"/>
            <c:spPr>
              <a:solidFill>
                <a:srgbClr val="FFC000"/>
              </a:solidFill>
            </c:spPr>
          </c:dPt>
          <c:dLbls>
            <c:showVal val="1"/>
          </c:dLbls>
          <c:cat>
            <c:strRef>
              <c:f>Feuil1!$B$4:$B$14</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Feuil1!$C$4:$C$14</c:f>
              <c:numCache>
                <c:formatCode>0.0</c:formatCode>
                <c:ptCount val="11"/>
                <c:pt idx="0">
                  <c:v>47.04290902145393</c:v>
                </c:pt>
                <c:pt idx="1">
                  <c:v>39.942484977292409</c:v>
                </c:pt>
                <c:pt idx="2">
                  <c:v>41.826734807956818</c:v>
                </c:pt>
                <c:pt idx="3">
                  <c:v>43.613177602406928</c:v>
                </c:pt>
                <c:pt idx="4">
                  <c:v>39.980435600740194</c:v>
                </c:pt>
                <c:pt idx="5">
                  <c:v>45.856748065793077</c:v>
                </c:pt>
                <c:pt idx="6">
                  <c:v>43.775295766661273</c:v>
                </c:pt>
                <c:pt idx="7">
                  <c:v>38.336310687479333</c:v>
                </c:pt>
                <c:pt idx="8">
                  <c:v>39.467923119154314</c:v>
                </c:pt>
                <c:pt idx="9">
                  <c:v>45.62233788528858</c:v>
                </c:pt>
                <c:pt idx="10">
                  <c:v>43.227962997012</c:v>
                </c:pt>
              </c:numCache>
            </c:numRef>
          </c:val>
        </c:ser>
        <c:axId val="105595648"/>
        <c:axId val="105597184"/>
      </c:barChart>
      <c:catAx>
        <c:axId val="105595648"/>
        <c:scaling>
          <c:orientation val="minMax"/>
        </c:scaling>
        <c:axPos val="l"/>
        <c:tickLblPos val="nextTo"/>
        <c:crossAx val="105597184"/>
        <c:crosses val="autoZero"/>
        <c:auto val="1"/>
        <c:lblAlgn val="ctr"/>
        <c:lblOffset val="100"/>
      </c:catAx>
      <c:valAx>
        <c:axId val="105597184"/>
        <c:scaling>
          <c:orientation val="minMax"/>
        </c:scaling>
        <c:delete val="1"/>
        <c:axPos val="b"/>
        <c:numFmt formatCode="0.0" sourceLinked="1"/>
        <c:tickLblPos val="none"/>
        <c:crossAx val="105595648"/>
        <c:crosses val="autoZero"/>
        <c:crossBetween val="between"/>
      </c:valAx>
    </c:plotArea>
    <c:plotVisOnly val="1"/>
  </c:chart>
  <c:spPr>
    <a:ln>
      <a:noFill/>
    </a:ln>
  </c:spPr>
  <c:txPr>
    <a:bodyPr/>
    <a:lstStyle/>
    <a:p>
      <a:pPr>
        <a:defRPr sz="800" b="1">
          <a:latin typeface="Times New Roman" pitchFamily="18" charset="0"/>
          <a:cs typeface="Times New Roman" pitchFamily="18" charset="0"/>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chemeClr val="bg1">
                <a:lumMod val="65000"/>
              </a:schemeClr>
            </a:solidFill>
          </c:spPr>
          <c:dPt>
            <c:idx val="10"/>
            <c:spPr>
              <a:solidFill>
                <a:srgbClr val="FFC000"/>
              </a:solidFill>
            </c:spPr>
          </c:dPt>
          <c:dLbls>
            <c:showVal val="1"/>
          </c:dLbls>
          <c:cat>
            <c:strRef>
              <c:f>Feuil1!$B$19:$B$29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Feuil1!$C$19:$C$29</c:f>
              <c:numCache>
                <c:formatCode>0.0</c:formatCode>
                <c:ptCount val="11"/>
                <c:pt idx="0">
                  <c:v>9.3677604658166054</c:v>
                </c:pt>
                <c:pt idx="1">
                  <c:v>20.320650704633685</c:v>
                </c:pt>
                <c:pt idx="2">
                  <c:v>14.94995325438167</c:v>
                </c:pt>
                <c:pt idx="3">
                  <c:v>11.45577878278637</c:v>
                </c:pt>
                <c:pt idx="4">
                  <c:v>13.290547337116552</c:v>
                </c:pt>
                <c:pt idx="5">
                  <c:v>15.02558136764277</c:v>
                </c:pt>
                <c:pt idx="6">
                  <c:v>8.3233592080431222</c:v>
                </c:pt>
                <c:pt idx="7">
                  <c:v>15.167385158271971</c:v>
                </c:pt>
                <c:pt idx="8">
                  <c:v>14.628705071092753</c:v>
                </c:pt>
                <c:pt idx="9">
                  <c:v>23.452149079841895</c:v>
                </c:pt>
                <c:pt idx="10">
                  <c:v>13.456403452494722</c:v>
                </c:pt>
              </c:numCache>
            </c:numRef>
          </c:val>
        </c:ser>
        <c:axId val="105633664"/>
        <c:axId val="105635200"/>
      </c:barChart>
      <c:catAx>
        <c:axId val="105633664"/>
        <c:scaling>
          <c:orientation val="minMax"/>
        </c:scaling>
        <c:axPos val="l"/>
        <c:tickLblPos val="nextTo"/>
        <c:crossAx val="105635200"/>
        <c:crosses val="autoZero"/>
        <c:auto val="1"/>
        <c:lblAlgn val="ctr"/>
        <c:lblOffset val="100"/>
      </c:catAx>
      <c:valAx>
        <c:axId val="105635200"/>
        <c:scaling>
          <c:orientation val="minMax"/>
        </c:scaling>
        <c:delete val="1"/>
        <c:axPos val="b"/>
        <c:numFmt formatCode="0.0" sourceLinked="1"/>
        <c:tickLblPos val="none"/>
        <c:crossAx val="105633664"/>
        <c:crosses val="autoZero"/>
        <c:crossBetween val="between"/>
      </c:valAx>
    </c:plotArea>
    <c:plotVisOnly val="1"/>
  </c:chart>
  <c:spPr>
    <a:noFill/>
    <a:ln>
      <a:noFill/>
    </a:ln>
  </c:spPr>
  <c:txPr>
    <a:bodyPr/>
    <a:lstStyle/>
    <a:p>
      <a:pPr>
        <a:defRPr sz="800" b="1">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027-A83F-4C8C-B240-F3E3BCE4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2027</Words>
  <Characters>11150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HCP</cp:lastModifiedBy>
  <cp:revision>10</cp:revision>
  <cp:lastPrinted>2023-11-01T10:33:00Z</cp:lastPrinted>
  <dcterms:created xsi:type="dcterms:W3CDTF">2023-11-02T12:21:00Z</dcterms:created>
  <dcterms:modified xsi:type="dcterms:W3CDTF">2023-11-02T15:30:00Z</dcterms:modified>
</cp:coreProperties>
</file>