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EC7399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9.3pt;margin-top:-32.1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63724074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FB1ADD" w:rsidRPr="00836E3C" w:rsidRDefault="00FB1ADD" w:rsidP="006A58AC">
      <w:pPr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331B3E" w:rsidRPr="00836E3C" w:rsidRDefault="00331B3E" w:rsidP="006A58AC">
      <w:pPr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AD3966" w:rsidRPr="00836E3C" w:rsidRDefault="00AD3966" w:rsidP="006A58AC">
      <w:pPr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6A58AC" w:rsidRPr="00694C90" w:rsidRDefault="00BD0B07" w:rsidP="006A58AC">
      <w:pPr>
        <w:jc w:val="center"/>
        <w:rPr>
          <w:rFonts w:ascii="Book Antiqua" w:hAnsi="Book Antiqua"/>
          <w:b/>
          <w:color w:val="943634" w:themeColor="accent2" w:themeShade="BF"/>
          <w:sz w:val="36"/>
          <w:szCs w:val="36"/>
        </w:rPr>
      </w:pPr>
      <w:r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 xml:space="preserve">Note d’information relative </w:t>
      </w:r>
      <w:r w:rsidR="00462684"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>aux comptes nationaux</w:t>
      </w:r>
      <w:r w:rsidR="00957E66"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 xml:space="preserve"> </w:t>
      </w:r>
    </w:p>
    <w:p w:rsidR="00BD0B07" w:rsidRPr="00694C90" w:rsidRDefault="00957E66" w:rsidP="0071381B">
      <w:pPr>
        <w:jc w:val="center"/>
        <w:rPr>
          <w:rFonts w:ascii="Book Antiqua" w:hAnsi="Book Antiqua"/>
          <w:b/>
          <w:color w:val="943634" w:themeColor="accent2" w:themeShade="BF"/>
          <w:sz w:val="36"/>
          <w:szCs w:val="36"/>
        </w:rPr>
      </w:pPr>
      <w:r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>des secteurs institutionnels</w:t>
      </w:r>
      <w:r w:rsidR="00F76C50"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 xml:space="preserve"> de l’année 20</w:t>
      </w:r>
      <w:r w:rsidR="00462684"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>2</w:t>
      </w:r>
      <w:r w:rsidR="00D0388E" w:rsidRPr="00694C90">
        <w:rPr>
          <w:rFonts w:ascii="Book Antiqua" w:hAnsi="Book Antiqua"/>
          <w:b/>
          <w:color w:val="943634" w:themeColor="accent2" w:themeShade="BF"/>
          <w:sz w:val="36"/>
          <w:szCs w:val="36"/>
        </w:rPr>
        <w:t>2</w:t>
      </w:r>
    </w:p>
    <w:p w:rsidR="006F09B1" w:rsidRPr="00836E3C" w:rsidRDefault="006F09B1" w:rsidP="0071381B">
      <w:pPr>
        <w:jc w:val="center"/>
        <w:rPr>
          <w:rFonts w:ascii="Book Antiqua" w:hAnsi="Book Antiqua"/>
          <w:b/>
          <w:color w:val="943634" w:themeColor="accent2" w:themeShade="BF"/>
          <w:sz w:val="32"/>
          <w:szCs w:val="32"/>
        </w:rPr>
      </w:pPr>
    </w:p>
    <w:p w:rsidR="006A576F" w:rsidRDefault="006A576F" w:rsidP="00EF07B7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</w:rPr>
      </w:pPr>
    </w:p>
    <w:p w:rsidR="00740EB8" w:rsidRDefault="00740EB8" w:rsidP="0064366C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6A576F" w:rsidRPr="00315F80" w:rsidRDefault="006A576F" w:rsidP="0071381B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L’arrêté des comptes</w:t>
      </w:r>
      <w:r w:rsidRPr="00315F80">
        <w:rPr>
          <w:rFonts w:ascii="Book Antiqua" w:hAnsi="Book Antiqua" w:cs="Arial" w:hint="cs"/>
          <w:b/>
          <w:bCs/>
          <w:sz w:val="22"/>
          <w:szCs w:val="22"/>
          <w:rtl/>
        </w:rPr>
        <w:t xml:space="preserve"> </w:t>
      </w:r>
      <w:r w:rsidRPr="00315F80">
        <w:rPr>
          <w:rFonts w:ascii="Book Antiqua" w:hAnsi="Book Antiqua" w:cs="Arial"/>
          <w:b/>
          <w:bCs/>
          <w:sz w:val="22"/>
          <w:szCs w:val="22"/>
        </w:rPr>
        <w:t>nationaux des secteurs institutionnels de l’année 20</w:t>
      </w:r>
      <w:r w:rsidR="00462684">
        <w:rPr>
          <w:rFonts w:ascii="Book Antiqua" w:hAnsi="Book Antiqua" w:cs="Arial"/>
          <w:b/>
          <w:bCs/>
          <w:sz w:val="22"/>
          <w:szCs w:val="22"/>
        </w:rPr>
        <w:t>2</w:t>
      </w:r>
      <w:r w:rsidR="00D0388E">
        <w:rPr>
          <w:rFonts w:ascii="Book Antiqua" w:hAnsi="Book Antiqua" w:cs="Arial"/>
          <w:b/>
          <w:bCs/>
          <w:sz w:val="22"/>
          <w:szCs w:val="22"/>
        </w:rPr>
        <w:t>2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qui </w:t>
      </w:r>
      <w:r w:rsidRPr="00B86C16">
        <w:rPr>
          <w:rFonts w:ascii="Book Antiqua" w:hAnsi="Book Antiqua" w:cs="Arial"/>
          <w:b/>
          <w:bCs/>
          <w:sz w:val="22"/>
          <w:szCs w:val="22"/>
        </w:rPr>
        <w:t xml:space="preserve">représentent la séquence complète des comptes non financiers et </w:t>
      </w:r>
      <w:r w:rsidR="00F16339" w:rsidRPr="00B86C16">
        <w:rPr>
          <w:rFonts w:ascii="Book Antiqua" w:hAnsi="Book Antiqua" w:cs="Arial"/>
          <w:b/>
          <w:bCs/>
          <w:sz w:val="22"/>
          <w:szCs w:val="22"/>
        </w:rPr>
        <w:t>financiers,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montre que :</w:t>
      </w:r>
    </w:p>
    <w:p w:rsidR="0035366D" w:rsidRPr="00315F80" w:rsidRDefault="0035366D" w:rsidP="00EF4F8B">
      <w:pPr>
        <w:pStyle w:val="Paragraphedeliste"/>
        <w:numPr>
          <w:ilvl w:val="0"/>
          <w:numId w:val="34"/>
        </w:numPr>
        <w:spacing w:before="120"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Le produit intérieur brut (PIB), aux prix courants, a affiché une valeur de 1</w:t>
      </w:r>
      <w:r w:rsidR="00D0388E">
        <w:rPr>
          <w:rFonts w:ascii="Book Antiqua" w:hAnsi="Book Antiqua" w:cs="Arial"/>
          <w:b/>
          <w:bCs/>
          <w:sz w:val="22"/>
          <w:szCs w:val="22"/>
        </w:rPr>
        <w:t>330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71381B">
        <w:rPr>
          <w:rFonts w:ascii="Book Antiqua" w:hAnsi="Book Antiqua" w:cs="Arial"/>
          <w:b/>
          <w:bCs/>
          <w:sz w:val="22"/>
          <w:szCs w:val="22"/>
        </w:rPr>
        <w:t>2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milliards de DH en 20</w:t>
      </w:r>
      <w:r w:rsidR="006B0601">
        <w:rPr>
          <w:rFonts w:ascii="Book Antiqua" w:hAnsi="Book Antiqua" w:cs="Arial"/>
          <w:b/>
          <w:bCs/>
          <w:sz w:val="22"/>
          <w:szCs w:val="22"/>
        </w:rPr>
        <w:t>2</w:t>
      </w:r>
      <w:r w:rsidR="00D0388E">
        <w:rPr>
          <w:rFonts w:ascii="Book Antiqua" w:hAnsi="Book Antiqua" w:cs="Arial"/>
          <w:b/>
          <w:bCs/>
          <w:sz w:val="22"/>
          <w:szCs w:val="22"/>
        </w:rPr>
        <w:t>2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, en </w:t>
      </w:r>
      <w:r w:rsidR="00697E9F">
        <w:rPr>
          <w:rFonts w:ascii="Book Antiqua" w:hAnsi="Book Antiqua" w:cs="Arial"/>
          <w:b/>
          <w:bCs/>
          <w:sz w:val="22"/>
          <w:szCs w:val="22"/>
        </w:rPr>
        <w:t>hausse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</w:t>
      </w:r>
      <w:r w:rsidR="00D0388E">
        <w:rPr>
          <w:rFonts w:ascii="Book Antiqua" w:hAnsi="Book Antiqua" w:cs="Arial"/>
          <w:b/>
          <w:bCs/>
          <w:sz w:val="22"/>
          <w:szCs w:val="22"/>
        </w:rPr>
        <w:t>4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684209">
        <w:rPr>
          <w:rFonts w:ascii="Book Antiqua" w:hAnsi="Book Antiqua" w:cs="Arial"/>
          <w:b/>
          <w:bCs/>
          <w:sz w:val="22"/>
          <w:szCs w:val="22"/>
        </w:rPr>
        <w:t>4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par rapport à </w:t>
      </w:r>
      <w:r w:rsidR="00697E9F">
        <w:rPr>
          <w:rFonts w:ascii="Book Antiqua" w:hAnsi="Book Antiqua" w:cs="Arial"/>
          <w:b/>
          <w:bCs/>
          <w:sz w:val="22"/>
          <w:szCs w:val="22"/>
        </w:rPr>
        <w:t>l’année précédente</w:t>
      </w:r>
      <w:r w:rsidR="0085098E">
        <w:rPr>
          <w:rFonts w:ascii="Book Antiqua" w:hAnsi="Book Antiqua" w:cs="Arial"/>
          <w:b/>
          <w:bCs/>
          <w:sz w:val="22"/>
          <w:szCs w:val="22"/>
        </w:rPr>
        <w:t> ;</w:t>
      </w:r>
    </w:p>
    <w:p w:rsidR="00EA11E0" w:rsidRDefault="00B86C16" w:rsidP="0071381B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Les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sociétés financières et non financières 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="004B2FC8" w:rsidRPr="00315F80">
        <w:rPr>
          <w:rFonts w:ascii="Book Antiqua" w:hAnsi="Book Antiqua" w:cs="Arial"/>
          <w:b/>
          <w:bCs/>
          <w:sz w:val="22"/>
          <w:szCs w:val="22"/>
        </w:rPr>
        <w:t>créé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4</w:t>
      </w:r>
      <w:r w:rsidR="00731DC0">
        <w:rPr>
          <w:rFonts w:ascii="Book Antiqua" w:hAnsi="Book Antiqua" w:cs="Arial"/>
          <w:b/>
          <w:bCs/>
          <w:sz w:val="22"/>
          <w:szCs w:val="22"/>
        </w:rPr>
        <w:t>5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784F87">
        <w:rPr>
          <w:rFonts w:ascii="Book Antiqua" w:hAnsi="Book Antiqua" w:cs="Arial"/>
          <w:b/>
          <w:bCs/>
          <w:sz w:val="22"/>
          <w:szCs w:val="22"/>
        </w:rPr>
        <w:t>3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>é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de 1</w:t>
      </w:r>
      <w:r w:rsidR="0071381B">
        <w:rPr>
          <w:rFonts w:ascii="Book Antiqua" w:hAnsi="Book Antiqua" w:cs="Arial"/>
          <w:b/>
          <w:bCs/>
          <w:sz w:val="22"/>
          <w:szCs w:val="22"/>
        </w:rPr>
        <w:t>5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784F87">
        <w:rPr>
          <w:rFonts w:ascii="Book Antiqua" w:hAnsi="Book Antiqua" w:cs="Arial"/>
          <w:b/>
          <w:bCs/>
          <w:sz w:val="22"/>
          <w:szCs w:val="22"/>
        </w:rPr>
        <w:t>4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% du revenu national brut disponible. Elles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 xml:space="preserve"> ont contribué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pour </w:t>
      </w:r>
      <w:r w:rsidR="00784F87">
        <w:rPr>
          <w:rFonts w:ascii="Book Antiqua" w:hAnsi="Book Antiqua" w:cs="Arial"/>
          <w:b/>
          <w:bCs/>
          <w:sz w:val="22"/>
          <w:szCs w:val="22"/>
        </w:rPr>
        <w:t>60,</w:t>
      </w:r>
      <w:r w:rsidR="00684209">
        <w:rPr>
          <w:rFonts w:ascii="Book Antiqua" w:hAnsi="Book Antiqua" w:cs="Arial"/>
          <w:b/>
          <w:bCs/>
          <w:sz w:val="22"/>
          <w:szCs w:val="22"/>
        </w:rPr>
        <w:t>8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% à l’épargne nationale et pour 5</w:t>
      </w:r>
      <w:r w:rsidR="004B2FC8">
        <w:rPr>
          <w:rFonts w:ascii="Book Antiqua" w:hAnsi="Book Antiqua" w:cs="Arial"/>
          <w:b/>
          <w:bCs/>
          <w:sz w:val="22"/>
          <w:szCs w:val="22"/>
        </w:rPr>
        <w:t>8</w:t>
      </w:r>
      <w:r w:rsidR="00784F87">
        <w:rPr>
          <w:rFonts w:ascii="Book Antiqua" w:hAnsi="Book Antiqua" w:cs="Arial"/>
          <w:b/>
          <w:bCs/>
          <w:sz w:val="22"/>
          <w:szCs w:val="22"/>
        </w:rPr>
        <w:t>,</w:t>
      </w:r>
      <w:r w:rsidR="000123FA">
        <w:rPr>
          <w:rFonts w:ascii="Book Antiqua" w:hAnsi="Book Antiqua" w:cs="Arial"/>
          <w:b/>
          <w:bCs/>
          <w:sz w:val="22"/>
          <w:szCs w:val="22"/>
        </w:rPr>
        <w:t>5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% à l’investissement (formation brute du capital fixe</w:t>
      </w:r>
      <w:r w:rsidRPr="00315F80">
        <w:rPr>
          <w:rFonts w:ascii="Book Antiqua" w:hAnsi="Book Antiqua" w:cs="Arial"/>
          <w:b/>
          <w:bCs/>
          <w:sz w:val="22"/>
          <w:szCs w:val="22"/>
        </w:rPr>
        <w:t>) ;</w:t>
      </w:r>
    </w:p>
    <w:p w:rsidR="004B2FC8" w:rsidRPr="00315F80" w:rsidRDefault="00B86C16" w:rsidP="0071381B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Le</w:t>
      </w:r>
      <w:r w:rsidR="004B2FC8">
        <w:rPr>
          <w:rFonts w:ascii="Book Antiqua" w:hAnsi="Book Antiqua" w:cs="Arial"/>
          <w:b/>
          <w:bCs/>
          <w:sz w:val="22"/>
          <w:szCs w:val="22"/>
        </w:rPr>
        <w:t xml:space="preserve"> secteur des Administrations publiques a créé </w:t>
      </w:r>
      <w:r w:rsidR="00784F87">
        <w:rPr>
          <w:rFonts w:ascii="Book Antiqua" w:hAnsi="Book Antiqua" w:cs="Arial"/>
          <w:b/>
          <w:bCs/>
          <w:sz w:val="22"/>
          <w:szCs w:val="22"/>
        </w:rPr>
        <w:t>16,1</w:t>
      </w:r>
      <w:r w:rsidR="004B2FC8">
        <w:rPr>
          <w:rFonts w:ascii="Book Antiqua" w:hAnsi="Book Antiqua" w:cs="Arial"/>
          <w:b/>
          <w:bCs/>
          <w:sz w:val="22"/>
          <w:szCs w:val="22"/>
        </w:rPr>
        <w:t>% d</w:t>
      </w:r>
      <w:r w:rsidR="00F67075">
        <w:rPr>
          <w:rFonts w:ascii="Book Antiqua" w:hAnsi="Book Antiqua" w:cs="Arial"/>
          <w:b/>
          <w:bCs/>
          <w:sz w:val="22"/>
          <w:szCs w:val="22"/>
        </w:rPr>
        <w:t xml:space="preserve">u </w:t>
      </w:r>
      <w:r>
        <w:rPr>
          <w:rFonts w:ascii="Book Antiqua" w:hAnsi="Book Antiqua" w:cs="Arial"/>
          <w:b/>
          <w:bCs/>
          <w:sz w:val="22"/>
          <w:szCs w:val="22"/>
        </w:rPr>
        <w:t xml:space="preserve">PIB, </w:t>
      </w:r>
      <w:r w:rsidR="00784F87">
        <w:rPr>
          <w:rFonts w:ascii="Book Antiqua" w:hAnsi="Book Antiqua" w:cs="Arial"/>
          <w:b/>
          <w:bCs/>
          <w:sz w:val="22"/>
          <w:szCs w:val="22"/>
        </w:rPr>
        <w:t>20,2</w:t>
      </w:r>
      <w:r w:rsidR="00F67075">
        <w:rPr>
          <w:rFonts w:ascii="Book Antiqua" w:hAnsi="Book Antiqua" w:cs="Arial"/>
          <w:b/>
          <w:bCs/>
          <w:sz w:val="22"/>
          <w:szCs w:val="22"/>
        </w:rPr>
        <w:t>% du revenu national brut et sa</w:t>
      </w:r>
      <w:r w:rsidR="001D5458">
        <w:rPr>
          <w:rFonts w:ascii="Book Antiqua" w:hAnsi="Book Antiqua" w:cs="Arial"/>
          <w:b/>
          <w:bCs/>
          <w:sz w:val="22"/>
          <w:szCs w:val="22"/>
        </w:rPr>
        <w:t xml:space="preserve"> part dans la FBCF nationale était</w:t>
      </w:r>
      <w:r w:rsidR="00F67075">
        <w:rPr>
          <w:rFonts w:ascii="Book Antiqua" w:hAnsi="Book Antiqua" w:cs="Arial"/>
          <w:b/>
          <w:bCs/>
          <w:sz w:val="22"/>
          <w:szCs w:val="22"/>
        </w:rPr>
        <w:t xml:space="preserve"> de 1</w:t>
      </w:r>
      <w:r w:rsidR="00784F87">
        <w:rPr>
          <w:rFonts w:ascii="Book Antiqua" w:hAnsi="Book Antiqua" w:cs="Arial"/>
          <w:b/>
          <w:bCs/>
          <w:sz w:val="22"/>
          <w:szCs w:val="22"/>
        </w:rPr>
        <w:t>3</w:t>
      </w:r>
      <w:r w:rsidR="00F67075">
        <w:rPr>
          <w:rFonts w:ascii="Book Antiqua" w:hAnsi="Book Antiqua" w:cs="Arial"/>
          <w:b/>
          <w:bCs/>
          <w:sz w:val="22"/>
          <w:szCs w:val="22"/>
        </w:rPr>
        <w:t>,</w:t>
      </w:r>
      <w:r w:rsidR="00784F87">
        <w:rPr>
          <w:rFonts w:ascii="Book Antiqua" w:hAnsi="Book Antiqua" w:cs="Arial"/>
          <w:b/>
          <w:bCs/>
          <w:sz w:val="22"/>
          <w:szCs w:val="22"/>
        </w:rPr>
        <w:t>6</w:t>
      </w:r>
      <w:r w:rsidR="00F67075">
        <w:rPr>
          <w:rFonts w:ascii="Book Antiqua" w:hAnsi="Book Antiqua" w:cs="Arial"/>
          <w:b/>
          <w:bCs/>
          <w:sz w:val="22"/>
          <w:szCs w:val="22"/>
        </w:rPr>
        <w:t>%.</w:t>
      </w:r>
      <w:r w:rsidR="004B2FC8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:rsidR="00AD3966" w:rsidRPr="00315F80" w:rsidRDefault="00B86C16" w:rsidP="00A532FC">
      <w:pPr>
        <w:numPr>
          <w:ilvl w:val="0"/>
          <w:numId w:val="34"/>
        </w:numPr>
        <w:spacing w:before="120" w:after="120" w:line="400" w:lineRule="exact"/>
        <w:ind w:left="426" w:hanging="283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Les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ménages et les institutions sans but lucratif au service des ménages (ISBLSM) </w:t>
      </w:r>
      <w:r w:rsidR="00390865" w:rsidRPr="00315F80">
        <w:rPr>
          <w:rFonts w:ascii="Book Antiqua" w:hAnsi="Book Antiqua" w:cs="Arial"/>
          <w:b/>
          <w:bCs/>
          <w:sz w:val="22"/>
          <w:szCs w:val="22"/>
        </w:rPr>
        <w:t>ont produit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84F87">
        <w:rPr>
          <w:rFonts w:ascii="Book Antiqua" w:hAnsi="Book Antiqua" w:cs="Arial"/>
          <w:b/>
          <w:bCs/>
          <w:sz w:val="22"/>
          <w:szCs w:val="22"/>
        </w:rPr>
        <w:t>28,9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é </w:t>
      </w:r>
      <w:r w:rsidRPr="00315F80">
        <w:rPr>
          <w:rFonts w:ascii="Book Antiqua" w:hAnsi="Book Antiqua" w:cs="Arial"/>
          <w:b/>
          <w:bCs/>
          <w:sz w:val="22"/>
          <w:szCs w:val="22"/>
        </w:rPr>
        <w:t>de 64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784F87">
        <w:rPr>
          <w:rFonts w:ascii="Book Antiqua" w:hAnsi="Book Antiqua" w:cs="Arial"/>
          <w:b/>
          <w:bCs/>
          <w:sz w:val="22"/>
          <w:szCs w:val="22"/>
        </w:rPr>
        <w:t>5</w:t>
      </w:r>
      <w:r w:rsidR="00EA11E0" w:rsidRPr="00315F80">
        <w:rPr>
          <w:rFonts w:ascii="Book Antiqua" w:hAnsi="Book Antiqua" w:cs="Arial"/>
          <w:b/>
          <w:bCs/>
          <w:sz w:val="22"/>
          <w:szCs w:val="22"/>
        </w:rPr>
        <w:t>% du r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evenu national brut disponible. Ils ont participé </w:t>
      </w:r>
      <w:r w:rsidR="004A4B95">
        <w:rPr>
          <w:rFonts w:ascii="Book Antiqua" w:hAnsi="Book Antiqua" w:cs="Arial"/>
          <w:b/>
          <w:bCs/>
          <w:sz w:val="22"/>
          <w:szCs w:val="22"/>
        </w:rPr>
        <w:t xml:space="preserve">à la création de </w:t>
      </w:r>
      <w:r w:rsidR="00784F87">
        <w:rPr>
          <w:rFonts w:ascii="Book Antiqua" w:hAnsi="Book Antiqua" w:cs="Arial"/>
          <w:b/>
          <w:bCs/>
          <w:sz w:val="22"/>
          <w:szCs w:val="22"/>
        </w:rPr>
        <w:t>29,7</w:t>
      </w:r>
      <w:r w:rsidR="004A4B95">
        <w:rPr>
          <w:rFonts w:ascii="Book Antiqua" w:hAnsi="Book Antiqua" w:cs="Arial"/>
          <w:b/>
          <w:bCs/>
          <w:sz w:val="22"/>
          <w:szCs w:val="22"/>
        </w:rPr>
        <w:t>% de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 l’épargne nationale et </w:t>
      </w:r>
      <w:r w:rsidR="004A4B95">
        <w:rPr>
          <w:rFonts w:ascii="Book Antiqua" w:hAnsi="Book Antiqua" w:cs="Arial"/>
          <w:b/>
          <w:bCs/>
          <w:sz w:val="22"/>
          <w:szCs w:val="22"/>
        </w:rPr>
        <w:t xml:space="preserve">de </w:t>
      </w:r>
      <w:r w:rsidR="00784F87">
        <w:rPr>
          <w:rFonts w:ascii="Book Antiqua" w:hAnsi="Book Antiqua" w:cs="Arial"/>
          <w:b/>
          <w:bCs/>
          <w:sz w:val="22"/>
          <w:szCs w:val="22"/>
        </w:rPr>
        <w:t>2</w:t>
      </w:r>
      <w:r w:rsidR="00684209">
        <w:rPr>
          <w:rFonts w:ascii="Book Antiqua" w:hAnsi="Book Antiqua" w:cs="Arial"/>
          <w:b/>
          <w:bCs/>
          <w:sz w:val="22"/>
          <w:szCs w:val="22"/>
        </w:rPr>
        <w:t>7</w:t>
      </w:r>
      <w:r w:rsidR="00784F87">
        <w:rPr>
          <w:rFonts w:ascii="Book Antiqua" w:hAnsi="Book Antiqua" w:cs="Arial"/>
          <w:b/>
          <w:bCs/>
          <w:sz w:val="22"/>
          <w:szCs w:val="22"/>
        </w:rPr>
        <w:t>,</w:t>
      </w:r>
      <w:r w:rsidR="00684209">
        <w:rPr>
          <w:rFonts w:ascii="Book Antiqua" w:hAnsi="Book Antiqua" w:cs="Arial"/>
          <w:b/>
          <w:bCs/>
          <w:sz w:val="22"/>
          <w:szCs w:val="22"/>
        </w:rPr>
        <w:t>9</w:t>
      </w:r>
      <w:r w:rsidR="004A4B95">
        <w:rPr>
          <w:rFonts w:ascii="Book Antiqua" w:hAnsi="Book Antiqua" w:cs="Arial"/>
          <w:b/>
          <w:bCs/>
          <w:sz w:val="22"/>
          <w:szCs w:val="22"/>
        </w:rPr>
        <w:t>% de</w:t>
      </w:r>
      <w:r w:rsidR="0085098E">
        <w:rPr>
          <w:rFonts w:ascii="Book Antiqua" w:hAnsi="Book Antiqua" w:cs="Arial"/>
          <w:b/>
          <w:bCs/>
          <w:sz w:val="22"/>
          <w:szCs w:val="22"/>
        </w:rPr>
        <w:t xml:space="preserve"> l’investissement ;</w:t>
      </w:r>
    </w:p>
    <w:p w:rsidR="00B83A7F" w:rsidRPr="00B86C16" w:rsidRDefault="00B83A7F" w:rsidP="00C23A91">
      <w:pPr>
        <w:numPr>
          <w:ilvl w:val="0"/>
          <w:numId w:val="34"/>
        </w:numPr>
        <w:spacing w:before="120" w:after="24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 pouvoir d’achat </w:t>
      </w:r>
      <w:r>
        <w:rPr>
          <w:rFonts w:ascii="Book Antiqua" w:hAnsi="Book Antiqua" w:cs="Arial"/>
          <w:b/>
          <w:bCs/>
          <w:sz w:val="22"/>
          <w:szCs w:val="22"/>
        </w:rPr>
        <w:t>a marqué une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  <w:r>
        <w:rPr>
          <w:rFonts w:ascii="Book Antiqua" w:hAnsi="Book Antiqua" w:cs="Arial"/>
          <w:b/>
          <w:bCs/>
          <w:sz w:val="22"/>
          <w:szCs w:val="22"/>
        </w:rPr>
        <w:t>baisse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2,</w:t>
      </w:r>
      <w:r w:rsidR="00C23A91">
        <w:rPr>
          <w:rFonts w:ascii="Book Antiqua" w:hAnsi="Book Antiqua" w:cs="Arial"/>
          <w:b/>
          <w:bCs/>
          <w:sz w:val="22"/>
          <w:szCs w:val="22"/>
        </w:rPr>
        <w:t>5</w:t>
      </w:r>
      <w:r w:rsidRPr="00315F80">
        <w:rPr>
          <w:rFonts w:ascii="Book Antiqua" w:hAnsi="Book Antiqua" w:cs="Arial"/>
          <w:b/>
          <w:bCs/>
          <w:sz w:val="22"/>
          <w:szCs w:val="22"/>
        </w:rPr>
        <w:t>% dans un contexte de</w:t>
      </w:r>
      <w:r>
        <w:rPr>
          <w:rFonts w:ascii="Book Antiqua" w:hAnsi="Book Antiqua" w:cs="Arial"/>
          <w:b/>
          <w:bCs/>
          <w:sz w:val="22"/>
          <w:szCs w:val="22"/>
        </w:rPr>
        <w:t xml:space="preserve"> forte inflation.</w:t>
      </w:r>
    </w:p>
    <w:p w:rsidR="00740EB8" w:rsidRPr="000F7C4D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C56697" w:rsidRDefault="00C56697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85098E">
      <w:pPr>
        <w:autoSpaceDE w:val="0"/>
        <w:autoSpaceDN w:val="0"/>
        <w:adjustRightInd w:val="0"/>
        <w:spacing w:before="120" w:after="24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Contribution des secteurs institutionnels au PIB et au RNB</w:t>
      </w:r>
      <w:r w:rsidR="00EE2CC3" w:rsidRPr="00315F80">
        <w:rPr>
          <w:rFonts w:ascii="Book Antiqua" w:hAnsi="Book Antiqua" w:cs="Arial"/>
          <w:b/>
          <w:bCs/>
          <w:i/>
          <w:iCs/>
          <w:color w:val="FF0000"/>
        </w:rPr>
        <w:t>D</w:t>
      </w: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    </w:t>
      </w:r>
    </w:p>
    <w:p w:rsidR="00AD3966" w:rsidRPr="00AD3966" w:rsidRDefault="00AD3966" w:rsidP="0065256E">
      <w:pPr>
        <w:pStyle w:val="Retraitcorpsdetexte"/>
        <w:spacing w:after="0" w:line="360" w:lineRule="auto"/>
        <w:ind w:left="0" w:right="226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L’économie nationale a enregistré un produit inté</w:t>
      </w:r>
      <w:r w:rsidR="008A57C8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rieur brut (PIB) en valeur de </w:t>
      </w:r>
      <w:r w:rsidR="00F67075" w:rsidRPr="00315F80">
        <w:rPr>
          <w:rFonts w:ascii="Book Antiqua" w:hAnsi="Book Antiqua" w:cs="Arial"/>
          <w:b w:val="0"/>
          <w:bCs w:val="0"/>
          <w:sz w:val="22"/>
          <w:szCs w:val="22"/>
        </w:rPr>
        <w:t>1</w:t>
      </w:r>
      <w:r w:rsidR="00784F87">
        <w:rPr>
          <w:rFonts w:ascii="Book Antiqua" w:hAnsi="Book Antiqua" w:cs="Arial"/>
          <w:b w:val="0"/>
          <w:bCs w:val="0"/>
          <w:sz w:val="22"/>
          <w:szCs w:val="22"/>
        </w:rPr>
        <w:t>330</w:t>
      </w:r>
      <w:r w:rsidR="00F67075" w:rsidRPr="00315F80">
        <w:rPr>
          <w:rFonts w:ascii="Book Antiqua" w:hAnsi="Book Antiqua" w:cs="Arial"/>
          <w:b w:val="0"/>
          <w:bCs w:val="0"/>
          <w:sz w:val="22"/>
          <w:szCs w:val="22"/>
        </w:rPr>
        <w:t>,</w:t>
      </w:r>
      <w:r w:rsidR="00B86C16">
        <w:rPr>
          <w:rFonts w:ascii="Book Antiqua" w:hAnsi="Book Antiqua" w:cs="Arial"/>
          <w:b w:val="0"/>
          <w:bCs w:val="0"/>
          <w:sz w:val="22"/>
          <w:szCs w:val="22"/>
        </w:rPr>
        <w:t>2</w:t>
      </w:r>
      <w:r w:rsidR="00B86C16" w:rsidRPr="00315F80">
        <w:rPr>
          <w:rFonts w:ascii="Book Antiqua" w:hAnsi="Book Antiqua" w:cs="Arial"/>
          <w:b w:val="0"/>
          <w:bCs w:val="0"/>
          <w:sz w:val="22"/>
          <w:szCs w:val="22"/>
        </w:rPr>
        <w:t xml:space="preserve"> </w:t>
      </w:r>
      <w:r w:rsidR="00B86C16"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milliards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de DH en 20</w:t>
      </w:r>
      <w:r w:rsidR="00F67075">
        <w:rPr>
          <w:rFonts w:ascii="Book Antiqua" w:eastAsia="Calibri" w:hAnsi="Book Antiqua" w:cs="Calibri"/>
          <w:b w:val="0"/>
          <w:bCs w:val="0"/>
          <w:sz w:val="22"/>
          <w:szCs w:val="22"/>
        </w:rPr>
        <w:t>2</w:t>
      </w:r>
      <w:r w:rsidR="00784F87">
        <w:rPr>
          <w:rFonts w:ascii="Book Antiqua" w:eastAsia="Calibri" w:hAnsi="Book Antiqua" w:cs="Calibri"/>
          <w:b w:val="0"/>
          <w:bCs w:val="0"/>
          <w:sz w:val="22"/>
          <w:szCs w:val="22"/>
        </w:rPr>
        <w:t>2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, en augmentation de </w:t>
      </w:r>
      <w:r w:rsidR="00784F87">
        <w:rPr>
          <w:rFonts w:ascii="Book Antiqua" w:eastAsia="Calibri" w:hAnsi="Book Antiqua" w:cs="Calibri"/>
          <w:b w:val="0"/>
          <w:bCs w:val="0"/>
          <w:sz w:val="22"/>
          <w:szCs w:val="22"/>
        </w:rPr>
        <w:t>4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,</w:t>
      </w:r>
      <w:r w:rsidR="007159D7">
        <w:rPr>
          <w:rFonts w:ascii="Book Antiqua" w:eastAsia="Calibri" w:hAnsi="Book Antiqua" w:cs="Calibri"/>
          <w:b w:val="0"/>
          <w:bCs w:val="0"/>
          <w:sz w:val="22"/>
          <w:szCs w:val="22"/>
        </w:rPr>
        <w:t>4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% par rapport à 20</w:t>
      </w:r>
      <w:r w:rsidR="00F67075">
        <w:rPr>
          <w:rFonts w:ascii="Book Antiqua" w:eastAsia="Calibri" w:hAnsi="Book Antiqua" w:cs="Calibri"/>
          <w:b w:val="0"/>
          <w:bCs w:val="0"/>
          <w:sz w:val="22"/>
          <w:szCs w:val="22"/>
        </w:rPr>
        <w:t>2</w:t>
      </w:r>
      <w:r w:rsidR="00784F87">
        <w:rPr>
          <w:rFonts w:ascii="Book Antiqua" w:eastAsia="Calibri" w:hAnsi="Book Antiqua" w:cs="Calibri"/>
          <w:b w:val="0"/>
          <w:bCs w:val="0"/>
          <w:sz w:val="22"/>
          <w:szCs w:val="22"/>
        </w:rPr>
        <w:t>1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AD3966" w:rsidRPr="00700493" w:rsidRDefault="00AD3966" w:rsidP="00700493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4465E6">
        <w:rPr>
          <w:rFonts w:ascii="Book Antiqua" w:eastAsia="Calibri" w:hAnsi="Book Antiqua" w:cs="Calibri"/>
          <w:sz w:val="22"/>
          <w:szCs w:val="22"/>
        </w:rPr>
        <w:t xml:space="preserve">Le secteur des sociétés (financières et non financières), premier producteur de la richesse </w:t>
      </w:r>
      <w:r w:rsidR="00EA334F" w:rsidRPr="004465E6">
        <w:rPr>
          <w:rFonts w:ascii="Book Antiqua" w:eastAsia="Calibri" w:hAnsi="Book Antiqua" w:cs="Calibri"/>
          <w:sz w:val="22"/>
          <w:szCs w:val="22"/>
        </w:rPr>
        <w:t>nationale, a</w:t>
      </w:r>
      <w:r w:rsidRPr="004465E6">
        <w:rPr>
          <w:rFonts w:ascii="Book Antiqua" w:eastAsia="Calibri" w:hAnsi="Book Antiqua" w:cs="Calibri"/>
          <w:sz w:val="22"/>
          <w:szCs w:val="22"/>
        </w:rPr>
        <w:t xml:space="preserve"> affiché une légère améliora</w:t>
      </w:r>
      <w:r w:rsidR="00626F8C">
        <w:rPr>
          <w:rFonts w:ascii="Book Antiqua" w:eastAsia="Calibri" w:hAnsi="Book Antiqua" w:cs="Calibri"/>
          <w:sz w:val="22"/>
          <w:szCs w:val="22"/>
        </w:rPr>
        <w:t xml:space="preserve">tion de sa contribution au PIB, passant </w:t>
      </w:r>
      <w:r w:rsidR="00EA334F" w:rsidRPr="004465E6">
        <w:rPr>
          <w:rFonts w:ascii="Book Antiqua" w:eastAsia="Calibri" w:hAnsi="Book Antiqua" w:cs="Calibri"/>
          <w:sz w:val="22"/>
          <w:szCs w:val="22"/>
        </w:rPr>
        <w:t>de 43</w:t>
      </w:r>
      <w:r w:rsidRPr="004465E6">
        <w:rPr>
          <w:rFonts w:ascii="Book Antiqua" w:eastAsia="Calibri" w:hAnsi="Book Antiqua" w:cs="Calibri"/>
          <w:sz w:val="22"/>
          <w:szCs w:val="22"/>
        </w:rPr>
        <w:t>,</w:t>
      </w:r>
      <w:r w:rsidR="00784F87">
        <w:rPr>
          <w:rFonts w:ascii="Book Antiqua" w:eastAsia="Calibri" w:hAnsi="Book Antiqua" w:cs="Calibri"/>
          <w:sz w:val="22"/>
          <w:szCs w:val="22"/>
        </w:rPr>
        <w:t>7</w:t>
      </w:r>
      <w:r w:rsidRPr="004465E6">
        <w:rPr>
          <w:rFonts w:ascii="Book Antiqua" w:eastAsia="Calibri" w:hAnsi="Book Antiqua" w:cs="Calibri"/>
          <w:sz w:val="22"/>
          <w:szCs w:val="22"/>
        </w:rPr>
        <w:t>% en 20</w:t>
      </w:r>
      <w:r w:rsidR="00F67075">
        <w:rPr>
          <w:rFonts w:ascii="Book Antiqua" w:eastAsia="Calibri" w:hAnsi="Book Antiqua" w:cs="Calibri"/>
          <w:sz w:val="22"/>
          <w:szCs w:val="22"/>
        </w:rPr>
        <w:t>2</w:t>
      </w:r>
      <w:r w:rsidR="00784F87">
        <w:rPr>
          <w:rFonts w:ascii="Book Antiqua" w:eastAsia="Calibri" w:hAnsi="Book Antiqua" w:cs="Calibri"/>
          <w:sz w:val="22"/>
          <w:szCs w:val="22"/>
        </w:rPr>
        <w:t>1</w:t>
      </w:r>
      <w:r w:rsidR="00EA334F">
        <w:rPr>
          <w:rFonts w:ascii="Book Antiqua" w:eastAsia="Calibri" w:hAnsi="Book Antiqua" w:cs="Calibri"/>
          <w:sz w:val="22"/>
          <w:szCs w:val="22"/>
        </w:rPr>
        <w:t xml:space="preserve"> </w:t>
      </w:r>
      <w:r w:rsidRPr="004465E6">
        <w:rPr>
          <w:rFonts w:ascii="Book Antiqua" w:eastAsia="Calibri" w:hAnsi="Book Antiqua" w:cs="Calibri"/>
          <w:sz w:val="22"/>
          <w:szCs w:val="22"/>
        </w:rPr>
        <w:t>à 4</w:t>
      </w:r>
      <w:r w:rsidR="00784F87">
        <w:rPr>
          <w:rFonts w:ascii="Book Antiqua" w:eastAsia="Calibri" w:hAnsi="Book Antiqua" w:cs="Calibri"/>
          <w:sz w:val="22"/>
          <w:szCs w:val="22"/>
        </w:rPr>
        <w:t>5</w:t>
      </w:r>
      <w:r w:rsidRPr="004465E6">
        <w:rPr>
          <w:rFonts w:ascii="Book Antiqua" w:eastAsia="Calibri" w:hAnsi="Book Antiqua" w:cs="Calibri"/>
          <w:sz w:val="22"/>
          <w:szCs w:val="22"/>
        </w:rPr>
        <w:t>,</w:t>
      </w:r>
      <w:r w:rsidR="00784F87">
        <w:rPr>
          <w:rFonts w:ascii="Book Antiqua" w:eastAsia="Calibri" w:hAnsi="Book Antiqua" w:cs="Calibri"/>
          <w:sz w:val="22"/>
          <w:szCs w:val="22"/>
        </w:rPr>
        <w:t>3</w:t>
      </w:r>
      <w:r w:rsidRPr="004465E6">
        <w:rPr>
          <w:rFonts w:ascii="Book Antiqua" w:eastAsia="Calibri" w:hAnsi="Book Antiqua" w:cs="Calibri"/>
          <w:sz w:val="22"/>
          <w:szCs w:val="22"/>
        </w:rPr>
        <w:t>% en 20</w:t>
      </w:r>
      <w:r w:rsidR="00F67075">
        <w:rPr>
          <w:rFonts w:ascii="Book Antiqua" w:eastAsia="Calibri" w:hAnsi="Book Antiqua" w:cs="Calibri"/>
          <w:sz w:val="22"/>
          <w:szCs w:val="22"/>
        </w:rPr>
        <w:t>2</w:t>
      </w:r>
      <w:r w:rsidR="00784F87">
        <w:rPr>
          <w:rFonts w:ascii="Book Antiqua" w:eastAsia="Calibri" w:hAnsi="Book Antiqua" w:cs="Calibri"/>
          <w:sz w:val="22"/>
          <w:szCs w:val="22"/>
        </w:rPr>
        <w:t>2</w:t>
      </w:r>
      <w:r w:rsidR="00C23A91">
        <w:rPr>
          <w:rFonts w:ascii="Book Antiqua" w:eastAsia="Calibri" w:hAnsi="Book Antiqua" w:cs="Calibri"/>
          <w:sz w:val="22"/>
          <w:szCs w:val="22"/>
        </w:rPr>
        <w:t>.</w:t>
      </w:r>
      <w:r w:rsidR="00700493">
        <w:rPr>
          <w:rFonts w:ascii="Book Antiqua" w:eastAsia="Calibri" w:hAnsi="Book Antiqua" w:cs="Calibri"/>
          <w:sz w:val="22"/>
          <w:szCs w:val="22"/>
        </w:rPr>
        <w:t xml:space="preserve"> 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>La contribution des administrations publiques, s’est établie à 1</w:t>
      </w:r>
      <w:r w:rsidR="007109E2">
        <w:rPr>
          <w:rFonts w:ascii="Book Antiqua" w:eastAsia="Calibri" w:hAnsi="Book Antiqua" w:cs="Calibri"/>
          <w:sz w:val="22"/>
          <w:szCs w:val="22"/>
        </w:rPr>
        <w:t>6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>,</w:t>
      </w:r>
      <w:r w:rsidR="007109E2">
        <w:rPr>
          <w:rFonts w:ascii="Book Antiqua" w:eastAsia="Calibri" w:hAnsi="Book Antiqua" w:cs="Calibri"/>
          <w:sz w:val="22"/>
          <w:szCs w:val="22"/>
        </w:rPr>
        <w:t>1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>% du PIB</w:t>
      </w:r>
      <w:r w:rsidR="00EA334F">
        <w:rPr>
          <w:rFonts w:ascii="Book Antiqua" w:eastAsia="Calibri" w:hAnsi="Book Antiqua" w:cs="Calibri"/>
          <w:sz w:val="22"/>
          <w:szCs w:val="22"/>
        </w:rPr>
        <w:t>.</w:t>
      </w:r>
      <w:r w:rsidR="00EA334F" w:rsidRPr="00700493">
        <w:rPr>
          <w:rFonts w:ascii="Book Antiqua" w:eastAsia="Calibri" w:hAnsi="Book Antiqua" w:cs="Calibri"/>
          <w:sz w:val="22"/>
          <w:szCs w:val="22"/>
        </w:rPr>
        <w:t xml:space="preserve"> En revanche,</w:t>
      </w:r>
      <w:r w:rsidR="007109E2">
        <w:rPr>
          <w:rFonts w:ascii="Book Antiqua" w:eastAsia="Calibri" w:hAnsi="Book Antiqua" w:cs="Calibri"/>
          <w:sz w:val="22"/>
          <w:szCs w:val="22"/>
        </w:rPr>
        <w:t xml:space="preserve"> 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>celle des ménages et ISBLSM s’est située à 2</w:t>
      </w:r>
      <w:r w:rsidR="007109E2">
        <w:rPr>
          <w:rFonts w:ascii="Book Antiqua" w:eastAsia="Calibri" w:hAnsi="Book Antiqua" w:cs="Calibri"/>
          <w:sz w:val="22"/>
          <w:szCs w:val="22"/>
        </w:rPr>
        <w:t>8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>,</w:t>
      </w:r>
      <w:r w:rsidR="007109E2">
        <w:rPr>
          <w:rFonts w:ascii="Book Antiqua" w:eastAsia="Calibri" w:hAnsi="Book Antiqua" w:cs="Calibri"/>
          <w:sz w:val="22"/>
          <w:szCs w:val="22"/>
        </w:rPr>
        <w:t>9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 xml:space="preserve">% du PIB au lieu de </w:t>
      </w:r>
      <w:r w:rsidR="007109E2">
        <w:rPr>
          <w:rFonts w:ascii="Book Antiqua" w:eastAsia="Calibri" w:hAnsi="Book Antiqua" w:cs="Calibri"/>
          <w:sz w:val="22"/>
          <w:szCs w:val="22"/>
        </w:rPr>
        <w:t>30%</w:t>
      </w:r>
      <w:r w:rsidR="007109E2" w:rsidRPr="00700493">
        <w:rPr>
          <w:rFonts w:ascii="Book Antiqua" w:eastAsia="Calibri" w:hAnsi="Book Antiqua" w:cs="Calibri"/>
          <w:sz w:val="22"/>
          <w:szCs w:val="22"/>
        </w:rPr>
        <w:t xml:space="preserve"> une année auparavant</w:t>
      </w:r>
      <w:r w:rsidR="00700493" w:rsidRPr="00700493">
        <w:rPr>
          <w:rFonts w:ascii="Book Antiqua" w:eastAsia="Calibri" w:hAnsi="Book Antiqua" w:cs="Calibri"/>
          <w:sz w:val="22"/>
          <w:szCs w:val="22"/>
        </w:rPr>
        <w:t>.</w:t>
      </w:r>
    </w:p>
    <w:p w:rsidR="00AD3966" w:rsidRDefault="00AD3966" w:rsidP="00C55CDD">
      <w:pPr>
        <w:pStyle w:val="Retraitcorpsdetexte"/>
        <w:spacing w:after="240" w:line="360" w:lineRule="auto"/>
        <w:ind w:left="0" w:right="-62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Les impôts nets de subventions sur la production et les importations, </w:t>
      </w:r>
      <w:r w:rsidR="00C84C16">
        <w:rPr>
          <w:rFonts w:ascii="Book Antiqua" w:eastAsia="Calibri" w:hAnsi="Book Antiqua" w:cs="Calibri"/>
          <w:b w:val="0"/>
          <w:bCs w:val="0"/>
          <w:sz w:val="22"/>
          <w:szCs w:val="22"/>
        </w:rPr>
        <w:t>ont enregistré</w:t>
      </w:r>
      <w:r w:rsidR="00C55CDD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un </w:t>
      </w:r>
      <w:r w:rsidR="00B21A2A">
        <w:rPr>
          <w:rFonts w:ascii="Book Antiqua" w:eastAsia="Calibri" w:hAnsi="Book Antiqua" w:cs="Calibri"/>
          <w:b w:val="0"/>
          <w:bCs w:val="0"/>
          <w:sz w:val="22"/>
          <w:szCs w:val="22"/>
        </w:rPr>
        <w:t>recul</w:t>
      </w:r>
      <w:r w:rsidR="007163FD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de 0,</w:t>
      </w:r>
      <w:r w:rsidR="00BC18FB">
        <w:rPr>
          <w:rFonts w:ascii="Book Antiqua" w:eastAsia="Calibri" w:hAnsi="Book Antiqua" w:cs="Calibri"/>
          <w:b w:val="0"/>
          <w:bCs w:val="0"/>
          <w:sz w:val="22"/>
          <w:szCs w:val="22"/>
        </w:rPr>
        <w:t>6</w:t>
      </w:r>
      <w:r w:rsidR="008355E9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point par rapport à 20</w:t>
      </w:r>
      <w:r w:rsidR="007163FD">
        <w:rPr>
          <w:rFonts w:ascii="Book Antiqua" w:eastAsia="Calibri" w:hAnsi="Book Antiqua" w:cs="Calibri"/>
          <w:b w:val="0"/>
          <w:bCs w:val="0"/>
          <w:sz w:val="22"/>
          <w:szCs w:val="22"/>
        </w:rPr>
        <w:t>2</w:t>
      </w:r>
      <w:r w:rsidR="00BC18FB">
        <w:rPr>
          <w:rFonts w:ascii="Book Antiqua" w:eastAsia="Calibri" w:hAnsi="Book Antiqua" w:cs="Calibri"/>
          <w:b w:val="0"/>
          <w:bCs w:val="0"/>
          <w:sz w:val="22"/>
          <w:szCs w:val="22"/>
        </w:rPr>
        <w:t>1</w:t>
      </w:r>
      <w:r w:rsidR="007163FD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pour atteindre </w:t>
      </w:r>
      <w:r w:rsidR="00BC18FB">
        <w:rPr>
          <w:rFonts w:ascii="Book Antiqua" w:eastAsia="Calibri" w:hAnsi="Book Antiqua" w:cs="Calibri"/>
          <w:b w:val="0"/>
          <w:bCs w:val="0"/>
          <w:sz w:val="22"/>
          <w:szCs w:val="22"/>
        </w:rPr>
        <w:t>9</w:t>
      </w:r>
      <w:r w:rsidR="007163FD">
        <w:rPr>
          <w:rFonts w:ascii="Book Antiqua" w:eastAsia="Calibri" w:hAnsi="Book Antiqua" w:cs="Calibri"/>
          <w:b w:val="0"/>
          <w:bCs w:val="0"/>
          <w:sz w:val="22"/>
          <w:szCs w:val="22"/>
        </w:rPr>
        <w:t>,</w:t>
      </w:r>
      <w:r w:rsidR="00BC18FB">
        <w:rPr>
          <w:rFonts w:ascii="Book Antiqua" w:eastAsia="Calibri" w:hAnsi="Book Antiqua" w:cs="Calibri"/>
          <w:b w:val="0"/>
          <w:bCs w:val="0"/>
          <w:sz w:val="22"/>
          <w:szCs w:val="22"/>
        </w:rPr>
        <w:t>7</w:t>
      </w:r>
      <w:r w:rsidR="007163FD">
        <w:rPr>
          <w:rFonts w:ascii="Book Antiqua" w:eastAsia="Calibri" w:hAnsi="Book Antiqua" w:cs="Calibri"/>
          <w:b w:val="0"/>
          <w:bCs w:val="0"/>
          <w:sz w:val="22"/>
          <w:szCs w:val="22"/>
        </w:rPr>
        <w:t>% du PIB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C94EAB" w:rsidRPr="00AD2758" w:rsidRDefault="00C94EAB" w:rsidP="008D43C1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</w:pPr>
      <w:r w:rsidRPr="00AD2758"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  <w:t xml:space="preserve">Contribution des secteurs institutionnels au </w:t>
      </w:r>
      <w:r w:rsidR="00AD2758" w:rsidRPr="00AD2758"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  <w:t>PIB en</w:t>
      </w:r>
      <w:r w:rsidRPr="00AD2758"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  <w:t xml:space="preserve"> (%)</w:t>
      </w:r>
    </w:p>
    <w:tbl>
      <w:tblPr>
        <w:tblW w:w="8991" w:type="dxa"/>
        <w:tblCellMar>
          <w:left w:w="70" w:type="dxa"/>
          <w:right w:w="70" w:type="dxa"/>
        </w:tblCellMar>
        <w:tblLook w:val="04A0"/>
      </w:tblPr>
      <w:tblGrid>
        <w:gridCol w:w="4086"/>
        <w:gridCol w:w="555"/>
        <w:gridCol w:w="1084"/>
        <w:gridCol w:w="340"/>
        <w:gridCol w:w="129"/>
        <w:gridCol w:w="86"/>
        <w:gridCol w:w="914"/>
        <w:gridCol w:w="58"/>
        <w:gridCol w:w="39"/>
        <w:gridCol w:w="320"/>
        <w:gridCol w:w="140"/>
        <w:gridCol w:w="95"/>
        <w:gridCol w:w="1085"/>
        <w:gridCol w:w="60"/>
      </w:tblGrid>
      <w:tr w:rsidR="00C56697" w:rsidRPr="00C56697" w:rsidTr="006F09B1">
        <w:trPr>
          <w:trHeight w:val="303"/>
        </w:trPr>
        <w:tc>
          <w:tcPr>
            <w:tcW w:w="4086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</w:tr>
      <w:tr w:rsidR="00C56697" w:rsidRPr="00C56697" w:rsidTr="006F09B1">
        <w:trPr>
          <w:gridAfter w:val="1"/>
          <w:wAfter w:w="60" w:type="dxa"/>
          <w:trHeight w:val="303"/>
        </w:trPr>
        <w:tc>
          <w:tcPr>
            <w:tcW w:w="4086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56697" w:rsidRDefault="00C94EAB" w:rsidP="004A4B95">
            <w:pPr>
              <w:ind w:right="226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Secteurs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C94EAB" w:rsidRPr="00C56697" w:rsidRDefault="00C94EAB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56697" w:rsidRDefault="00C94EAB" w:rsidP="00C55CDD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20</w:t>
            </w:r>
            <w:r w:rsidR="00BC18FB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20</w:t>
            </w:r>
          </w:p>
        </w:tc>
        <w:tc>
          <w:tcPr>
            <w:tcW w:w="340" w:type="dxa"/>
            <w:shd w:val="clear" w:color="auto" w:fill="FFFFFF"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56697" w:rsidRDefault="00C94EAB" w:rsidP="00C55CDD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20</w:t>
            </w:r>
            <w:r w:rsidR="002212BF"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</w:t>
            </w:r>
            <w:r w:rsidR="00BC18FB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1</w:t>
            </w:r>
          </w:p>
        </w:tc>
        <w:tc>
          <w:tcPr>
            <w:tcW w:w="417" w:type="dxa"/>
            <w:gridSpan w:val="3"/>
            <w:vAlign w:val="bottom"/>
            <w:hideMark/>
          </w:tcPr>
          <w:p w:rsidR="00C94EAB" w:rsidRPr="00C56697" w:rsidRDefault="00C94EAB" w:rsidP="004A4B95">
            <w:pPr>
              <w:ind w:right="226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56697" w:rsidRDefault="00C94EAB" w:rsidP="00C55CDD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20</w:t>
            </w:r>
            <w:r w:rsidR="002212BF"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</w:t>
            </w:r>
            <w:r w:rsidR="00BC18FB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2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Sociétés non financières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</w:tcPr>
          <w:p w:rsidR="001550E9" w:rsidRPr="00C56697" w:rsidRDefault="00BC18FB" w:rsidP="00003C6D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39,1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</w:tcPr>
          <w:p w:rsidR="001550E9" w:rsidRPr="00C56697" w:rsidRDefault="007109E2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39,3</w:t>
            </w:r>
          </w:p>
        </w:tc>
        <w:tc>
          <w:tcPr>
            <w:tcW w:w="555" w:type="dxa"/>
            <w:gridSpan w:val="3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</w:tcPr>
          <w:p w:rsidR="001550E9" w:rsidRPr="00C56697" w:rsidRDefault="003F0787" w:rsidP="00997B8B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40,8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Sociétés financières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Align w:val="bottom"/>
          </w:tcPr>
          <w:p w:rsidR="001550E9" w:rsidRPr="00C56697" w:rsidRDefault="00BC18FB" w:rsidP="00B94D3A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4,5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bottom"/>
          </w:tcPr>
          <w:p w:rsidR="001550E9" w:rsidRPr="00C56697" w:rsidRDefault="007109E2" w:rsidP="00C1460D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4,4</w:t>
            </w:r>
          </w:p>
        </w:tc>
        <w:tc>
          <w:tcPr>
            <w:tcW w:w="555" w:type="dxa"/>
            <w:gridSpan w:val="3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vAlign w:val="bottom"/>
          </w:tcPr>
          <w:p w:rsidR="001550E9" w:rsidRPr="00C56697" w:rsidRDefault="003F0787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4,5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Administrations Publiques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Align w:val="bottom"/>
          </w:tcPr>
          <w:p w:rsidR="001550E9" w:rsidRPr="00C56697" w:rsidRDefault="00BC18FB" w:rsidP="00003C6D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16,8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bottom"/>
          </w:tcPr>
          <w:p w:rsidR="001550E9" w:rsidRPr="00C56697" w:rsidRDefault="007109E2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16,0</w:t>
            </w:r>
          </w:p>
        </w:tc>
        <w:tc>
          <w:tcPr>
            <w:tcW w:w="555" w:type="dxa"/>
            <w:gridSpan w:val="3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vAlign w:val="bottom"/>
          </w:tcPr>
          <w:p w:rsidR="001550E9" w:rsidRPr="00C56697" w:rsidRDefault="003F0787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16,1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Ménages</w:t>
            </w:r>
            <w:r w:rsidR="008D721B" w:rsidRPr="00C56697">
              <w:rPr>
                <w:rFonts w:ascii="Book Antiqua" w:eastAsia="Calibri" w:hAnsi="Book Antiqua" w:cs="Calibri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sz w:val="18"/>
                <w:szCs w:val="18"/>
              </w:rPr>
              <w:t> </w:t>
            </w:r>
          </w:p>
        </w:tc>
        <w:tc>
          <w:tcPr>
            <w:tcW w:w="1084" w:type="dxa"/>
            <w:vAlign w:val="bottom"/>
          </w:tcPr>
          <w:p w:rsidR="001550E9" w:rsidRPr="00C56697" w:rsidRDefault="00BC18FB" w:rsidP="00003C6D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29,3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bottom"/>
          </w:tcPr>
          <w:p w:rsidR="001550E9" w:rsidRPr="00C56697" w:rsidRDefault="00BC18FB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29,</w:t>
            </w:r>
            <w:r w:rsidR="007109E2">
              <w:rPr>
                <w:rFonts w:ascii="Book Antiqua" w:eastAsia="Calibri" w:hAnsi="Book Antiqua" w:cs="Calibri"/>
                <w:sz w:val="18"/>
                <w:szCs w:val="18"/>
              </w:rPr>
              <w:t>8</w:t>
            </w:r>
          </w:p>
        </w:tc>
        <w:tc>
          <w:tcPr>
            <w:tcW w:w="555" w:type="dxa"/>
            <w:gridSpan w:val="3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vAlign w:val="bottom"/>
          </w:tcPr>
          <w:p w:rsidR="001550E9" w:rsidRPr="00C56697" w:rsidRDefault="003F0787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28,6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ISBLSM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sz w:val="18"/>
                <w:szCs w:val="18"/>
              </w:rPr>
              <w:t> </w:t>
            </w:r>
          </w:p>
        </w:tc>
        <w:tc>
          <w:tcPr>
            <w:tcW w:w="1084" w:type="dxa"/>
            <w:vAlign w:val="bottom"/>
          </w:tcPr>
          <w:p w:rsidR="001550E9" w:rsidRPr="00C56697" w:rsidRDefault="00BC18FB" w:rsidP="008D721B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0,2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bottom"/>
          </w:tcPr>
          <w:p w:rsidR="001550E9" w:rsidRPr="00C56697" w:rsidRDefault="00BC18FB" w:rsidP="008D721B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0,2</w:t>
            </w:r>
          </w:p>
        </w:tc>
        <w:tc>
          <w:tcPr>
            <w:tcW w:w="555" w:type="dxa"/>
            <w:gridSpan w:val="3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vAlign w:val="bottom"/>
          </w:tcPr>
          <w:p w:rsidR="001550E9" w:rsidRPr="00C56697" w:rsidRDefault="003F0787" w:rsidP="008D721B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0,3</w:t>
            </w:r>
          </w:p>
        </w:tc>
      </w:tr>
      <w:tr w:rsidR="00C56697" w:rsidRPr="00C56697" w:rsidTr="00BC18FB">
        <w:trPr>
          <w:gridAfter w:val="1"/>
          <w:wAfter w:w="60" w:type="dxa"/>
          <w:trHeight w:val="303"/>
        </w:trPr>
        <w:tc>
          <w:tcPr>
            <w:tcW w:w="4086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  <w:r w:rsidRPr="00C56697">
              <w:rPr>
                <w:rFonts w:ascii="Book Antiqua" w:eastAsia="Calibri" w:hAnsi="Book Antiqua" w:cs="Calibri"/>
                <w:sz w:val="18"/>
                <w:szCs w:val="18"/>
              </w:rPr>
              <w:t>Impôts nets de subventions sur la production et les importations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sz w:val="18"/>
                <w:szCs w:val="18"/>
              </w:rPr>
              <w:t> </w:t>
            </w:r>
          </w:p>
        </w:tc>
        <w:tc>
          <w:tcPr>
            <w:tcW w:w="1084" w:type="dxa"/>
            <w:vAlign w:val="bottom"/>
          </w:tcPr>
          <w:p w:rsidR="001550E9" w:rsidRPr="00C56697" w:rsidRDefault="00BC18FB" w:rsidP="00003C6D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10,1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bottom"/>
          </w:tcPr>
          <w:p w:rsidR="001550E9" w:rsidRPr="00C56697" w:rsidRDefault="00BC18FB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10,3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="Book Antiqua" w:eastAsia="Calibri" w:hAnsi="Book Antiqua" w:cs="Calibri"/>
                <w:sz w:val="18"/>
                <w:szCs w:val="18"/>
              </w:rPr>
            </w:pPr>
          </w:p>
        </w:tc>
        <w:tc>
          <w:tcPr>
            <w:tcW w:w="1085" w:type="dxa"/>
            <w:vAlign w:val="bottom"/>
          </w:tcPr>
          <w:p w:rsidR="001550E9" w:rsidRPr="00C56697" w:rsidRDefault="003F0787" w:rsidP="002A62A2">
            <w:pPr>
              <w:ind w:right="226"/>
              <w:jc w:val="center"/>
              <w:rPr>
                <w:rFonts w:ascii="Book Antiqua" w:eastAsia="Calibri" w:hAnsi="Book Antiqua" w:cs="Calibri"/>
                <w:sz w:val="18"/>
                <w:szCs w:val="18"/>
              </w:rPr>
            </w:pPr>
            <w:r>
              <w:rPr>
                <w:rFonts w:ascii="Book Antiqua" w:eastAsia="Calibri" w:hAnsi="Book Antiqua" w:cs="Calibri"/>
                <w:sz w:val="18"/>
                <w:szCs w:val="18"/>
              </w:rPr>
              <w:t>9,7</w:t>
            </w:r>
          </w:p>
        </w:tc>
      </w:tr>
      <w:tr w:rsidR="00C56697" w:rsidRPr="00C56697" w:rsidTr="006F09B1">
        <w:trPr>
          <w:gridAfter w:val="1"/>
          <w:wAfter w:w="60" w:type="dxa"/>
          <w:trHeight w:val="303"/>
        </w:trPr>
        <w:tc>
          <w:tcPr>
            <w:tcW w:w="4086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C56697" w:rsidRDefault="001550E9" w:rsidP="00145A1D">
            <w:pPr>
              <w:ind w:right="226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Produit intérieur brut</w:t>
            </w:r>
          </w:p>
        </w:tc>
        <w:tc>
          <w:tcPr>
            <w:tcW w:w="555" w:type="dxa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C56697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C56697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  <w:tc>
          <w:tcPr>
            <w:tcW w:w="555" w:type="dxa"/>
            <w:gridSpan w:val="3"/>
            <w:shd w:val="clear" w:color="auto" w:fill="FFFFFF"/>
            <w:vAlign w:val="bottom"/>
            <w:hideMark/>
          </w:tcPr>
          <w:p w:rsidR="001550E9" w:rsidRPr="00C56697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C56697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</w:pPr>
            <w:r w:rsidRPr="00C56697">
              <w:rPr>
                <w:rFonts w:asciiTheme="majorHAnsi" w:hAnsiTheme="majorHAnsi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</w:tr>
    </w:tbl>
    <w:p w:rsidR="00C94EAB" w:rsidRDefault="00C94EAB" w:rsidP="00C94EAB">
      <w:pPr>
        <w:spacing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964263" w:rsidRPr="00330B81" w:rsidRDefault="00C93390" w:rsidP="00514B78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 Revenu National Brut Disponible (RNBD</w:t>
      </w:r>
      <w:r w:rsidR="004D0C5F">
        <w:rPr>
          <w:rFonts w:ascii="Book Antiqua" w:eastAsia="Calibri" w:hAnsi="Book Antiqua" w:cs="Calibri"/>
          <w:sz w:val="22"/>
          <w:szCs w:val="22"/>
        </w:rPr>
        <w:t>)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a 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connu une hausse de </w:t>
      </w:r>
      <w:r w:rsidR="00BC18FB">
        <w:rPr>
          <w:rFonts w:ascii="Book Antiqua" w:eastAsia="Calibri" w:hAnsi="Book Antiqua" w:cs="Calibri"/>
          <w:sz w:val="22"/>
          <w:szCs w:val="22"/>
        </w:rPr>
        <w:t>5,4</w:t>
      </w:r>
      <w:r w:rsidR="00964263">
        <w:rPr>
          <w:rFonts w:ascii="Book Antiqua" w:eastAsia="Calibri" w:hAnsi="Book Antiqua" w:cs="Calibri"/>
          <w:sz w:val="22"/>
          <w:szCs w:val="22"/>
        </w:rPr>
        <w:t>% en 20</w:t>
      </w:r>
      <w:r w:rsidR="002212BF">
        <w:rPr>
          <w:rFonts w:ascii="Book Antiqua" w:eastAsia="Calibri" w:hAnsi="Book Antiqua" w:cs="Calibri"/>
          <w:sz w:val="22"/>
          <w:szCs w:val="22"/>
        </w:rPr>
        <w:t>2</w:t>
      </w:r>
      <w:r w:rsidR="00BC18FB">
        <w:rPr>
          <w:rFonts w:ascii="Book Antiqua" w:eastAsia="Calibri" w:hAnsi="Book Antiqua" w:cs="Calibri"/>
          <w:sz w:val="22"/>
          <w:szCs w:val="22"/>
        </w:rPr>
        <w:t>2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pour se situer à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BC18FB">
        <w:rPr>
          <w:rFonts w:ascii="Book Antiqua" w:eastAsia="Calibri" w:hAnsi="Book Antiqua" w:cs="Calibri"/>
          <w:sz w:val="22"/>
          <w:szCs w:val="22"/>
        </w:rPr>
        <w:t>1436,1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Cette </w:t>
      </w:r>
      <w:r w:rsidR="00AD01E9">
        <w:rPr>
          <w:rFonts w:ascii="Book Antiqua" w:eastAsia="Calibri" w:hAnsi="Book Antiqua" w:cs="Calibri"/>
          <w:sz w:val="22"/>
          <w:szCs w:val="22"/>
        </w:rPr>
        <w:t>évolution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est due à </w:t>
      </w:r>
      <w:r w:rsidR="00964263">
        <w:rPr>
          <w:rFonts w:ascii="Book Antiqua" w:eastAsia="Calibri" w:hAnsi="Book Antiqua" w:cs="Calibri"/>
          <w:sz w:val="22"/>
          <w:szCs w:val="22"/>
        </w:rPr>
        <w:t>l</w:t>
      </w:r>
      <w:r w:rsidR="00514B78">
        <w:rPr>
          <w:rFonts w:ascii="Book Antiqua" w:eastAsia="Calibri" w:hAnsi="Book Antiqua" w:cs="Calibri"/>
          <w:sz w:val="22"/>
          <w:szCs w:val="22"/>
        </w:rPr>
        <w:t>a hausse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C18FB">
        <w:rPr>
          <w:rFonts w:ascii="Book Antiqua" w:eastAsia="Calibri" w:hAnsi="Book Antiqua" w:cs="Calibri"/>
          <w:sz w:val="22"/>
          <w:szCs w:val="22"/>
        </w:rPr>
        <w:t>4,9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>%</w:t>
      </w:r>
      <w:r w:rsidR="00642888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du revenu brut disponible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 </w:t>
      </w:r>
      <w:r w:rsidR="00C237B2" w:rsidRPr="0085098E">
        <w:rPr>
          <w:rFonts w:ascii="Book Antiqua" w:eastAsia="Calibri" w:hAnsi="Book Antiqua" w:cs="Calibri"/>
          <w:sz w:val="22"/>
          <w:szCs w:val="22"/>
        </w:rPr>
        <w:t xml:space="preserve">des 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>sociétés (fina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ncières et non financières), </w:t>
      </w:r>
      <w:r w:rsidR="00B8616C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C18FB">
        <w:rPr>
          <w:rFonts w:ascii="Book Antiqua" w:eastAsia="Calibri" w:hAnsi="Book Antiqua" w:cs="Calibri"/>
          <w:sz w:val="22"/>
          <w:szCs w:val="22"/>
        </w:rPr>
        <w:t>5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>,</w:t>
      </w:r>
      <w:r w:rsidR="00EA334F">
        <w:rPr>
          <w:rFonts w:ascii="Book Antiqua" w:eastAsia="Calibri" w:hAnsi="Book Antiqua" w:cs="Calibri"/>
          <w:sz w:val="22"/>
          <w:szCs w:val="22"/>
        </w:rPr>
        <w:t>3</w:t>
      </w:r>
      <w:r w:rsidR="00B8616C">
        <w:rPr>
          <w:rFonts w:ascii="Book Antiqua" w:eastAsia="Calibri" w:hAnsi="Book Antiqua" w:cs="Calibri"/>
          <w:sz w:val="22"/>
          <w:szCs w:val="22"/>
        </w:rPr>
        <w:t>%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 pour</w:t>
      </w:r>
      <w:r w:rsidR="00B8616C">
        <w:rPr>
          <w:rFonts w:ascii="Book Antiqua" w:eastAsia="Calibri" w:hAnsi="Book Antiqua" w:cs="Calibri"/>
          <w:sz w:val="22"/>
          <w:szCs w:val="22"/>
        </w:rPr>
        <w:t xml:space="preserve"> </w:t>
      </w:r>
      <w:r w:rsidR="00283FFA">
        <w:rPr>
          <w:rFonts w:ascii="Book Antiqua" w:eastAsia="Calibri" w:hAnsi="Book Antiqua" w:cs="Calibri"/>
          <w:sz w:val="22"/>
          <w:szCs w:val="22"/>
        </w:rPr>
        <w:t>l</w:t>
      </w:r>
      <w:r w:rsidR="00741B16">
        <w:rPr>
          <w:rFonts w:ascii="Book Antiqua" w:eastAsia="Calibri" w:hAnsi="Book Antiqua" w:cs="Calibri"/>
          <w:sz w:val="22"/>
          <w:szCs w:val="22"/>
        </w:rPr>
        <w:t>es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 xml:space="preserve"> ménages et 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ISBLSM </w:t>
      </w:r>
      <w:r w:rsidR="00AD01E9">
        <w:rPr>
          <w:rFonts w:ascii="Book Antiqua" w:eastAsia="Calibri" w:hAnsi="Book Antiqua" w:cs="Calibri"/>
          <w:sz w:val="22"/>
          <w:szCs w:val="22"/>
        </w:rPr>
        <w:t xml:space="preserve">et 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C18FB">
        <w:rPr>
          <w:rFonts w:ascii="Book Antiqua" w:eastAsia="Calibri" w:hAnsi="Book Antiqua" w:cs="Calibri"/>
          <w:sz w:val="22"/>
          <w:szCs w:val="22"/>
        </w:rPr>
        <w:t>6,2</w:t>
      </w:r>
      <w:r w:rsidR="00B8616C">
        <w:rPr>
          <w:rFonts w:ascii="Book Antiqua" w:eastAsia="Calibri" w:hAnsi="Book Antiqua" w:cs="Calibri"/>
          <w:sz w:val="22"/>
          <w:szCs w:val="22"/>
        </w:rPr>
        <w:t>%</w:t>
      </w:r>
      <w:r w:rsidR="00283FFA">
        <w:rPr>
          <w:rFonts w:ascii="Book Antiqua" w:eastAsia="Calibri" w:hAnsi="Book Antiqua" w:cs="Calibri"/>
          <w:sz w:val="22"/>
          <w:szCs w:val="22"/>
        </w:rPr>
        <w:t>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964263" w:rsidRPr="00330B81" w:rsidRDefault="004E1F08" w:rsidP="004E1F08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Ainsi, 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es contributions des secteurs institutionnels au RNBD se sont situées à:</w:t>
      </w:r>
    </w:p>
    <w:p w:rsidR="00964263" w:rsidRPr="00330B81" w:rsidRDefault="00964263" w:rsidP="00A91DAA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6</w:t>
      </w:r>
      <w:r w:rsidR="00A673AD">
        <w:rPr>
          <w:rFonts w:ascii="Book Antiqua" w:eastAsia="Calibri" w:hAnsi="Book Antiqua" w:cs="Calibri"/>
          <w:sz w:val="22"/>
          <w:szCs w:val="22"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BC18FB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 pour les ménages et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7C0DA8" w:rsidRPr="00330B81">
        <w:rPr>
          <w:rFonts w:ascii="Book Antiqua" w:eastAsia="Calibri" w:hAnsi="Book Antiqua" w:cs="Calibri"/>
          <w:sz w:val="22"/>
          <w:szCs w:val="22"/>
        </w:rPr>
        <w:t>ISBLSM ;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</w:p>
    <w:p w:rsidR="00964263" w:rsidRPr="00330B81" w:rsidRDefault="00BC18FB" w:rsidP="00A91DAA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20,2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% pour les </w:t>
      </w:r>
      <w:r w:rsidR="00C9499D">
        <w:rPr>
          <w:rFonts w:ascii="Book Antiqua" w:eastAsia="Calibri" w:hAnsi="Book Antiqua" w:cs="Calibri"/>
          <w:sz w:val="22"/>
          <w:szCs w:val="22"/>
        </w:rPr>
        <w:t>a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dministrations </w:t>
      </w:r>
      <w:r w:rsidR="007C0DA8">
        <w:rPr>
          <w:rFonts w:ascii="Book Antiqua" w:eastAsia="Calibri" w:hAnsi="Book Antiqua" w:cs="Calibri"/>
          <w:sz w:val="22"/>
          <w:szCs w:val="22"/>
        </w:rPr>
        <w:t>p</w:t>
      </w:r>
      <w:r w:rsidR="007C0DA8" w:rsidRPr="00330B81">
        <w:rPr>
          <w:rFonts w:ascii="Book Antiqua" w:eastAsia="Calibri" w:hAnsi="Book Antiqua" w:cs="Calibri"/>
          <w:sz w:val="22"/>
          <w:szCs w:val="22"/>
        </w:rPr>
        <w:t>ubliques ;</w:t>
      </w:r>
    </w:p>
    <w:p w:rsidR="00964263" w:rsidRDefault="00964263" w:rsidP="00A91DAA">
      <w:pPr>
        <w:numPr>
          <w:ilvl w:val="0"/>
          <w:numId w:val="33"/>
        </w:numPr>
        <w:spacing w:before="120" w:after="24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1</w:t>
      </w:r>
      <w:r w:rsidR="00A91DAA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BC18FB">
        <w:rPr>
          <w:rFonts w:ascii="Book Antiqua" w:eastAsia="Calibri" w:hAnsi="Book Antiqua" w:cs="Calibri"/>
          <w:sz w:val="22"/>
          <w:szCs w:val="22"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(</w:t>
      </w:r>
      <w:r w:rsidR="0025711A">
        <w:rPr>
          <w:rFonts w:ascii="Book Antiqua" w:eastAsia="Calibri" w:hAnsi="Book Antiqua" w:cs="Calibri"/>
          <w:sz w:val="22"/>
          <w:szCs w:val="22"/>
        </w:rPr>
        <w:t>dont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2,</w:t>
      </w:r>
      <w:r w:rsidR="00BC18FB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financières).</w:t>
      </w:r>
    </w:p>
    <w:p w:rsidR="00E56BC3" w:rsidRDefault="00E56BC3" w:rsidP="00275E45">
      <w:pPr>
        <w:spacing w:after="12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C0DA8" w:rsidRDefault="007C0DA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C0DA8" w:rsidRDefault="007C0DA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A2267B" w:rsidRDefault="00A2267B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Revenu </w:t>
      </w:r>
      <w:r w:rsidRPr="00BC18FB">
        <w:rPr>
          <w:rFonts w:ascii="Book Antiqua" w:hAnsi="Book Antiqua" w:cs="Arial"/>
          <w:b/>
          <w:bCs/>
          <w:i/>
          <w:iCs/>
          <w:color w:val="FF0000"/>
        </w:rPr>
        <w:t>disponible</w:t>
      </w:r>
      <w:r w:rsidR="00555C78" w:rsidRPr="00BC18FB">
        <w:rPr>
          <w:rFonts w:ascii="Book Antiqua" w:hAnsi="Book Antiqua" w:cs="Arial"/>
          <w:b/>
          <w:bCs/>
          <w:i/>
          <w:iCs/>
          <w:color w:val="FF0000"/>
        </w:rPr>
        <w:t xml:space="preserve"> brut</w:t>
      </w: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 des ménages et pouvoir d’achat </w:t>
      </w:r>
    </w:p>
    <w:p w:rsidR="008D4891" w:rsidRPr="008D4891" w:rsidRDefault="008D4891" w:rsidP="004D0C5F">
      <w:pPr>
        <w:spacing w:after="240" w:line="400" w:lineRule="exact"/>
        <w:ind w:right="79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>Le revenu disponible brut (RD</w:t>
      </w:r>
      <w:r w:rsidR="00C52768" w:rsidRPr="008A57C8">
        <w:rPr>
          <w:rFonts w:ascii="Book Antiqua" w:eastAsia="Calibri" w:hAnsi="Book Antiqua" w:cs="Calibri"/>
          <w:sz w:val="22"/>
          <w:szCs w:val="22"/>
        </w:rPr>
        <w:t>B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) des ménages s’est accru de </w:t>
      </w:r>
      <w:r w:rsidR="00BC18FB">
        <w:rPr>
          <w:rFonts w:ascii="Book Antiqua" w:eastAsia="Calibri" w:hAnsi="Book Antiqua" w:cs="Calibri"/>
          <w:sz w:val="22"/>
          <w:szCs w:val="22"/>
        </w:rPr>
        <w:t>5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BC18FB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% pour atteindre </w:t>
      </w:r>
      <w:r w:rsidR="00BC18FB">
        <w:rPr>
          <w:rFonts w:ascii="Book Antiqua" w:eastAsia="Calibri" w:hAnsi="Book Antiqua" w:cs="Calibri"/>
          <w:sz w:val="22"/>
          <w:szCs w:val="22"/>
        </w:rPr>
        <w:t>910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BC18FB">
        <w:rPr>
          <w:rFonts w:ascii="Book Antiqua" w:eastAsia="Calibri" w:hAnsi="Book Antiqua" w:cs="Calibri"/>
          <w:sz w:val="22"/>
          <w:szCs w:val="22"/>
        </w:rPr>
        <w:t>6</w:t>
      </w:r>
      <w:r w:rsidR="00A673AD">
        <w:rPr>
          <w:rFonts w:ascii="Book Antiqua" w:eastAsia="Calibri" w:hAnsi="Book Antiqua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>milliards de DH en 2</w:t>
      </w:r>
      <w:r w:rsidR="004E1F08">
        <w:rPr>
          <w:rFonts w:ascii="Book Antiqua" w:eastAsia="Calibri" w:hAnsi="Book Antiqua" w:cs="Calibri"/>
          <w:sz w:val="22"/>
          <w:szCs w:val="22"/>
        </w:rPr>
        <w:t>0</w:t>
      </w:r>
      <w:r w:rsidR="00A673AD">
        <w:rPr>
          <w:rFonts w:ascii="Book Antiqua" w:eastAsia="Calibri" w:hAnsi="Book Antiqua" w:cs="Calibri"/>
          <w:sz w:val="22"/>
          <w:szCs w:val="22"/>
        </w:rPr>
        <w:t>2</w:t>
      </w:r>
      <w:r w:rsidR="00BC18FB">
        <w:rPr>
          <w:rFonts w:ascii="Book Antiqua" w:eastAsia="Calibri" w:hAnsi="Book Antiqua" w:cs="Calibri"/>
          <w:sz w:val="22"/>
          <w:szCs w:val="22"/>
        </w:rPr>
        <w:t>2</w:t>
      </w:r>
      <w:r w:rsidR="00A673AD">
        <w:rPr>
          <w:rFonts w:ascii="Book Antiqua" w:eastAsia="Calibri" w:hAnsi="Book Antiqua" w:cs="Calibri"/>
          <w:sz w:val="22"/>
          <w:szCs w:val="22"/>
        </w:rPr>
        <w:t xml:space="preserve">, </w:t>
      </w:r>
      <w:r w:rsidR="00697E9F">
        <w:rPr>
          <w:rFonts w:ascii="Book Antiqua" w:eastAsia="Calibri" w:hAnsi="Book Antiqua" w:cs="Calibri"/>
          <w:sz w:val="22"/>
          <w:szCs w:val="22"/>
        </w:rPr>
        <w:t>au lieu d’</w:t>
      </w:r>
      <w:r w:rsidR="00A673AD">
        <w:rPr>
          <w:rFonts w:ascii="Book Antiqua" w:eastAsia="Calibri" w:hAnsi="Book Antiqua" w:cs="Calibri"/>
          <w:sz w:val="22"/>
          <w:szCs w:val="22"/>
        </w:rPr>
        <w:t xml:space="preserve">une </w:t>
      </w:r>
      <w:r w:rsidR="002333D3">
        <w:rPr>
          <w:rFonts w:ascii="Book Antiqua" w:eastAsia="Calibri" w:hAnsi="Book Antiqua" w:cs="Calibri"/>
          <w:sz w:val="22"/>
          <w:szCs w:val="22"/>
        </w:rPr>
        <w:t>hausse</w:t>
      </w:r>
      <w:r w:rsidR="00A673AD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2333D3">
        <w:rPr>
          <w:rFonts w:ascii="Book Antiqua" w:eastAsia="Calibri" w:hAnsi="Book Antiqua" w:cs="Calibri"/>
          <w:sz w:val="22"/>
          <w:szCs w:val="22"/>
        </w:rPr>
        <w:t>9,2</w:t>
      </w:r>
      <w:r w:rsidR="00A673AD">
        <w:rPr>
          <w:rFonts w:ascii="Book Antiqua" w:eastAsia="Calibri" w:hAnsi="Book Antiqua" w:cs="Calibri"/>
          <w:sz w:val="22"/>
          <w:szCs w:val="22"/>
        </w:rPr>
        <w:t>% enregistrée en 202</w:t>
      </w:r>
      <w:r w:rsidR="002333D3">
        <w:rPr>
          <w:rFonts w:ascii="Book Antiqua" w:eastAsia="Calibri" w:hAnsi="Book Antiqua" w:cs="Calibri"/>
          <w:sz w:val="22"/>
          <w:szCs w:val="22"/>
        </w:rPr>
        <w:t>1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. </w:t>
      </w:r>
      <w:r w:rsidR="004A4B95">
        <w:rPr>
          <w:rFonts w:ascii="Book Antiqua" w:eastAsia="Calibri" w:hAnsi="Book Antiqua" w:cs="Calibri"/>
          <w:sz w:val="22"/>
          <w:szCs w:val="22"/>
        </w:rPr>
        <w:t>La contribution de</w:t>
      </w:r>
      <w:r w:rsidR="004A4B95" w:rsidRPr="004A4B95">
        <w:rPr>
          <w:rFonts w:ascii="Book Antiqua" w:eastAsia="Calibri" w:hAnsi="Book Antiqua" w:cs="Calibri"/>
          <w:sz w:val="22"/>
          <w:szCs w:val="22"/>
        </w:rPr>
        <w:t xml:space="preserve"> </w:t>
      </w:r>
      <w:r w:rsidR="004A4B95">
        <w:rPr>
          <w:rFonts w:ascii="Book Antiqua" w:eastAsia="Calibri" w:hAnsi="Book Antiqua" w:cs="Calibri"/>
          <w:sz w:val="22"/>
          <w:szCs w:val="22"/>
        </w:rPr>
        <w:t>la rémunération des salarié</w:t>
      </w:r>
      <w:r w:rsidR="004A4B95" w:rsidRPr="008D4891">
        <w:rPr>
          <w:rFonts w:ascii="Book Antiqua" w:eastAsia="Calibri" w:hAnsi="Book Antiqua" w:cs="Calibri"/>
          <w:sz w:val="22"/>
          <w:szCs w:val="22"/>
        </w:rPr>
        <w:t>s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 à ce revenu</w:t>
      </w:r>
      <w:r w:rsidR="004A4B95">
        <w:rPr>
          <w:rFonts w:ascii="Book Antiqua" w:eastAsia="Calibri" w:hAnsi="Book Antiqua" w:cs="Calibri"/>
          <w:sz w:val="22"/>
          <w:szCs w:val="22"/>
        </w:rPr>
        <w:t xml:space="preserve"> a été de </w:t>
      </w:r>
      <w:r w:rsidRPr="008D4891">
        <w:rPr>
          <w:rFonts w:ascii="Book Antiqua" w:eastAsia="Calibri" w:hAnsi="Book Antiqua" w:cs="Calibri"/>
          <w:sz w:val="22"/>
          <w:szCs w:val="22"/>
        </w:rPr>
        <w:t>4</w:t>
      </w:r>
      <w:r w:rsidR="002333D3">
        <w:rPr>
          <w:rFonts w:ascii="Book Antiqua" w:eastAsia="Calibri" w:hAnsi="Book Antiqua" w:cs="Calibri"/>
          <w:sz w:val="22"/>
          <w:szCs w:val="22"/>
        </w:rPr>
        <w:t>6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2333D3">
        <w:rPr>
          <w:rFonts w:ascii="Book Antiqua" w:eastAsia="Calibri" w:hAnsi="Book Antiqua" w:cs="Calibri"/>
          <w:sz w:val="22"/>
          <w:szCs w:val="22"/>
        </w:rPr>
        <w:t>5</w:t>
      </w:r>
      <w:r w:rsidRPr="008D4891">
        <w:rPr>
          <w:rFonts w:ascii="Book Antiqua" w:eastAsia="Calibri" w:hAnsi="Book Antiqua" w:cs="Calibri"/>
          <w:sz w:val="22"/>
          <w:szCs w:val="22"/>
        </w:rPr>
        <w:t>%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.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Le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revenu mixte,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y compris </w:t>
      </w:r>
      <w:r w:rsidR="00B86C16" w:rsidRPr="008D4891">
        <w:rPr>
          <w:rFonts w:ascii="Book Antiqua" w:eastAsia="Calibri" w:hAnsi="Book Antiqua" w:cs="Calibri"/>
          <w:sz w:val="22"/>
          <w:szCs w:val="22"/>
        </w:rPr>
        <w:t>l’excéd</w:t>
      </w:r>
      <w:r w:rsidR="00B86C16">
        <w:rPr>
          <w:rFonts w:ascii="Book Antiqua" w:eastAsia="Calibri" w:hAnsi="Book Antiqua" w:cs="Calibri"/>
          <w:sz w:val="22"/>
          <w:szCs w:val="22"/>
        </w:rPr>
        <w:t>ent brut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 du service de logement, </w:t>
      </w:r>
      <w:r w:rsidR="002B2B29">
        <w:rPr>
          <w:rFonts w:ascii="Book Antiqua" w:eastAsia="Calibri" w:hAnsi="Book Antiqua" w:cs="Calibri"/>
          <w:sz w:val="22"/>
          <w:szCs w:val="22"/>
        </w:rPr>
        <w:t>a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</w:t>
      </w:r>
      <w:r w:rsidR="00B86C16">
        <w:rPr>
          <w:rFonts w:ascii="Book Antiqua" w:eastAsia="Calibri" w:hAnsi="Book Antiqua" w:cs="Calibri"/>
          <w:sz w:val="22"/>
          <w:szCs w:val="22"/>
        </w:rPr>
        <w:t>contribué au RDB</w:t>
      </w:r>
      <w:r w:rsidR="00314A37" w:rsidRPr="008D4891">
        <w:rPr>
          <w:rFonts w:ascii="Book Antiqua" w:eastAsia="Calibri" w:hAnsi="Book Antiqua" w:cs="Calibri"/>
          <w:sz w:val="22"/>
          <w:szCs w:val="22"/>
        </w:rPr>
        <w:t xml:space="preserve"> des ménages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</w:t>
      </w:r>
      <w:r w:rsidR="00B86C16">
        <w:rPr>
          <w:rFonts w:ascii="Book Antiqua" w:eastAsia="Calibri" w:hAnsi="Book Antiqua" w:cs="Calibri"/>
          <w:sz w:val="22"/>
          <w:szCs w:val="22"/>
        </w:rPr>
        <w:t xml:space="preserve">de </w:t>
      </w:r>
      <w:r w:rsidR="002333D3">
        <w:rPr>
          <w:rFonts w:ascii="Book Antiqua" w:eastAsia="Calibri" w:hAnsi="Book Antiqua" w:cs="Calibri"/>
          <w:sz w:val="22"/>
          <w:szCs w:val="22"/>
        </w:rPr>
        <w:t>38</w:t>
      </w:r>
      <w:r w:rsidR="008A4423" w:rsidRPr="008D4891">
        <w:rPr>
          <w:rFonts w:ascii="Book Antiqua" w:eastAsia="Calibri" w:hAnsi="Book Antiqua" w:cs="Calibri"/>
          <w:sz w:val="22"/>
          <w:szCs w:val="22"/>
        </w:rPr>
        <w:t>,</w:t>
      </w:r>
      <w:r w:rsidR="002333D3">
        <w:rPr>
          <w:rFonts w:ascii="Book Antiqua" w:eastAsia="Calibri" w:hAnsi="Book Antiqua" w:cs="Calibri"/>
          <w:sz w:val="22"/>
          <w:szCs w:val="22"/>
        </w:rPr>
        <w:t>7</w:t>
      </w:r>
      <w:r w:rsidR="00B86C16">
        <w:rPr>
          <w:rFonts w:ascii="Book Antiqua" w:eastAsia="Calibri" w:hAnsi="Book Antiqua" w:cs="Calibri"/>
          <w:sz w:val="22"/>
          <w:szCs w:val="22"/>
        </w:rPr>
        <w:t>%, les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 xml:space="preserve"> revenus</w:t>
      </w:r>
      <w:r w:rsidR="00951704">
        <w:rPr>
          <w:rFonts w:ascii="Book Antiqua" w:eastAsia="Calibri" w:hAnsi="Book Antiqua" w:cs="Calibri"/>
          <w:sz w:val="22"/>
          <w:szCs w:val="22"/>
        </w:rPr>
        <w:t xml:space="preserve"> 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 xml:space="preserve">de la </w:t>
      </w:r>
      <w:r w:rsidR="00CD38D5">
        <w:rPr>
          <w:rFonts w:ascii="Book Antiqua" w:eastAsia="Calibri" w:hAnsi="Book Antiqua" w:cs="Calibri"/>
          <w:sz w:val="22"/>
          <w:szCs w:val="22"/>
        </w:rPr>
        <w:t>propriété</w:t>
      </w:r>
      <w:r w:rsidR="000666B9">
        <w:rPr>
          <w:rFonts w:ascii="Book Antiqua" w:eastAsia="Calibri" w:hAnsi="Book Antiqua" w:cs="Calibri"/>
          <w:sz w:val="22"/>
          <w:szCs w:val="22"/>
        </w:rPr>
        <w:t xml:space="preserve"> nets</w:t>
      </w:r>
      <w:r w:rsidR="00B86C16">
        <w:rPr>
          <w:rFonts w:ascii="Book Antiqua" w:eastAsia="Calibri" w:hAnsi="Book Antiqua" w:cs="Calibri"/>
          <w:sz w:val="22"/>
          <w:szCs w:val="22"/>
        </w:rPr>
        <w:t>, les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 xml:space="preserve"> prestations sociales et autres transferts nets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de </w:t>
      </w:r>
      <w:r w:rsidR="002333D3">
        <w:rPr>
          <w:rFonts w:ascii="Book Antiqua" w:eastAsia="Calibri" w:hAnsi="Book Antiqua" w:cs="Calibri"/>
          <w:sz w:val="22"/>
          <w:szCs w:val="22"/>
        </w:rPr>
        <w:t>30</w:t>
      </w:r>
      <w:r w:rsidR="00AD01E9">
        <w:rPr>
          <w:rFonts w:ascii="Book Antiqua" w:eastAsia="Calibri" w:hAnsi="Book Antiqua" w:cs="Calibri"/>
          <w:sz w:val="22"/>
          <w:szCs w:val="22"/>
        </w:rPr>
        <w:t>,</w:t>
      </w:r>
      <w:r w:rsidR="002333D3">
        <w:rPr>
          <w:rFonts w:ascii="Book Antiqua" w:eastAsia="Calibri" w:hAnsi="Book Antiqua" w:cs="Calibri"/>
          <w:sz w:val="22"/>
          <w:szCs w:val="22"/>
        </w:rPr>
        <w:t>9</w:t>
      </w:r>
      <w:r w:rsidRPr="008D4891">
        <w:rPr>
          <w:rFonts w:ascii="Book Antiqua" w:eastAsia="Calibri" w:hAnsi="Book Antiqua" w:cs="Calibri"/>
          <w:sz w:val="22"/>
          <w:szCs w:val="22"/>
        </w:rPr>
        <w:t>%. Toutefois, les</w:t>
      </w:r>
      <w:r w:rsidRPr="0013086C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>impôts sur le revenu et le patrimoine et les coti</w:t>
      </w:r>
      <w:r w:rsidR="00CD38D5">
        <w:rPr>
          <w:rFonts w:ascii="Book Antiqua" w:eastAsia="Calibri" w:hAnsi="Book Antiqua" w:cs="Calibri"/>
          <w:sz w:val="22"/>
          <w:szCs w:val="22"/>
        </w:rPr>
        <w:t xml:space="preserve">sations sociales ont contribué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négativement </w:t>
      </w:r>
      <w:r w:rsidR="00C274B1"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8D4891">
        <w:rPr>
          <w:rFonts w:ascii="Book Antiqua" w:eastAsia="Calibri" w:hAnsi="Book Antiqua" w:cs="Calibri"/>
          <w:sz w:val="22"/>
          <w:szCs w:val="22"/>
        </w:rPr>
        <w:t>1</w:t>
      </w:r>
      <w:r w:rsidR="002333D3">
        <w:rPr>
          <w:rFonts w:ascii="Book Antiqua" w:eastAsia="Calibri" w:hAnsi="Book Antiqua" w:cs="Calibri"/>
          <w:sz w:val="22"/>
          <w:szCs w:val="22"/>
        </w:rPr>
        <w:t>6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2333D3">
        <w:rPr>
          <w:rFonts w:ascii="Book Antiqua" w:eastAsia="Calibri" w:hAnsi="Book Antiqua" w:cs="Calibri"/>
          <w:sz w:val="22"/>
          <w:szCs w:val="22"/>
        </w:rPr>
        <w:t>1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%.  </w:t>
      </w:r>
    </w:p>
    <w:p w:rsidR="00C56697" w:rsidRPr="00773ABF" w:rsidRDefault="00C56697" w:rsidP="00C56697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 xml:space="preserve">Ayant évolué de </w:t>
      </w:r>
      <w:r w:rsidR="002333D3">
        <w:rPr>
          <w:rFonts w:ascii="Book Antiqua" w:eastAsia="Calibri" w:hAnsi="Book Antiqua" w:cs="Calibri"/>
          <w:sz w:val="22"/>
          <w:szCs w:val="22"/>
        </w:rPr>
        <w:t>8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2333D3">
        <w:rPr>
          <w:rFonts w:ascii="Book Antiqua" w:eastAsia="Calibri" w:hAnsi="Book Antiqua" w:cs="Calibri"/>
          <w:sz w:val="22"/>
          <w:szCs w:val="22"/>
        </w:rPr>
        <w:t>3</w:t>
      </w:r>
      <w:r>
        <w:rPr>
          <w:rFonts w:ascii="Book Antiqua" w:eastAsia="Calibri" w:hAnsi="Book Antiqua" w:cs="Calibri"/>
          <w:sz w:val="22"/>
          <w:szCs w:val="22"/>
        </w:rPr>
        <w:t>% en 202</w:t>
      </w:r>
      <w:r w:rsidR="002333D3">
        <w:rPr>
          <w:rFonts w:ascii="Book Antiqua" w:eastAsia="Calibri" w:hAnsi="Book Antiqua" w:cs="Calibri"/>
          <w:sz w:val="22"/>
          <w:szCs w:val="22"/>
        </w:rPr>
        <w:t>2</w:t>
      </w:r>
      <w:r>
        <w:rPr>
          <w:rFonts w:ascii="Book Antiqua" w:eastAsia="Calibri" w:hAnsi="Book Antiqua" w:cs="Calibri"/>
          <w:sz w:val="22"/>
          <w:szCs w:val="22"/>
        </w:rPr>
        <w:t xml:space="preserve"> contre </w:t>
      </w:r>
      <w:r w:rsidR="00010F29">
        <w:rPr>
          <w:rFonts w:ascii="Book Antiqua" w:eastAsia="Calibri" w:hAnsi="Book Antiqua" w:cs="Calibri"/>
          <w:sz w:val="22"/>
          <w:szCs w:val="22"/>
        </w:rPr>
        <w:t>11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7</w:t>
      </w:r>
      <w:r>
        <w:rPr>
          <w:rFonts w:ascii="Book Antiqua" w:eastAsia="Calibri" w:hAnsi="Book Antiqua" w:cs="Calibri"/>
          <w:sz w:val="22"/>
          <w:szCs w:val="22"/>
        </w:rPr>
        <w:t xml:space="preserve">% une année auparavant, la </w:t>
      </w:r>
      <w:r w:rsidR="00345140">
        <w:rPr>
          <w:rFonts w:ascii="Book Antiqua" w:eastAsia="Calibri" w:hAnsi="Book Antiqua" w:cs="Calibri"/>
          <w:sz w:val="22"/>
          <w:szCs w:val="22"/>
        </w:rPr>
        <w:t xml:space="preserve">dépense de </w:t>
      </w:r>
      <w:r>
        <w:rPr>
          <w:rFonts w:ascii="Book Antiqua" w:eastAsia="Calibri" w:hAnsi="Book Antiqua" w:cs="Calibri"/>
          <w:sz w:val="22"/>
          <w:szCs w:val="22"/>
        </w:rPr>
        <w:t>consommation finale des ménages absorbe 8</w:t>
      </w:r>
      <w:r w:rsidR="00010F29">
        <w:rPr>
          <w:rFonts w:ascii="Book Antiqua" w:eastAsia="Calibri" w:hAnsi="Book Antiqua" w:cs="Calibri"/>
          <w:sz w:val="22"/>
          <w:szCs w:val="22"/>
        </w:rPr>
        <w:t>9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3</w:t>
      </w:r>
      <w:r>
        <w:rPr>
          <w:rFonts w:ascii="Book Antiqua" w:eastAsia="Calibri" w:hAnsi="Book Antiqua" w:cs="Calibri"/>
          <w:sz w:val="22"/>
          <w:szCs w:val="22"/>
        </w:rPr>
        <w:t>% du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revenu disponible brut des ménages</w:t>
      </w:r>
      <w:r>
        <w:rPr>
          <w:rFonts w:ascii="Book Antiqua" w:eastAsia="Calibri" w:hAnsi="Book Antiqua" w:cs="Calibri"/>
          <w:sz w:val="22"/>
          <w:szCs w:val="22"/>
        </w:rPr>
        <w:t xml:space="preserve">. Ainsi, </w:t>
      </w:r>
      <w:r w:rsidRPr="00773ABF">
        <w:rPr>
          <w:rFonts w:ascii="Book Antiqua" w:eastAsia="Calibri" w:hAnsi="Book Antiqua" w:cs="Calibri"/>
          <w:sz w:val="22"/>
          <w:szCs w:val="22"/>
        </w:rPr>
        <w:t>le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taux d’épargne des ménages s</w:t>
      </w:r>
      <w:r>
        <w:rPr>
          <w:rFonts w:ascii="Book Antiqua" w:eastAsia="Calibri" w:hAnsi="Book Antiqua" w:cs="Calibri"/>
          <w:sz w:val="22"/>
          <w:szCs w:val="22"/>
        </w:rPr>
        <w:t>’est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s</w:t>
      </w:r>
      <w:r>
        <w:rPr>
          <w:rFonts w:ascii="Book Antiqua" w:eastAsia="Calibri" w:hAnsi="Book Antiqua" w:cs="Calibri"/>
          <w:sz w:val="22"/>
          <w:szCs w:val="22"/>
        </w:rPr>
        <w:t>itué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à 1</w:t>
      </w:r>
      <w:r w:rsidR="00010F29">
        <w:rPr>
          <w:rFonts w:ascii="Book Antiqua" w:eastAsia="Calibri" w:hAnsi="Book Antiqua" w:cs="Calibri"/>
          <w:sz w:val="22"/>
          <w:szCs w:val="22"/>
        </w:rPr>
        <w:t>1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>% en 20</w:t>
      </w:r>
      <w:r>
        <w:rPr>
          <w:rFonts w:ascii="Book Antiqua" w:eastAsia="Calibri" w:hAnsi="Book Antiqua" w:cs="Calibri"/>
          <w:sz w:val="22"/>
          <w:szCs w:val="22"/>
        </w:rPr>
        <w:t>2</w:t>
      </w:r>
      <w:r w:rsidR="00010F29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>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EF4985">
        <w:rPr>
          <w:rFonts w:ascii="Book Antiqua" w:eastAsia="Calibri" w:hAnsi="Book Antiqua" w:cs="Calibri"/>
          <w:sz w:val="22"/>
          <w:szCs w:val="22"/>
        </w:rPr>
        <w:t xml:space="preserve">De leur côté, les transferts sociaux en nature ont évolué de </w:t>
      </w:r>
      <w:r w:rsidR="00010F29">
        <w:rPr>
          <w:rFonts w:ascii="Book Antiqua" w:eastAsia="Calibri" w:hAnsi="Book Antiqua" w:cs="Calibri"/>
          <w:sz w:val="22"/>
          <w:szCs w:val="22"/>
        </w:rPr>
        <w:t>9,8</w:t>
      </w:r>
      <w:r w:rsidRPr="00EF4985">
        <w:rPr>
          <w:rFonts w:ascii="Book Antiqua" w:eastAsia="Calibri" w:hAnsi="Book Antiqua" w:cs="Calibri"/>
          <w:sz w:val="22"/>
          <w:szCs w:val="22"/>
        </w:rPr>
        <w:t xml:space="preserve">% </w:t>
      </w:r>
      <w:r w:rsidRPr="0025711A">
        <w:rPr>
          <w:rFonts w:ascii="Book Antiqua" w:eastAsia="Calibri" w:hAnsi="Book Antiqua" w:cs="Calibri"/>
          <w:sz w:val="22"/>
          <w:szCs w:val="22"/>
        </w:rPr>
        <w:t xml:space="preserve">contre </w:t>
      </w:r>
      <w:r w:rsidR="00010F29" w:rsidRPr="0025711A">
        <w:rPr>
          <w:rFonts w:ascii="Book Antiqua" w:eastAsia="Calibri" w:hAnsi="Book Antiqua" w:cs="Calibri"/>
          <w:sz w:val="22"/>
          <w:szCs w:val="22"/>
        </w:rPr>
        <w:t>11</w:t>
      </w:r>
      <w:r w:rsidRPr="00EF4985">
        <w:rPr>
          <w:rFonts w:ascii="Book Antiqua" w:eastAsia="Calibri" w:hAnsi="Book Antiqua" w:cs="Calibri"/>
          <w:sz w:val="22"/>
          <w:szCs w:val="22"/>
        </w:rPr>
        <w:t>% en 202</w:t>
      </w:r>
      <w:r w:rsidR="007A6FB0">
        <w:rPr>
          <w:rFonts w:ascii="Book Antiqua" w:eastAsia="Calibri" w:hAnsi="Book Antiqua" w:cs="Calibri"/>
          <w:sz w:val="22"/>
          <w:szCs w:val="22"/>
        </w:rPr>
        <w:t>1</w:t>
      </w:r>
      <w:r w:rsidRPr="00EF4985">
        <w:rPr>
          <w:rFonts w:ascii="Book Antiqua" w:eastAsia="Calibri" w:hAnsi="Book Antiqua" w:cs="Calibri"/>
          <w:sz w:val="22"/>
          <w:szCs w:val="22"/>
        </w:rPr>
        <w:t xml:space="preserve">. Par conséquent, la consommation finale effective des ménages a atteint </w:t>
      </w:r>
      <w:r w:rsidR="00010F29">
        <w:rPr>
          <w:rFonts w:ascii="Book Antiqua" w:eastAsia="Calibri" w:hAnsi="Book Antiqua" w:cs="Calibri"/>
          <w:sz w:val="22"/>
          <w:szCs w:val="22"/>
        </w:rPr>
        <w:t>936</w:t>
      </w:r>
      <w:r w:rsidRPr="00EF4985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4</w:t>
      </w:r>
      <w:r w:rsidRPr="00EF4985">
        <w:rPr>
          <w:rFonts w:ascii="Book Antiqua" w:eastAsia="Calibri" w:hAnsi="Book Antiqua" w:cs="Calibri"/>
          <w:sz w:val="22"/>
          <w:szCs w:val="22"/>
        </w:rPr>
        <w:t xml:space="preserve"> milliards de DH contre </w:t>
      </w:r>
      <w:r w:rsidR="00010F29">
        <w:rPr>
          <w:rFonts w:ascii="Book Antiqua" w:eastAsia="Calibri" w:hAnsi="Book Antiqua" w:cs="Calibri"/>
          <w:sz w:val="22"/>
          <w:szCs w:val="22"/>
        </w:rPr>
        <w:t>863</w:t>
      </w:r>
      <w:r w:rsidRPr="00EF4985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4</w:t>
      </w:r>
      <w:r w:rsidRPr="00EF4985">
        <w:rPr>
          <w:rFonts w:ascii="Book Antiqua" w:eastAsia="Calibri" w:hAnsi="Book Antiqua" w:cs="Calibri"/>
          <w:sz w:val="22"/>
          <w:szCs w:val="22"/>
        </w:rPr>
        <w:t xml:space="preserve"> l’année précédente.</w:t>
      </w:r>
    </w:p>
    <w:p w:rsidR="007C0DA8" w:rsidRDefault="008D4891" w:rsidP="006F09B1">
      <w:pPr>
        <w:spacing w:before="240" w:after="240" w:line="400" w:lineRule="exact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 xml:space="preserve">Par habitant, le revenu disponible des ménages a atteint </w:t>
      </w:r>
      <w:r w:rsidR="00B428A7">
        <w:rPr>
          <w:rFonts w:ascii="Book Antiqua" w:eastAsia="Calibri" w:hAnsi="Book Antiqua" w:cs="Calibri"/>
          <w:sz w:val="22"/>
          <w:szCs w:val="22"/>
        </w:rPr>
        <w:t>2</w:t>
      </w:r>
      <w:r w:rsidR="001E3C72">
        <w:rPr>
          <w:rFonts w:ascii="Book Antiqua" w:eastAsia="Calibri" w:hAnsi="Book Antiqua" w:cs="Calibri"/>
          <w:sz w:val="22"/>
          <w:szCs w:val="22"/>
        </w:rPr>
        <w:t>4 8</w:t>
      </w:r>
      <w:r w:rsidR="00010F29">
        <w:rPr>
          <w:rFonts w:ascii="Book Antiqua" w:eastAsia="Calibri" w:hAnsi="Book Antiqua" w:cs="Calibri"/>
          <w:sz w:val="22"/>
          <w:szCs w:val="22"/>
        </w:rPr>
        <w:t>33</w:t>
      </w:r>
      <w:r w:rsidR="00B428A7">
        <w:rPr>
          <w:rFonts w:ascii="Book Antiqua" w:eastAsia="Calibri" w:hAnsi="Book Antiqua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>DH en 20</w:t>
      </w:r>
      <w:r w:rsidR="001E3C72">
        <w:rPr>
          <w:rFonts w:ascii="Book Antiqua" w:eastAsia="Calibri" w:hAnsi="Book Antiqua" w:cs="Calibri"/>
          <w:sz w:val="22"/>
          <w:szCs w:val="22"/>
        </w:rPr>
        <w:t>2</w:t>
      </w:r>
      <w:r w:rsidR="00010F29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au lieu de </w:t>
      </w:r>
      <w:r w:rsidR="00AF7F05">
        <w:rPr>
          <w:rFonts w:ascii="Book Antiqua" w:eastAsia="Calibri" w:hAnsi="Book Antiqua" w:cs="Calibri"/>
          <w:sz w:val="22"/>
          <w:szCs w:val="22"/>
        </w:rPr>
        <w:t>2</w:t>
      </w:r>
      <w:r w:rsidR="00010F29">
        <w:rPr>
          <w:rFonts w:ascii="Book Antiqua" w:eastAsia="Calibri" w:hAnsi="Book Antiqua" w:cs="Calibri"/>
          <w:sz w:val="22"/>
          <w:szCs w:val="22"/>
        </w:rPr>
        <w:t>3</w:t>
      </w:r>
      <w:r w:rsidR="0025711A">
        <w:rPr>
          <w:rFonts w:ascii="Book Antiqua" w:eastAsia="Calibri" w:hAnsi="Book Antiqua" w:cs="Calibri"/>
          <w:sz w:val="22"/>
          <w:szCs w:val="22"/>
        </w:rPr>
        <w:t xml:space="preserve"> </w:t>
      </w:r>
      <w:r w:rsidR="00010F29">
        <w:rPr>
          <w:rFonts w:ascii="Book Antiqua" w:eastAsia="Calibri" w:hAnsi="Book Antiqua" w:cs="Calibri"/>
          <w:sz w:val="22"/>
          <w:szCs w:val="22"/>
        </w:rPr>
        <w:t>845</w:t>
      </w:r>
      <w:r w:rsidR="007C0DA8" w:rsidRPr="008D4891">
        <w:rPr>
          <w:rFonts w:ascii="Book Antiqua" w:eastAsia="Calibri" w:hAnsi="Book Antiqua" w:cs="Calibri"/>
          <w:sz w:val="22"/>
          <w:szCs w:val="22"/>
        </w:rPr>
        <w:t xml:space="preserve"> DH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en 20</w:t>
      </w:r>
      <w:r w:rsidR="001E3C72">
        <w:rPr>
          <w:rFonts w:ascii="Book Antiqua" w:eastAsia="Calibri" w:hAnsi="Book Antiqua" w:cs="Calibri"/>
          <w:sz w:val="22"/>
          <w:szCs w:val="22"/>
        </w:rPr>
        <w:t>2</w:t>
      </w:r>
      <w:r w:rsidR="00010F29">
        <w:rPr>
          <w:rFonts w:ascii="Book Antiqua" w:eastAsia="Calibri" w:hAnsi="Book Antiqua" w:cs="Calibri"/>
          <w:sz w:val="22"/>
          <w:szCs w:val="22"/>
        </w:rPr>
        <w:t>1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enregistrant ainsi une hausse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010F29">
        <w:rPr>
          <w:rFonts w:ascii="Book Antiqua" w:eastAsia="Calibri" w:hAnsi="Book Antiqua" w:cs="Calibri"/>
          <w:sz w:val="22"/>
          <w:szCs w:val="22"/>
        </w:rPr>
        <w:t>4</w:t>
      </w:r>
      <w:r w:rsidR="006D4EF3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1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%. </w:t>
      </w:r>
      <w:r w:rsidR="006D4EF3" w:rsidRPr="00C56697">
        <w:rPr>
          <w:rFonts w:ascii="Book Antiqua" w:eastAsia="Calibri" w:hAnsi="Book Antiqua" w:cs="Calibri"/>
          <w:sz w:val="22"/>
          <w:szCs w:val="22"/>
        </w:rPr>
        <w:t>S</w:t>
      </w:r>
      <w:r w:rsidR="0085098E" w:rsidRPr="00C56697">
        <w:rPr>
          <w:rFonts w:ascii="Book Antiqua" w:eastAsia="Calibri" w:hAnsi="Book Antiqua" w:cs="Calibri"/>
          <w:sz w:val="22"/>
          <w:szCs w:val="22"/>
        </w:rPr>
        <w:t xml:space="preserve">uite, 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 xml:space="preserve">à </w:t>
      </w:r>
      <w:r w:rsidR="006F09B1" w:rsidRPr="00345140">
        <w:rPr>
          <w:rFonts w:ascii="Book Antiqua" w:eastAsia="Calibri" w:hAnsi="Book Antiqua" w:cs="Calibri"/>
          <w:sz w:val="22"/>
          <w:szCs w:val="22"/>
        </w:rPr>
        <w:t>l’</w:t>
      </w:r>
      <w:r w:rsidR="00B162EE" w:rsidRPr="00345140">
        <w:rPr>
          <w:rFonts w:ascii="Book Antiqua" w:eastAsia="Calibri" w:hAnsi="Book Antiqua" w:cs="Calibri"/>
          <w:sz w:val="22"/>
          <w:szCs w:val="22"/>
        </w:rPr>
        <w:t>évolut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>ion</w:t>
      </w:r>
      <w:r w:rsidR="002C74D0" w:rsidRPr="00C56697">
        <w:rPr>
          <w:rFonts w:ascii="Book Antiqua" w:eastAsia="Calibri" w:hAnsi="Book Antiqua" w:cs="Calibri"/>
          <w:sz w:val="22"/>
          <w:szCs w:val="22"/>
        </w:rPr>
        <w:t xml:space="preserve"> </w:t>
      </w:r>
      <w:r w:rsidR="002932AE" w:rsidRPr="00C56697">
        <w:rPr>
          <w:rFonts w:ascii="Book Antiqua" w:eastAsia="Calibri" w:hAnsi="Book Antiqua" w:cs="Calibri"/>
          <w:sz w:val="22"/>
          <w:szCs w:val="22"/>
        </w:rPr>
        <w:t xml:space="preserve">de </w:t>
      </w:r>
      <w:r w:rsidR="00010F29">
        <w:rPr>
          <w:rFonts w:ascii="Book Antiqua" w:eastAsia="Calibri" w:hAnsi="Book Antiqua" w:cs="Calibri"/>
          <w:sz w:val="22"/>
          <w:szCs w:val="22"/>
        </w:rPr>
        <w:t>6</w:t>
      </w:r>
      <w:r w:rsidR="002932AE" w:rsidRPr="00C56697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6</w:t>
      </w:r>
      <w:r w:rsidR="002932AE" w:rsidRPr="00C56697">
        <w:rPr>
          <w:rFonts w:ascii="Book Antiqua" w:eastAsia="Calibri" w:hAnsi="Book Antiqua" w:cs="Calibri"/>
          <w:sz w:val="22"/>
          <w:szCs w:val="22"/>
        </w:rPr>
        <w:t xml:space="preserve">% </w:t>
      </w:r>
      <w:r w:rsidRPr="00C56697">
        <w:rPr>
          <w:rFonts w:ascii="Book Antiqua" w:eastAsia="Calibri" w:hAnsi="Book Antiqua" w:cs="Calibri"/>
          <w:sz w:val="22"/>
          <w:szCs w:val="22"/>
        </w:rPr>
        <w:t>des prix à la</w:t>
      </w:r>
      <w:r w:rsidR="006D4EF3" w:rsidRPr="00C56697">
        <w:rPr>
          <w:rFonts w:ascii="Book Antiqua" w:eastAsia="Calibri" w:hAnsi="Book Antiqua" w:cs="Calibri"/>
          <w:sz w:val="22"/>
          <w:szCs w:val="22"/>
        </w:rPr>
        <w:t xml:space="preserve"> consommation en 20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>2</w:t>
      </w:r>
      <w:r w:rsidR="00010F29">
        <w:rPr>
          <w:rFonts w:ascii="Book Antiqua" w:eastAsia="Calibri" w:hAnsi="Book Antiqua" w:cs="Calibri"/>
          <w:sz w:val="22"/>
          <w:szCs w:val="22"/>
        </w:rPr>
        <w:t>2</w:t>
      </w:r>
      <w:r w:rsidR="006D4EF3" w:rsidRPr="00C56697">
        <w:rPr>
          <w:rFonts w:ascii="Book Antiqua" w:eastAsia="Calibri" w:hAnsi="Book Antiqua" w:cs="Calibri"/>
          <w:sz w:val="22"/>
          <w:szCs w:val="22"/>
        </w:rPr>
        <w:t xml:space="preserve">, </w:t>
      </w:r>
      <w:r w:rsidRPr="00C56697">
        <w:rPr>
          <w:rFonts w:ascii="Book Antiqua" w:eastAsia="Calibri" w:hAnsi="Book Antiqua" w:cs="Calibri"/>
          <w:sz w:val="22"/>
          <w:szCs w:val="22"/>
        </w:rPr>
        <w:t xml:space="preserve">le pouvoir d’achat des ménages s’est </w:t>
      </w:r>
      <w:r w:rsidR="000666B9">
        <w:rPr>
          <w:rFonts w:ascii="Book Antiqua" w:eastAsia="Calibri" w:hAnsi="Book Antiqua" w:cs="Calibri"/>
          <w:sz w:val="22"/>
          <w:szCs w:val="22"/>
        </w:rPr>
        <w:t xml:space="preserve">dégradé de </w:t>
      </w:r>
      <w:r w:rsidR="00010F29">
        <w:rPr>
          <w:rFonts w:ascii="Book Antiqua" w:eastAsia="Calibri" w:hAnsi="Book Antiqua" w:cs="Calibri"/>
          <w:sz w:val="22"/>
          <w:szCs w:val="22"/>
        </w:rPr>
        <w:t>2</w:t>
      </w:r>
      <w:r w:rsidR="0035007D" w:rsidRPr="00C56697">
        <w:rPr>
          <w:rFonts w:ascii="Book Antiqua" w:eastAsia="Calibri" w:hAnsi="Book Antiqua" w:cs="Calibri"/>
          <w:sz w:val="22"/>
          <w:szCs w:val="22"/>
        </w:rPr>
        <w:t>,</w:t>
      </w:r>
      <w:r w:rsidR="00010F29">
        <w:rPr>
          <w:rFonts w:ascii="Book Antiqua" w:eastAsia="Calibri" w:hAnsi="Book Antiqua" w:cs="Calibri"/>
          <w:sz w:val="22"/>
          <w:szCs w:val="22"/>
        </w:rPr>
        <w:t>5</w:t>
      </w:r>
      <w:r w:rsidR="0035007D" w:rsidRPr="00C56697">
        <w:rPr>
          <w:rFonts w:ascii="Book Antiqua" w:eastAsia="Calibri" w:hAnsi="Book Antiqua" w:cs="Calibri"/>
          <w:sz w:val="22"/>
          <w:szCs w:val="22"/>
        </w:rPr>
        <w:t xml:space="preserve"> </w:t>
      </w:r>
      <w:r w:rsidR="007C0DA8" w:rsidRPr="00C56697">
        <w:rPr>
          <w:rFonts w:ascii="Book Antiqua" w:eastAsia="Calibri" w:hAnsi="Book Antiqua" w:cs="Calibri"/>
          <w:sz w:val="22"/>
          <w:szCs w:val="22"/>
        </w:rPr>
        <w:t>points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 xml:space="preserve"> après une forte </w:t>
      </w:r>
      <w:r w:rsidR="00010F29">
        <w:rPr>
          <w:rFonts w:ascii="Book Antiqua" w:eastAsia="Calibri" w:hAnsi="Book Antiqua" w:cs="Calibri"/>
          <w:sz w:val="22"/>
          <w:szCs w:val="22"/>
        </w:rPr>
        <w:t>hau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 xml:space="preserve">sse de </w:t>
      </w:r>
      <w:r w:rsidR="00010F29">
        <w:rPr>
          <w:rFonts w:ascii="Book Antiqua" w:eastAsia="Calibri" w:hAnsi="Book Antiqua" w:cs="Calibri"/>
          <w:sz w:val="22"/>
          <w:szCs w:val="22"/>
        </w:rPr>
        <w:t>6,7</w:t>
      </w:r>
      <w:r w:rsidR="00B162EE" w:rsidRPr="00C56697">
        <w:rPr>
          <w:rFonts w:ascii="Book Antiqua" w:eastAsia="Calibri" w:hAnsi="Book Antiqua" w:cs="Calibri"/>
          <w:sz w:val="22"/>
          <w:szCs w:val="22"/>
        </w:rPr>
        <w:t xml:space="preserve"> enregistrée en </w:t>
      </w:r>
      <w:r w:rsidR="00B86C16" w:rsidRPr="00C56697">
        <w:rPr>
          <w:rFonts w:ascii="Book Antiqua" w:eastAsia="Calibri" w:hAnsi="Book Antiqua" w:cs="Calibri"/>
          <w:sz w:val="22"/>
          <w:szCs w:val="22"/>
        </w:rPr>
        <w:t>202</w:t>
      </w:r>
      <w:r w:rsidR="00010F29">
        <w:rPr>
          <w:rFonts w:ascii="Book Antiqua" w:eastAsia="Calibri" w:hAnsi="Book Antiqua" w:cs="Calibri"/>
          <w:sz w:val="22"/>
          <w:szCs w:val="22"/>
        </w:rPr>
        <w:t>1</w:t>
      </w:r>
      <w:r w:rsidR="00B86C16" w:rsidRPr="00C56697">
        <w:rPr>
          <w:rFonts w:ascii="Book Antiqua" w:eastAsia="Calibri" w:hAnsi="Book Antiqua" w:cs="Calibri"/>
          <w:sz w:val="22"/>
          <w:szCs w:val="22"/>
        </w:rPr>
        <w:t>.</w:t>
      </w:r>
    </w:p>
    <w:p w:rsidR="00DE0EE9" w:rsidRPr="00694C90" w:rsidRDefault="00DE0EE9" w:rsidP="007C0DA8">
      <w:pPr>
        <w:spacing w:before="240" w:after="240" w:line="400" w:lineRule="exact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694C90"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  <w:t xml:space="preserve">Quelques </w:t>
      </w:r>
      <w:r w:rsidR="00AD2758" w:rsidRPr="00694C90"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  <w:t>éléments du</w:t>
      </w:r>
      <w:r w:rsidRPr="00694C90"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  <w:t xml:space="preserve"> compte des ménages</w:t>
      </w:r>
    </w:p>
    <w:tbl>
      <w:tblPr>
        <w:tblW w:w="9017" w:type="dxa"/>
        <w:tblCellMar>
          <w:left w:w="70" w:type="dxa"/>
          <w:right w:w="70" w:type="dxa"/>
        </w:tblCellMar>
        <w:tblLook w:val="04A0"/>
      </w:tblPr>
      <w:tblGrid>
        <w:gridCol w:w="5242"/>
        <w:gridCol w:w="456"/>
        <w:gridCol w:w="956"/>
        <w:gridCol w:w="173"/>
        <w:gridCol w:w="1004"/>
        <w:gridCol w:w="164"/>
        <w:gridCol w:w="1022"/>
      </w:tblGrid>
      <w:tr w:rsidR="00DE0EE9" w:rsidRPr="00345140" w:rsidTr="00345140">
        <w:trPr>
          <w:trHeight w:val="332"/>
        </w:trPr>
        <w:tc>
          <w:tcPr>
            <w:tcW w:w="524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345140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456" w:type="dxa"/>
          </w:tcPr>
          <w:p w:rsidR="00DE0EE9" w:rsidRPr="00345140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345140" w:rsidRDefault="00DE0EE9" w:rsidP="00AF7F05">
            <w:pPr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20</w:t>
            </w:r>
            <w:r w:rsidR="00010F29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20</w:t>
            </w:r>
          </w:p>
        </w:tc>
        <w:tc>
          <w:tcPr>
            <w:tcW w:w="173" w:type="dxa"/>
          </w:tcPr>
          <w:p w:rsidR="00DE0EE9" w:rsidRPr="00345140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345140" w:rsidRDefault="00DE0EE9" w:rsidP="00AF7F05">
            <w:pPr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20</w:t>
            </w:r>
            <w:r w:rsidR="007F43F9"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</w:t>
            </w:r>
            <w:r w:rsidR="00010F29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1</w:t>
            </w:r>
          </w:p>
        </w:tc>
        <w:tc>
          <w:tcPr>
            <w:tcW w:w="164" w:type="dxa"/>
          </w:tcPr>
          <w:p w:rsidR="00DE0EE9" w:rsidRPr="00345140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345140" w:rsidRDefault="00DE0EE9" w:rsidP="00AF7F05">
            <w:pPr>
              <w:jc w:val="center"/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20</w:t>
            </w:r>
            <w:r w:rsidR="007F43F9" w:rsidRPr="00345140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</w:t>
            </w:r>
            <w:r w:rsidR="00010F29">
              <w:rPr>
                <w:rFonts w:asciiTheme="majorHAnsi" w:hAnsiTheme="majorHAnsi" w:cs="Arial"/>
                <w:b/>
                <w:bCs/>
                <w:color w:val="800080"/>
                <w:sz w:val="20"/>
                <w:szCs w:val="20"/>
              </w:rPr>
              <w:t>2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sz w:val="18"/>
                <w:szCs w:val="18"/>
              </w:rPr>
              <w:t>Revenu brut disponible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millions de DH)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793</w:t>
            </w:r>
            <w:r w:rsidR="007159D7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>1</w:t>
            </w:r>
            <w:r w:rsidR="007159D7">
              <w:rPr>
                <w:rFonts w:ascii="Book Antiqua" w:hAnsi="Book Antiqua" w:cs="Arial"/>
                <w:sz w:val="18"/>
                <w:szCs w:val="18"/>
              </w:rPr>
              <w:t>7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>8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</w:tcPr>
          <w:p w:rsidR="002C74D0" w:rsidRPr="003F0787" w:rsidRDefault="00FA229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865 898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910 632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Revenu mixte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39,1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40,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5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38,7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Rémunération des salariés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48,2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6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8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46,5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Revenus de la propriété nets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4,4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</w:t>
            </w:r>
            <w:r w:rsidR="00623476"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>
              <w:rPr>
                <w:rFonts w:ascii="Book Antiqua" w:hAnsi="Book Antiqua" w:cs="Arial"/>
                <w:sz w:val="18"/>
                <w:szCs w:val="18"/>
              </w:rPr>
              <w:t>2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4,5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Impôts sur le revenu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-4,4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-4,5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-4,7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Cotisations sociales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-11,1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-11,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2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-11,4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  </w:t>
            </w:r>
            <w:r w:rsidRPr="002231B9">
              <w:rPr>
                <w:rFonts w:ascii="Book Antiqua" w:hAnsi="Book Antiqua" w:cs="Calibri"/>
                <w:sz w:val="18"/>
                <w:szCs w:val="18"/>
              </w:rPr>
              <w:t>Prestations sociales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12,5</w:t>
            </w:r>
          </w:p>
        </w:tc>
        <w:tc>
          <w:tcPr>
            <w:tcW w:w="173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11,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4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12,1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   Autres transferts nets</w:t>
            </w:r>
            <w:r w:rsidRPr="002231B9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%)</w:t>
            </w:r>
          </w:p>
        </w:tc>
        <w:tc>
          <w:tcPr>
            <w:tcW w:w="456" w:type="dxa"/>
            <w:vAlign w:val="bottom"/>
            <w:hideMark/>
          </w:tcPr>
          <w:p w:rsidR="002C74D0" w:rsidRPr="00345140" w:rsidRDefault="002C74D0" w:rsidP="004A4B95">
            <w:pPr>
              <w:ind w:right="226"/>
              <w:rPr>
                <w:rFonts w:asciiTheme="majorHAnsi" w:hAnsiTheme="majorHAnsi" w:cs="Arial"/>
                <w:color w:val="800080"/>
                <w:sz w:val="20"/>
                <w:szCs w:val="20"/>
              </w:rPr>
            </w:pPr>
            <w:r w:rsidRPr="00345140">
              <w:rPr>
                <w:rFonts w:asciiTheme="majorHAnsi" w:hAnsiTheme="maj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11,2</w:t>
            </w:r>
          </w:p>
        </w:tc>
        <w:tc>
          <w:tcPr>
            <w:tcW w:w="173" w:type="dxa"/>
            <w:vAlign w:val="bottom"/>
            <w:hideMark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2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8</w:t>
            </w:r>
          </w:p>
        </w:tc>
        <w:tc>
          <w:tcPr>
            <w:tcW w:w="164" w:type="dxa"/>
            <w:vAlign w:val="bottom"/>
          </w:tcPr>
          <w:p w:rsidR="002C74D0" w:rsidRPr="003F0787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14,3</w:t>
            </w:r>
          </w:p>
        </w:tc>
      </w:tr>
      <w:tr w:rsidR="00E97563" w:rsidRPr="00345140" w:rsidTr="00E97563">
        <w:trPr>
          <w:trHeight w:val="332"/>
        </w:trPr>
        <w:tc>
          <w:tcPr>
            <w:tcW w:w="5242" w:type="dxa"/>
            <w:vAlign w:val="bottom"/>
          </w:tcPr>
          <w:p w:rsidR="00E97563" w:rsidRDefault="00E97563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Dépense de consommation finale (en millions de DH)</w:t>
            </w:r>
          </w:p>
        </w:tc>
        <w:tc>
          <w:tcPr>
            <w:tcW w:w="456" w:type="dxa"/>
          </w:tcPr>
          <w:p w:rsidR="00E97563" w:rsidRDefault="00E97563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E97563" w:rsidRDefault="00D861D4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672 </w:t>
            </w:r>
            <w:r w:rsidR="007159D7">
              <w:rPr>
                <w:rFonts w:ascii="Book Antiqua" w:hAnsi="Book Antiqua" w:cs="Arial"/>
                <w:sz w:val="18"/>
                <w:szCs w:val="18"/>
              </w:rPr>
              <w:t>606</w:t>
            </w:r>
          </w:p>
        </w:tc>
        <w:tc>
          <w:tcPr>
            <w:tcW w:w="173" w:type="dxa"/>
            <w:vAlign w:val="center"/>
          </w:tcPr>
          <w:p w:rsidR="00E97563" w:rsidRPr="003F0787" w:rsidRDefault="00E97563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E97563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751 470</w:t>
            </w:r>
          </w:p>
        </w:tc>
        <w:tc>
          <w:tcPr>
            <w:tcW w:w="164" w:type="dxa"/>
            <w:vAlign w:val="center"/>
          </w:tcPr>
          <w:p w:rsidR="00E97563" w:rsidRPr="003F0787" w:rsidRDefault="00E97563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E97563" w:rsidRPr="003F0787" w:rsidRDefault="00D861D4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813 450</w:t>
            </w:r>
          </w:p>
        </w:tc>
      </w:tr>
      <w:tr w:rsidR="00E97563" w:rsidRPr="00345140" w:rsidTr="00E97563">
        <w:trPr>
          <w:trHeight w:val="332"/>
        </w:trPr>
        <w:tc>
          <w:tcPr>
            <w:tcW w:w="5242" w:type="dxa"/>
            <w:vAlign w:val="bottom"/>
          </w:tcPr>
          <w:p w:rsidR="00E97563" w:rsidRDefault="00D861D4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Consommation finale effective (en millions de DH)</w:t>
            </w:r>
          </w:p>
        </w:tc>
        <w:tc>
          <w:tcPr>
            <w:tcW w:w="456" w:type="dxa"/>
          </w:tcPr>
          <w:p w:rsidR="00E97563" w:rsidRDefault="00E97563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E97563" w:rsidRDefault="00D861D4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773 217</w:t>
            </w:r>
          </w:p>
        </w:tc>
        <w:tc>
          <w:tcPr>
            <w:tcW w:w="173" w:type="dxa"/>
            <w:vAlign w:val="center"/>
          </w:tcPr>
          <w:p w:rsidR="00E97563" w:rsidRPr="003F0787" w:rsidRDefault="00E97563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E97563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863 388</w:t>
            </w:r>
          </w:p>
        </w:tc>
        <w:tc>
          <w:tcPr>
            <w:tcW w:w="164" w:type="dxa"/>
            <w:vAlign w:val="center"/>
          </w:tcPr>
          <w:p w:rsidR="00E97563" w:rsidRPr="003F0787" w:rsidRDefault="00E97563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E97563" w:rsidRPr="003F0787" w:rsidRDefault="00D861D4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936 390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Epargne brute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millions de DH)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E97563" w:rsidRDefault="00E97563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12</w:t>
            </w:r>
            <w:r w:rsidR="007159D7">
              <w:rPr>
                <w:rFonts w:ascii="Book Antiqua" w:hAnsi="Book Antiqua" w:cs="Arial"/>
                <w:sz w:val="18"/>
                <w:szCs w:val="18"/>
              </w:rPr>
              <w:t>3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7159D7">
              <w:rPr>
                <w:rFonts w:ascii="Book Antiqua" w:hAnsi="Book Antiqua" w:cs="Arial"/>
                <w:sz w:val="18"/>
                <w:szCs w:val="18"/>
              </w:rPr>
              <w:t>899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118 220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101 801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Taux d’épargne 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15,6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3</w:t>
            </w:r>
            <w:r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 w:rsidR="00A4020C">
              <w:rPr>
                <w:rFonts w:ascii="Book Antiqua" w:hAnsi="Book Antiqua" w:cs="Arial"/>
                <w:sz w:val="18"/>
                <w:szCs w:val="18"/>
              </w:rPr>
              <w:t>7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11,2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Revenu brut disponible par tête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(en DH)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22 063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23 845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24 833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Revenu brut disponible par tête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</w:t>
            </w:r>
            <w:r w:rsidR="000666B9"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en %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-4,7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04" w:type="dxa"/>
            <w:vAlign w:val="bottom"/>
          </w:tcPr>
          <w:p w:rsidR="002C74D0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</w:t>
            </w:r>
            <w:r w:rsidR="00623476"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>
              <w:rPr>
                <w:rFonts w:ascii="Book Antiqua" w:hAnsi="Book Antiqua" w:cs="Arial"/>
                <w:sz w:val="18"/>
                <w:szCs w:val="18"/>
              </w:rPr>
              <w:t>1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22" w:type="dxa"/>
            <w:vAlign w:val="bottom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4,1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Indice des prix à la consommation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</w:t>
            </w:r>
            <w:r w:rsidR="000666B9"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en %</w:t>
            </w:r>
            <w:r w:rsidR="000666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C74D0" w:rsidRPr="003F0787" w:rsidRDefault="00010F29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0,7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C74D0" w:rsidRPr="003F0787" w:rsidRDefault="00623476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1,4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6,6</w:t>
            </w:r>
          </w:p>
        </w:tc>
      </w:tr>
      <w:tr w:rsidR="002C74D0" w:rsidRPr="00345140" w:rsidTr="00623476">
        <w:trPr>
          <w:trHeight w:val="332"/>
        </w:trPr>
        <w:tc>
          <w:tcPr>
            <w:tcW w:w="5242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2C74D0" w:rsidRPr="002231B9" w:rsidRDefault="002C74D0" w:rsidP="003F0787">
            <w:pPr>
              <w:spacing w:line="276" w:lineRule="auto"/>
              <w:ind w:right="226"/>
              <w:rPr>
                <w:rFonts w:ascii="Book Antiqua" w:hAnsi="Book Antiqua" w:cs="Calibri"/>
                <w:sz w:val="18"/>
                <w:szCs w:val="18"/>
              </w:rPr>
            </w:pPr>
            <w:r w:rsidRPr="002231B9">
              <w:rPr>
                <w:rFonts w:ascii="Book Antiqua" w:hAnsi="Book Antiqua" w:cs="Calibri"/>
                <w:sz w:val="18"/>
                <w:szCs w:val="18"/>
              </w:rPr>
              <w:t xml:space="preserve">Pouvoir d’achat des ménages </w:t>
            </w:r>
            <w:r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(</w:t>
            </w:r>
            <w:r w:rsidR="000666B9" w:rsidRPr="002231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en %</w:t>
            </w:r>
            <w:r w:rsidR="000666B9">
              <w:rPr>
                <w:rFonts w:ascii="Book Antiqua" w:hAnsi="Book Antiqua" w:cs="Calibri"/>
                <w:b/>
                <w:color w:val="993300"/>
                <w:sz w:val="18"/>
                <w:szCs w:val="18"/>
              </w:rPr>
              <w:t>)</w:t>
            </w:r>
          </w:p>
        </w:tc>
        <w:tc>
          <w:tcPr>
            <w:tcW w:w="456" w:type="dxa"/>
          </w:tcPr>
          <w:p w:rsidR="002C74D0" w:rsidRPr="00345140" w:rsidRDefault="002C74D0" w:rsidP="004A4B95">
            <w:pPr>
              <w:ind w:right="226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</w:tcPr>
          <w:p w:rsidR="002C74D0" w:rsidRPr="003F0787" w:rsidRDefault="00010F29" w:rsidP="006D307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-5,</w:t>
            </w:r>
            <w:r w:rsidR="006D3077">
              <w:rPr>
                <w:rFonts w:ascii="Book Antiqua" w:hAnsi="Book Antiqua" w:cs="Arial" w:hint="cs"/>
                <w:sz w:val="18"/>
                <w:szCs w:val="18"/>
                <w:rtl/>
              </w:rPr>
              <w:t>4</w:t>
            </w:r>
          </w:p>
        </w:tc>
        <w:tc>
          <w:tcPr>
            <w:tcW w:w="173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</w:tcPr>
          <w:p w:rsidR="002C74D0" w:rsidRPr="003F0787" w:rsidRDefault="00A4020C" w:rsidP="003F0787">
            <w:pPr>
              <w:spacing w:line="276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</w:t>
            </w:r>
            <w:r w:rsidR="00623476" w:rsidRPr="003F0787">
              <w:rPr>
                <w:rFonts w:ascii="Book Antiqua" w:hAnsi="Book Antiqua" w:cs="Arial"/>
                <w:sz w:val="18"/>
                <w:szCs w:val="18"/>
              </w:rPr>
              <w:t>,</w:t>
            </w:r>
            <w:r>
              <w:rPr>
                <w:rFonts w:ascii="Book Antiqua" w:hAnsi="Book Antiqua" w:cs="Arial"/>
                <w:sz w:val="18"/>
                <w:szCs w:val="18"/>
              </w:rPr>
              <w:t>7</w:t>
            </w:r>
          </w:p>
        </w:tc>
        <w:tc>
          <w:tcPr>
            <w:tcW w:w="164" w:type="dxa"/>
            <w:vAlign w:val="center"/>
          </w:tcPr>
          <w:p w:rsidR="002C74D0" w:rsidRPr="003F0787" w:rsidRDefault="002C74D0" w:rsidP="003F0787">
            <w:pPr>
              <w:spacing w:line="276" w:lineRule="auto"/>
              <w:ind w:right="226"/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</w:tcPr>
          <w:p w:rsidR="002C74D0" w:rsidRPr="003F0787" w:rsidRDefault="002231B9" w:rsidP="003F0787">
            <w:pPr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0787">
              <w:rPr>
                <w:rFonts w:ascii="Book Antiqua" w:hAnsi="Book Antiqua" w:cs="Arial"/>
                <w:sz w:val="18"/>
                <w:szCs w:val="18"/>
              </w:rPr>
              <w:t>-2,5</w:t>
            </w:r>
          </w:p>
        </w:tc>
      </w:tr>
    </w:tbl>
    <w:p w:rsidR="00422C77" w:rsidRPr="00345140" w:rsidRDefault="00422C77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  <w:sz w:val="20"/>
          <w:szCs w:val="20"/>
        </w:rPr>
      </w:pPr>
    </w:p>
    <w:p w:rsidR="001E3C72" w:rsidRPr="00345140" w:rsidRDefault="001E3C72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  <w:sz w:val="20"/>
          <w:szCs w:val="20"/>
        </w:rPr>
      </w:pPr>
    </w:p>
    <w:p w:rsidR="00964263" w:rsidRPr="00315F80" w:rsidRDefault="00964263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Formation brute du capital fixe et son financement </w:t>
      </w:r>
    </w:p>
    <w:p w:rsidR="00F86FC7" w:rsidRPr="00330B81" w:rsidRDefault="00E149E6" w:rsidP="00EB0397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L’épargne nationale, avec</w:t>
      </w:r>
      <w:r w:rsidR="00F86FC7">
        <w:rPr>
          <w:rFonts w:ascii="Book Antiqua" w:eastAsia="Calibri" w:hAnsi="Book Antiqua" w:cs="Calibri"/>
          <w:sz w:val="22"/>
          <w:szCs w:val="22"/>
        </w:rPr>
        <w:t xml:space="preserve"> 3</w:t>
      </w:r>
      <w:r w:rsidR="0002156D">
        <w:rPr>
          <w:rFonts w:ascii="Book Antiqua" w:eastAsia="Calibri" w:hAnsi="Book Antiqua" w:cs="Calibri"/>
          <w:sz w:val="22"/>
          <w:szCs w:val="22"/>
        </w:rPr>
        <w:t>56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1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>milliards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 de DH en 20</w:t>
      </w:r>
      <w:r w:rsidR="00B162EE">
        <w:rPr>
          <w:rFonts w:ascii="Book Antiqua" w:eastAsia="Calibri" w:hAnsi="Book Antiqua" w:cs="Calibri"/>
          <w:sz w:val="22"/>
          <w:szCs w:val="22"/>
        </w:rPr>
        <w:t>2</w:t>
      </w:r>
      <w:r w:rsidR="0002156D">
        <w:rPr>
          <w:rFonts w:ascii="Book Antiqua" w:eastAsia="Calibri" w:hAnsi="Book Antiqua" w:cs="Calibri"/>
          <w:sz w:val="22"/>
          <w:szCs w:val="22"/>
        </w:rPr>
        <w:t>2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s’est </w:t>
      </w:r>
      <w:r w:rsidR="0002156D">
        <w:rPr>
          <w:rFonts w:ascii="Book Antiqua" w:eastAsia="Calibri" w:hAnsi="Book Antiqua" w:cs="Calibri"/>
          <w:sz w:val="22"/>
          <w:szCs w:val="22"/>
        </w:rPr>
        <w:t>régressée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02156D">
        <w:rPr>
          <w:rFonts w:ascii="Book Antiqua" w:eastAsia="Calibri" w:hAnsi="Book Antiqua" w:cs="Calibri"/>
          <w:sz w:val="22"/>
          <w:szCs w:val="22"/>
        </w:rPr>
        <w:t>0,9</w:t>
      </w:r>
      <w:r w:rsidR="00F86FC7">
        <w:rPr>
          <w:rFonts w:ascii="Book Antiqua" w:eastAsia="Calibri" w:hAnsi="Book Antiqua" w:cs="Calibri"/>
          <w:sz w:val="22"/>
          <w:szCs w:val="22"/>
        </w:rPr>
        <w:t>%</w:t>
      </w:r>
      <w:r w:rsidR="00F86FC7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par rapport à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l’année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20</w:t>
      </w:r>
      <w:r w:rsidR="00B162EE">
        <w:rPr>
          <w:rFonts w:ascii="Book Antiqua" w:eastAsia="Calibri" w:hAnsi="Book Antiqua" w:cs="Calibri"/>
          <w:sz w:val="22"/>
          <w:szCs w:val="22"/>
        </w:rPr>
        <w:t>2</w:t>
      </w:r>
      <w:r w:rsidR="0002156D">
        <w:rPr>
          <w:rFonts w:ascii="Book Antiqua" w:eastAsia="Calibri" w:hAnsi="Book Antiqua" w:cs="Calibri"/>
          <w:sz w:val="22"/>
          <w:szCs w:val="22"/>
        </w:rPr>
        <w:t>1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  <w:r w:rsidR="000F3148">
        <w:rPr>
          <w:rFonts w:ascii="Book Antiqua" w:eastAsia="Calibri" w:hAnsi="Book Antiqua" w:cs="Calibri"/>
          <w:sz w:val="22"/>
          <w:szCs w:val="22"/>
        </w:rPr>
        <w:t>L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es sociétés financières et non financières </w:t>
      </w:r>
      <w:r w:rsidR="000F3148">
        <w:rPr>
          <w:rFonts w:ascii="Book Antiqua" w:eastAsia="Calibri" w:hAnsi="Book Antiqua" w:cs="Calibri"/>
          <w:sz w:val="22"/>
          <w:szCs w:val="22"/>
        </w:rPr>
        <w:t>ayant</w:t>
      </w:r>
      <w:r w:rsidR="00F86FC7">
        <w:rPr>
          <w:rFonts w:ascii="Book Antiqua" w:eastAsia="Calibri" w:hAnsi="Book Antiqua" w:cs="Calibri"/>
          <w:sz w:val="22"/>
          <w:szCs w:val="22"/>
        </w:rPr>
        <w:t xml:space="preserve"> contribué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pour </w:t>
      </w:r>
      <w:r w:rsidR="0002156D">
        <w:rPr>
          <w:rFonts w:ascii="Book Antiqua" w:eastAsia="Calibri" w:hAnsi="Book Antiqua" w:cs="Calibri"/>
          <w:sz w:val="22"/>
          <w:szCs w:val="22"/>
        </w:rPr>
        <w:t>60,</w:t>
      </w:r>
      <w:r w:rsidR="001A2099">
        <w:rPr>
          <w:rFonts w:ascii="Book Antiqua" w:eastAsia="Calibri" w:hAnsi="Book Antiqua" w:cs="Calibri"/>
          <w:sz w:val="22"/>
          <w:szCs w:val="22"/>
        </w:rPr>
        <w:t>8</w:t>
      </w:r>
      <w:r w:rsidR="00F86FC7">
        <w:rPr>
          <w:rFonts w:ascii="Book Antiqua" w:eastAsia="Calibri" w:hAnsi="Book Antiqua" w:cs="Calibri"/>
          <w:sz w:val="22"/>
          <w:szCs w:val="22"/>
        </w:rPr>
        <w:t xml:space="preserve">%,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les ménages et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ISBLSM pour </w:t>
      </w:r>
      <w:r w:rsidR="0002156D">
        <w:rPr>
          <w:rFonts w:ascii="Book Antiqua" w:eastAsia="Calibri" w:hAnsi="Book Antiqua" w:cs="Calibri"/>
          <w:sz w:val="22"/>
          <w:szCs w:val="22"/>
        </w:rPr>
        <w:t>29,7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% et les administrations publiques pour </w:t>
      </w:r>
      <w:r w:rsidR="0002156D">
        <w:rPr>
          <w:rFonts w:ascii="Book Antiqua" w:eastAsia="Calibri" w:hAnsi="Book Antiqua" w:cs="Calibri"/>
          <w:sz w:val="22"/>
          <w:szCs w:val="22"/>
        </w:rPr>
        <w:t>9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5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%. </w:t>
      </w:r>
    </w:p>
    <w:p w:rsidR="00964263" w:rsidRDefault="00964263" w:rsidP="00EF4985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 xml:space="preserve">La </w:t>
      </w:r>
      <w:r w:rsidRPr="00DF2188">
        <w:rPr>
          <w:rFonts w:ascii="Book Antiqua" w:eastAsia="Calibri" w:hAnsi="Book Antiqua" w:cs="Calibri"/>
          <w:sz w:val="22"/>
          <w:szCs w:val="22"/>
        </w:rPr>
        <w:t>formation brute d</w:t>
      </w:r>
      <w:r>
        <w:rPr>
          <w:rFonts w:ascii="Book Antiqua" w:eastAsia="Calibri" w:hAnsi="Book Antiqua" w:cs="Calibri"/>
          <w:sz w:val="22"/>
          <w:szCs w:val="22"/>
        </w:rPr>
        <w:t>u</w:t>
      </w:r>
      <w:r w:rsidRPr="00DF2188">
        <w:rPr>
          <w:rFonts w:ascii="Book Antiqua" w:eastAsia="Calibri" w:hAnsi="Book Antiqua" w:cs="Calibri"/>
          <w:sz w:val="22"/>
          <w:szCs w:val="22"/>
        </w:rPr>
        <w:t xml:space="preserve"> capital fixe </w:t>
      </w:r>
      <w:r w:rsidR="00D236BF">
        <w:rPr>
          <w:rFonts w:ascii="Book Antiqua" w:eastAsia="Calibri" w:hAnsi="Book Antiqua" w:cs="Calibri"/>
          <w:sz w:val="22"/>
          <w:szCs w:val="22"/>
        </w:rPr>
        <w:t>(FBCF)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="00D236BF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de son côté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s’est située 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330B81">
        <w:rPr>
          <w:rFonts w:ascii="Book Antiqua" w:eastAsia="Calibri" w:hAnsi="Book Antiqua" w:cs="Calibri"/>
          <w:sz w:val="22"/>
          <w:szCs w:val="22"/>
        </w:rPr>
        <w:t>3</w:t>
      </w:r>
      <w:r w:rsidR="0002156D">
        <w:rPr>
          <w:rFonts w:ascii="Book Antiqua" w:eastAsia="Calibri" w:hAnsi="Book Antiqua" w:cs="Calibri"/>
          <w:sz w:val="22"/>
          <w:szCs w:val="22"/>
        </w:rPr>
        <w:t>60</w:t>
      </w:r>
      <w:r w:rsidR="003F5D47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</w:t>
      </w:r>
      <w:r w:rsidR="00AC1324">
        <w:rPr>
          <w:rFonts w:ascii="Book Antiqua" w:eastAsia="Calibri" w:hAnsi="Book Antiqua" w:cs="Calibri"/>
          <w:sz w:val="22"/>
          <w:szCs w:val="22"/>
        </w:rPr>
        <w:t>2</w:t>
      </w:r>
      <w:r w:rsidR="0002156D">
        <w:rPr>
          <w:rFonts w:ascii="Book Antiqua" w:eastAsia="Calibri" w:hAnsi="Book Antiqua" w:cs="Calibri"/>
          <w:sz w:val="22"/>
          <w:szCs w:val="22"/>
        </w:rPr>
        <w:t>2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, en </w:t>
      </w:r>
      <w:r w:rsidR="00B8616C">
        <w:rPr>
          <w:rFonts w:ascii="Book Antiqua" w:eastAsia="Calibri" w:hAnsi="Book Antiqua" w:cs="Calibri"/>
          <w:sz w:val="22"/>
          <w:szCs w:val="22"/>
        </w:rPr>
        <w:t>amélioration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02156D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 par rapport à 20</w:t>
      </w:r>
      <w:r w:rsidR="00AC1324">
        <w:rPr>
          <w:rFonts w:ascii="Book Antiqua" w:eastAsia="Calibri" w:hAnsi="Book Antiqua" w:cs="Calibri"/>
          <w:sz w:val="22"/>
          <w:szCs w:val="22"/>
        </w:rPr>
        <w:t>2</w:t>
      </w:r>
      <w:r w:rsidR="0002156D">
        <w:rPr>
          <w:rFonts w:ascii="Book Antiqua" w:eastAsia="Calibri" w:hAnsi="Book Antiqua" w:cs="Calibri"/>
          <w:sz w:val="22"/>
          <w:szCs w:val="22"/>
        </w:rPr>
        <w:t>1</w:t>
      </w:r>
      <w:r w:rsidR="00874D50">
        <w:rPr>
          <w:rFonts w:ascii="Book Antiqua" w:eastAsia="Calibri" w:hAnsi="Book Antiqua" w:cs="Calibri"/>
          <w:sz w:val="22"/>
          <w:szCs w:val="22"/>
        </w:rPr>
        <w:t>. Les</w:t>
      </w:r>
      <w:r>
        <w:rPr>
          <w:rFonts w:ascii="Book Antiqua" w:eastAsia="Calibri" w:hAnsi="Book Antiqua" w:cs="Calibri"/>
          <w:sz w:val="22"/>
          <w:szCs w:val="22"/>
        </w:rPr>
        <w:t xml:space="preserve"> sociétés </w:t>
      </w:r>
      <w:r w:rsidRPr="00330B81">
        <w:rPr>
          <w:rFonts w:ascii="Book Antiqua" w:eastAsia="Calibri" w:hAnsi="Book Antiqua" w:cs="Calibri"/>
          <w:sz w:val="22"/>
          <w:szCs w:val="22"/>
        </w:rPr>
        <w:t>(financières et non financières)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, </w:t>
      </w:r>
      <w:r w:rsidR="00EF4985" w:rsidRPr="00345140">
        <w:rPr>
          <w:rFonts w:ascii="Book Antiqua" w:eastAsia="Calibri" w:hAnsi="Book Antiqua" w:cs="Calibri"/>
          <w:sz w:val="22"/>
          <w:szCs w:val="22"/>
        </w:rPr>
        <w:t>ont contribué de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5</w:t>
      </w:r>
      <w:r w:rsidR="00AC1324">
        <w:rPr>
          <w:rFonts w:ascii="Book Antiqua" w:eastAsia="Calibri" w:hAnsi="Book Antiqua" w:cs="Calibri"/>
          <w:sz w:val="22"/>
          <w:szCs w:val="22"/>
        </w:rPr>
        <w:t>8</w:t>
      </w:r>
      <w:r w:rsidR="0002156D">
        <w:rPr>
          <w:rFonts w:ascii="Book Antiqua" w:eastAsia="Calibri" w:hAnsi="Book Antiqua" w:cs="Calibri"/>
          <w:sz w:val="22"/>
          <w:szCs w:val="22"/>
        </w:rPr>
        <w:t>,</w:t>
      </w:r>
      <w:r w:rsidR="001A2099">
        <w:rPr>
          <w:rFonts w:ascii="Book Antiqua" w:eastAsia="Calibri" w:hAnsi="Book Antiqua" w:cs="Calibri"/>
          <w:sz w:val="22"/>
          <w:szCs w:val="22"/>
        </w:rPr>
        <w:t>5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de la FBCF nationale en 20</w:t>
      </w:r>
      <w:r w:rsidR="00AC1324">
        <w:rPr>
          <w:rFonts w:ascii="Book Antiqua" w:eastAsia="Calibri" w:hAnsi="Book Antiqua" w:cs="Calibri"/>
          <w:sz w:val="22"/>
          <w:szCs w:val="22"/>
        </w:rPr>
        <w:t>2</w:t>
      </w:r>
      <w:r w:rsidR="0002156D">
        <w:rPr>
          <w:rFonts w:ascii="Book Antiqua" w:eastAsia="Calibri" w:hAnsi="Book Antiqua" w:cs="Calibri"/>
          <w:sz w:val="22"/>
          <w:szCs w:val="22"/>
        </w:rPr>
        <w:t>2</w:t>
      </w:r>
      <w:r w:rsidR="00422C77">
        <w:rPr>
          <w:rFonts w:ascii="Book Antiqua" w:eastAsia="Calibri" w:hAnsi="Book Antiqua" w:cs="Calibri"/>
          <w:sz w:val="22"/>
          <w:szCs w:val="22"/>
        </w:rPr>
        <w:t>.  De leur côté</w:t>
      </w:r>
      <w:r w:rsidR="00146431">
        <w:rPr>
          <w:rFonts w:ascii="Book Antiqua" w:eastAsia="Calibri" w:hAnsi="Book Antiqua" w:cs="Calibri"/>
          <w:sz w:val="22"/>
          <w:szCs w:val="22"/>
        </w:rPr>
        <w:t>, l</w:t>
      </w:r>
      <w:r w:rsidR="00422C77">
        <w:rPr>
          <w:rFonts w:ascii="Book Antiqua" w:eastAsia="Calibri" w:hAnsi="Book Antiqua" w:cs="Calibri"/>
          <w:sz w:val="22"/>
          <w:szCs w:val="22"/>
        </w:rPr>
        <w:t>es ménages</w:t>
      </w:r>
      <w:r w:rsidR="002B2B29">
        <w:rPr>
          <w:rFonts w:ascii="Book Antiqua" w:eastAsia="Calibri" w:hAnsi="Book Antiqua" w:cs="Calibri"/>
          <w:sz w:val="22"/>
          <w:szCs w:val="22"/>
        </w:rPr>
        <w:t xml:space="preserve"> et ISBLSM </w:t>
      </w:r>
      <w:r w:rsidR="00146431">
        <w:rPr>
          <w:rFonts w:ascii="Book Antiqua" w:eastAsia="Calibri" w:hAnsi="Book Antiqua" w:cs="Calibri"/>
          <w:sz w:val="22"/>
          <w:szCs w:val="22"/>
        </w:rPr>
        <w:t xml:space="preserve">ont contribué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</w:t>
      </w:r>
      <w:r w:rsidR="001A2099">
        <w:rPr>
          <w:rFonts w:ascii="Book Antiqua" w:eastAsia="Calibri" w:hAnsi="Book Antiqua" w:cs="Calibri"/>
          <w:sz w:val="22"/>
          <w:szCs w:val="22"/>
        </w:rPr>
        <w:t>7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,</w:t>
      </w:r>
      <w:r w:rsidR="001A2099">
        <w:rPr>
          <w:rFonts w:ascii="Book Antiqua" w:eastAsia="Calibri" w:hAnsi="Book Antiqua" w:cs="Calibri"/>
          <w:sz w:val="22"/>
          <w:szCs w:val="22"/>
        </w:rPr>
        <w:t>9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au lieu 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</w:t>
      </w:r>
      <w:r w:rsidR="00AC1324">
        <w:rPr>
          <w:rFonts w:ascii="Book Antiqua" w:eastAsia="Calibri" w:hAnsi="Book Antiqua" w:cs="Calibri"/>
          <w:sz w:val="22"/>
          <w:szCs w:val="22"/>
        </w:rPr>
        <w:t>9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6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, </w:t>
      </w:r>
      <w:r w:rsidR="00422C77">
        <w:rPr>
          <w:rFonts w:ascii="Book Antiqua" w:eastAsia="Calibri" w:hAnsi="Book Antiqua" w:cs="Calibri"/>
          <w:sz w:val="22"/>
          <w:szCs w:val="22"/>
        </w:rPr>
        <w:t>celle des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 </w:t>
      </w:r>
      <w:r w:rsidR="00DE7888">
        <w:rPr>
          <w:rFonts w:ascii="Book Antiqua" w:eastAsia="Calibri" w:hAnsi="Book Antiqua" w:cs="Calibri"/>
          <w:sz w:val="22"/>
          <w:szCs w:val="22"/>
        </w:rPr>
        <w:t>s’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est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située </w:t>
      </w:r>
      <w:r w:rsidR="00146431">
        <w:rPr>
          <w:rFonts w:ascii="Book Antiqua" w:eastAsia="Calibri" w:hAnsi="Book Antiqua" w:cs="Calibri"/>
          <w:sz w:val="22"/>
          <w:szCs w:val="22"/>
        </w:rPr>
        <w:t xml:space="preserve">à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1</w:t>
      </w:r>
      <w:r w:rsidR="0002156D">
        <w:rPr>
          <w:rFonts w:ascii="Book Antiqua" w:eastAsia="Calibri" w:hAnsi="Book Antiqua" w:cs="Calibri"/>
          <w:sz w:val="22"/>
          <w:szCs w:val="22"/>
        </w:rPr>
        <w:t>3</w:t>
      </w:r>
      <w:r w:rsidR="003F5D47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6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au lieu </w:t>
      </w:r>
      <w:r w:rsidR="00AC1324">
        <w:rPr>
          <w:rFonts w:ascii="Book Antiqua" w:eastAsia="Calibri" w:hAnsi="Book Antiqua" w:cs="Calibri"/>
          <w:sz w:val="22"/>
          <w:szCs w:val="22"/>
        </w:rPr>
        <w:t>20</w:t>
      </w:r>
      <w:r w:rsidR="00A325E2">
        <w:rPr>
          <w:rFonts w:ascii="Book Antiqua" w:eastAsia="Calibri" w:hAnsi="Book Antiqua" w:cs="Calibri"/>
          <w:sz w:val="22"/>
          <w:szCs w:val="22"/>
        </w:rPr>
        <w:t>,</w:t>
      </w:r>
      <w:r w:rsidR="0002156D">
        <w:rPr>
          <w:rFonts w:ascii="Book Antiqua" w:eastAsia="Calibri" w:hAnsi="Book Antiqua" w:cs="Calibri"/>
          <w:sz w:val="22"/>
          <w:szCs w:val="22"/>
        </w:rPr>
        <w:t>1</w:t>
      </w:r>
      <w:r w:rsidR="00422C77">
        <w:rPr>
          <w:rFonts w:ascii="Book Antiqua" w:eastAsia="Calibri" w:hAnsi="Book Antiqua" w:cs="Calibri"/>
          <w:sz w:val="22"/>
          <w:szCs w:val="22"/>
        </w:rPr>
        <w:t>%.</w:t>
      </w:r>
    </w:p>
    <w:p w:rsidR="00146431" w:rsidRDefault="00146431" w:rsidP="00694C90">
      <w:pPr>
        <w:spacing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0A0133" w:rsidRPr="00694C90" w:rsidRDefault="000A0133" w:rsidP="000A0133">
      <w:pPr>
        <w:spacing w:line="360" w:lineRule="exact"/>
        <w:ind w:right="226"/>
        <w:jc w:val="both"/>
        <w:rPr>
          <w:rFonts w:ascii="Book Antiqua" w:eastAsia="Calibri" w:hAnsi="Book Antiqua" w:cs="Calibri"/>
          <w:b/>
          <w:bCs/>
          <w:sz w:val="22"/>
          <w:szCs w:val="22"/>
          <w:u w:val="single"/>
        </w:rPr>
      </w:pPr>
      <w:r w:rsidRPr="00694C90"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  <w:t>Formation brute de capital fixe par secteur institutionnel (en %)</w:t>
      </w:r>
    </w:p>
    <w:p w:rsidR="000A0133" w:rsidRPr="00345140" w:rsidRDefault="000A0133" w:rsidP="000A0133">
      <w:pPr>
        <w:spacing w:line="360" w:lineRule="exact"/>
        <w:ind w:right="226"/>
        <w:jc w:val="both"/>
        <w:rPr>
          <w:rFonts w:asciiTheme="majorHAnsi" w:eastAsia="Calibri" w:hAnsiTheme="majorHAnsi" w:cs="Calibri"/>
          <w:sz w:val="20"/>
          <w:szCs w:val="20"/>
        </w:rPr>
      </w:pPr>
    </w:p>
    <w:tbl>
      <w:tblPr>
        <w:tblW w:w="8697" w:type="dxa"/>
        <w:tblCellMar>
          <w:left w:w="70" w:type="dxa"/>
          <w:right w:w="70" w:type="dxa"/>
        </w:tblCellMar>
        <w:tblLook w:val="04A0"/>
      </w:tblPr>
      <w:tblGrid>
        <w:gridCol w:w="3447"/>
        <w:gridCol w:w="641"/>
        <w:gridCol w:w="1341"/>
        <w:gridCol w:w="387"/>
        <w:gridCol w:w="1304"/>
        <w:gridCol w:w="277"/>
        <w:gridCol w:w="1300"/>
      </w:tblGrid>
      <w:tr w:rsidR="0044782D" w:rsidRPr="00D10D21" w:rsidTr="00555C78">
        <w:trPr>
          <w:trHeight w:val="295"/>
        </w:trPr>
        <w:tc>
          <w:tcPr>
            <w:tcW w:w="3447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D10D21" w:rsidRDefault="000A0133" w:rsidP="00315F80">
            <w:pPr>
              <w:ind w:right="226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Secteurs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A0133" w:rsidRPr="00D10D21" w:rsidRDefault="000A0133" w:rsidP="004A4B95">
            <w:pPr>
              <w:ind w:right="226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D10D21" w:rsidRDefault="000A0133" w:rsidP="003F5D47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  <w:r w:rsidR="007965E9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A0133" w:rsidRPr="00D10D21" w:rsidRDefault="000A0133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D10D21" w:rsidRDefault="00061B16" w:rsidP="003F5D47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  <w:r w:rsidR="0044782D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</w:t>
            </w:r>
            <w:r w:rsidR="007965E9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</w:t>
            </w:r>
          </w:p>
        </w:tc>
        <w:tc>
          <w:tcPr>
            <w:tcW w:w="277" w:type="dxa"/>
            <w:vAlign w:val="bottom"/>
            <w:hideMark/>
          </w:tcPr>
          <w:p w:rsidR="000A0133" w:rsidRPr="00D10D21" w:rsidRDefault="000A0133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D10D21" w:rsidRDefault="00061B16" w:rsidP="003F5D47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  <w:r w:rsidR="0044782D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</w:t>
            </w:r>
            <w:r w:rsidR="007965E9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</w:t>
            </w:r>
          </w:p>
        </w:tc>
      </w:tr>
      <w:tr w:rsidR="0044782D" w:rsidRPr="00D10D21" w:rsidTr="0002156D">
        <w:trPr>
          <w:trHeight w:val="269"/>
        </w:trPr>
        <w:tc>
          <w:tcPr>
            <w:tcW w:w="3447" w:type="dxa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Sociétés non financières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vAlign w:val="bottom"/>
            <w:hideMark/>
          </w:tcPr>
          <w:p w:rsidR="00061B16" w:rsidRPr="00D10D21" w:rsidRDefault="007965E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48,5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4" w:type="dxa"/>
            <w:vAlign w:val="bottom"/>
            <w:hideMark/>
          </w:tcPr>
          <w:p w:rsidR="00061B16" w:rsidRPr="00D10D21" w:rsidRDefault="0002156D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5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0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>,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7</w:t>
            </w:r>
          </w:p>
        </w:tc>
        <w:tc>
          <w:tcPr>
            <w:tcW w:w="277" w:type="dxa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061B16" w:rsidRPr="00D10D21" w:rsidRDefault="002231B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50,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7</w:t>
            </w:r>
          </w:p>
        </w:tc>
      </w:tr>
      <w:tr w:rsidR="0044782D" w:rsidRPr="00D10D21" w:rsidTr="0002156D">
        <w:trPr>
          <w:trHeight w:val="256"/>
        </w:trPr>
        <w:tc>
          <w:tcPr>
            <w:tcW w:w="3447" w:type="dxa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Sociétés financières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vAlign w:val="bottom"/>
            <w:hideMark/>
          </w:tcPr>
          <w:p w:rsidR="00061B16" w:rsidRPr="00D10D21" w:rsidRDefault="00061B16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1,</w:t>
            </w:r>
            <w:r w:rsidR="007965E9" w:rsidRPr="00D10D21">
              <w:rPr>
                <w:rFonts w:ascii="Book Antiqua" w:hAnsi="Book Antiqua" w:cs="Arial"/>
                <w:sz w:val="18"/>
                <w:szCs w:val="18"/>
              </w:rPr>
              <w:t>6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4" w:type="dxa"/>
            <w:vAlign w:val="bottom"/>
            <w:hideMark/>
          </w:tcPr>
          <w:p w:rsidR="00061B16" w:rsidRPr="00D10D21" w:rsidRDefault="0002156D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-0,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4</w:t>
            </w:r>
          </w:p>
        </w:tc>
        <w:tc>
          <w:tcPr>
            <w:tcW w:w="277" w:type="dxa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061B16" w:rsidRPr="00D10D21" w:rsidRDefault="002231B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7,8</w:t>
            </w:r>
          </w:p>
        </w:tc>
      </w:tr>
      <w:tr w:rsidR="0044782D" w:rsidRPr="00D10D21" w:rsidTr="0002156D">
        <w:trPr>
          <w:trHeight w:val="256"/>
        </w:trPr>
        <w:tc>
          <w:tcPr>
            <w:tcW w:w="3447" w:type="dxa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Administrations Publiques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vAlign w:val="bottom"/>
            <w:hideMark/>
          </w:tcPr>
          <w:p w:rsidR="00061B16" w:rsidRPr="00D10D21" w:rsidRDefault="007965E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20,4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4" w:type="dxa"/>
            <w:vAlign w:val="bottom"/>
            <w:hideMark/>
          </w:tcPr>
          <w:p w:rsidR="00061B16" w:rsidRPr="00D10D21" w:rsidRDefault="001A209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20</w:t>
            </w:r>
            <w:r w:rsidR="0002156D" w:rsidRPr="00D10D21">
              <w:rPr>
                <w:rFonts w:ascii="Book Antiqua" w:hAnsi="Book Antiqua" w:cs="Arial"/>
                <w:sz w:val="18"/>
                <w:szCs w:val="18"/>
              </w:rPr>
              <w:t>,1</w:t>
            </w:r>
          </w:p>
        </w:tc>
        <w:tc>
          <w:tcPr>
            <w:tcW w:w="277" w:type="dxa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061B16" w:rsidRPr="00D10D21" w:rsidRDefault="002231B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13,6</w:t>
            </w:r>
          </w:p>
        </w:tc>
      </w:tr>
      <w:tr w:rsidR="0044782D" w:rsidRPr="00D10D21" w:rsidTr="0002156D">
        <w:trPr>
          <w:trHeight w:val="256"/>
        </w:trPr>
        <w:tc>
          <w:tcPr>
            <w:tcW w:w="3447" w:type="dxa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Ménages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vAlign w:val="bottom"/>
            <w:hideMark/>
          </w:tcPr>
          <w:p w:rsidR="00061B16" w:rsidRPr="00D10D21" w:rsidRDefault="007965E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29,0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4" w:type="dxa"/>
            <w:vAlign w:val="bottom"/>
            <w:hideMark/>
          </w:tcPr>
          <w:p w:rsidR="00061B16" w:rsidRPr="00D10D21" w:rsidRDefault="0002156D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2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9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>,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1</w:t>
            </w:r>
          </w:p>
        </w:tc>
        <w:tc>
          <w:tcPr>
            <w:tcW w:w="277" w:type="dxa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eastAsia="Calibri" w:hAnsi="Book Antiqua"/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061B16" w:rsidRPr="00D10D21" w:rsidRDefault="002231B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27,3</w:t>
            </w:r>
          </w:p>
        </w:tc>
      </w:tr>
      <w:tr w:rsidR="0044782D" w:rsidRPr="00D10D21" w:rsidTr="0002156D">
        <w:trPr>
          <w:trHeight w:val="503"/>
        </w:trPr>
        <w:tc>
          <w:tcPr>
            <w:tcW w:w="3447" w:type="dxa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Institutions sans but lucratif au service des ménages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341" w:type="dxa"/>
            <w:vAlign w:val="bottom"/>
            <w:hideMark/>
          </w:tcPr>
          <w:p w:rsidR="00061B16" w:rsidRPr="00D10D21" w:rsidRDefault="00061B16" w:rsidP="000D70A4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0,</w:t>
            </w:r>
            <w:r w:rsidR="0044782D" w:rsidRPr="00D10D21">
              <w:rPr>
                <w:rFonts w:ascii="Book Antiqua" w:hAnsi="Book Antiqua" w:cs="Arial"/>
                <w:sz w:val="18"/>
                <w:szCs w:val="18"/>
              </w:rPr>
              <w:t>5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" w:type="dxa"/>
            <w:vAlign w:val="bottom"/>
            <w:hideMark/>
          </w:tcPr>
          <w:p w:rsidR="00061B16" w:rsidRPr="00D10D21" w:rsidRDefault="00061B16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0,</w:t>
            </w:r>
            <w:r w:rsidR="001A2099" w:rsidRPr="00D10D21">
              <w:rPr>
                <w:rFonts w:ascii="Book Antiqua" w:hAnsi="Book Antiqua" w:cs="Arial"/>
                <w:sz w:val="18"/>
                <w:szCs w:val="18"/>
              </w:rPr>
              <w:t>5</w:t>
            </w:r>
          </w:p>
        </w:tc>
        <w:tc>
          <w:tcPr>
            <w:tcW w:w="27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vAlign w:val="bottom"/>
          </w:tcPr>
          <w:p w:rsidR="00061B16" w:rsidRPr="00D10D21" w:rsidRDefault="002231B9" w:rsidP="003F5D47">
            <w:pPr>
              <w:ind w:right="65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0,6</w:t>
            </w:r>
          </w:p>
        </w:tc>
      </w:tr>
      <w:tr w:rsidR="0044782D" w:rsidRPr="00D10D21" w:rsidTr="00555C78">
        <w:trPr>
          <w:trHeight w:val="269"/>
        </w:trPr>
        <w:tc>
          <w:tcPr>
            <w:tcW w:w="344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D10D21" w:rsidRDefault="00061B16" w:rsidP="000D70A4">
            <w:pPr>
              <w:ind w:right="226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Total</w:t>
            </w:r>
          </w:p>
        </w:tc>
        <w:tc>
          <w:tcPr>
            <w:tcW w:w="641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226"/>
              <w:rPr>
                <w:rFonts w:ascii="Book Antiqua" w:hAnsi="Book Antiqua" w:cs="Arial"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D10D21" w:rsidRDefault="00061B16" w:rsidP="000D70A4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  <w:tc>
          <w:tcPr>
            <w:tcW w:w="38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D10D21" w:rsidRDefault="00061B16" w:rsidP="000D70A4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  <w:tc>
          <w:tcPr>
            <w:tcW w:w="277" w:type="dxa"/>
            <w:shd w:val="clear" w:color="auto" w:fill="FFFFFF"/>
            <w:vAlign w:val="bottom"/>
            <w:hideMark/>
          </w:tcPr>
          <w:p w:rsidR="00061B16" w:rsidRPr="00D10D21" w:rsidRDefault="00061B16" w:rsidP="004A4B95">
            <w:pPr>
              <w:ind w:right="65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D10D21" w:rsidRDefault="00061B16" w:rsidP="00091E0D">
            <w:pPr>
              <w:ind w:right="65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100</w:t>
            </w:r>
          </w:p>
        </w:tc>
      </w:tr>
    </w:tbl>
    <w:p w:rsidR="00AD2758" w:rsidRDefault="00AD2758" w:rsidP="00AD2758">
      <w:pPr>
        <w:spacing w:line="360" w:lineRule="auto"/>
        <w:jc w:val="both"/>
        <w:rPr>
          <w:rFonts w:ascii="Book Antiqua" w:eastAsia="Calibri" w:hAnsi="Book Antiqua" w:cs="Calibri"/>
          <w:sz w:val="20"/>
          <w:szCs w:val="20"/>
        </w:rPr>
      </w:pPr>
    </w:p>
    <w:p w:rsidR="00AD2758" w:rsidRPr="00762E43" w:rsidRDefault="00AD2758" w:rsidP="00AD2758">
      <w:pPr>
        <w:spacing w:line="360" w:lineRule="auto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Globalement,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>le beso</w:t>
      </w:r>
      <w:r>
        <w:rPr>
          <w:rFonts w:ascii="Book Antiqua" w:eastAsia="Calibri" w:hAnsi="Book Antiqua" w:cs="Calibri"/>
          <w:sz w:val="22"/>
          <w:szCs w:val="22"/>
        </w:rPr>
        <w:t xml:space="preserve">in de financement de la nation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été de </w:t>
      </w:r>
      <w:r w:rsidR="007567AB">
        <w:rPr>
          <w:rFonts w:ascii="Book Antiqua" w:eastAsia="Calibri" w:hAnsi="Book Antiqua" w:cs="Calibri"/>
          <w:sz w:val="22"/>
          <w:szCs w:val="22"/>
        </w:rPr>
        <w:t>46,9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</w:t>
      </w:r>
      <w:r>
        <w:rPr>
          <w:rFonts w:ascii="Book Antiqua" w:eastAsia="Calibri" w:hAnsi="Book Antiqua" w:cs="Calibri"/>
          <w:sz w:val="22"/>
          <w:szCs w:val="22"/>
        </w:rPr>
        <w:t>2</w:t>
      </w:r>
      <w:r w:rsidR="007567AB">
        <w:rPr>
          <w:rFonts w:ascii="Book Antiqua" w:eastAsia="Calibri" w:hAnsi="Book Antiqua" w:cs="Calibri"/>
          <w:sz w:val="22"/>
          <w:szCs w:val="22"/>
        </w:rPr>
        <w:t>2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et a rep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résenté </w:t>
      </w:r>
      <w:r>
        <w:rPr>
          <w:rFonts w:ascii="Book Antiqua" w:eastAsia="Calibri" w:hAnsi="Book Antiqua" w:cs="Calibri"/>
          <w:sz w:val="22"/>
          <w:szCs w:val="22"/>
        </w:rPr>
        <w:t>3</w:t>
      </w:r>
      <w:r w:rsidR="007567AB">
        <w:rPr>
          <w:rFonts w:ascii="Book Antiqua" w:eastAsia="Calibri" w:hAnsi="Book Antiqua" w:cs="Calibri"/>
          <w:sz w:val="22"/>
          <w:szCs w:val="22"/>
        </w:rPr>
        <w:t>,5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du PIB au lieu de </w:t>
      </w:r>
      <w:r w:rsidR="007567AB">
        <w:rPr>
          <w:rFonts w:ascii="Book Antiqua" w:eastAsia="Calibri" w:hAnsi="Book Antiqua" w:cs="Calibri"/>
          <w:sz w:val="22"/>
          <w:szCs w:val="22"/>
        </w:rPr>
        <w:t>2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7567AB">
        <w:rPr>
          <w:rFonts w:ascii="Book Antiqua" w:eastAsia="Calibri" w:hAnsi="Book Antiqua" w:cs="Calibri"/>
          <w:sz w:val="22"/>
          <w:szCs w:val="22"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>%</w:t>
      </w:r>
      <w:r w:rsidR="001B7D9E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>une année auparavant.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345140">
        <w:rPr>
          <w:rFonts w:ascii="Book Antiqua" w:eastAsia="Calibri" w:hAnsi="Book Antiqua" w:cs="Calibri"/>
          <w:sz w:val="22"/>
          <w:szCs w:val="22"/>
        </w:rPr>
        <w:t xml:space="preserve">Ce creusement a été le produit 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d’une détérioration des </w:t>
      </w:r>
      <w:r w:rsidR="00146431">
        <w:rPr>
          <w:rFonts w:ascii="Book Antiqua" w:eastAsia="Calibri" w:hAnsi="Book Antiqua" w:cs="Calibri"/>
          <w:sz w:val="22"/>
          <w:szCs w:val="22"/>
        </w:rPr>
        <w:t>capacités de financement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d</w:t>
      </w:r>
      <w:r w:rsidRPr="00345140">
        <w:rPr>
          <w:rFonts w:ascii="Book Antiqua" w:eastAsia="Calibri" w:hAnsi="Book Antiqua" w:cs="Calibri"/>
          <w:sz w:val="22"/>
          <w:szCs w:val="22"/>
        </w:rPr>
        <w:t xml:space="preserve">es sociétés financières et 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d</w:t>
      </w:r>
      <w:r w:rsidRPr="00345140">
        <w:rPr>
          <w:rFonts w:ascii="Book Antiqua" w:eastAsia="Calibri" w:hAnsi="Book Antiqua" w:cs="Calibri"/>
          <w:sz w:val="22"/>
          <w:szCs w:val="22"/>
        </w:rPr>
        <w:t xml:space="preserve">es ménages (y compris ISBLSM) de </w:t>
      </w:r>
      <w:r w:rsidR="0007546C">
        <w:rPr>
          <w:rFonts w:ascii="Book Antiqua" w:eastAsia="Calibri" w:hAnsi="Book Antiqua" w:cs="Calibri"/>
          <w:sz w:val="22"/>
          <w:szCs w:val="22"/>
        </w:rPr>
        <w:t>34</w:t>
      </w:r>
      <w:r w:rsidRPr="00345140">
        <w:rPr>
          <w:rFonts w:ascii="Book Antiqua" w:eastAsia="Calibri" w:hAnsi="Book Antiqua" w:cs="Calibri"/>
          <w:sz w:val="22"/>
          <w:szCs w:val="22"/>
        </w:rPr>
        <w:t>,</w:t>
      </w:r>
      <w:r w:rsidR="0007546C" w:rsidRPr="004D0C5F">
        <w:rPr>
          <w:rFonts w:ascii="Book Antiqua" w:eastAsia="Calibri" w:hAnsi="Book Antiqua" w:cs="Calibri"/>
          <w:sz w:val="22"/>
          <w:szCs w:val="22"/>
        </w:rPr>
        <w:t>3</w:t>
      </w:r>
      <w:r w:rsidRPr="004D0C5F">
        <w:rPr>
          <w:rFonts w:ascii="Book Antiqua" w:eastAsia="Calibri" w:hAnsi="Book Antiqua" w:cs="Calibri"/>
          <w:sz w:val="22"/>
          <w:szCs w:val="22"/>
        </w:rPr>
        <w:t xml:space="preserve"> </w:t>
      </w:r>
      <w:r w:rsidR="0070658C" w:rsidRPr="004D0C5F">
        <w:rPr>
          <w:rFonts w:ascii="Book Antiqua" w:eastAsia="Calibri" w:hAnsi="Book Antiqua" w:cs="Calibri"/>
          <w:sz w:val="22"/>
          <w:szCs w:val="22"/>
        </w:rPr>
        <w:t>milliards de DH</w:t>
      </w:r>
      <w:r w:rsidR="0070658C" w:rsidRPr="00345140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45140">
        <w:rPr>
          <w:rFonts w:ascii="Book Antiqua" w:eastAsia="Calibri" w:hAnsi="Book Antiqua" w:cs="Calibri"/>
          <w:sz w:val="22"/>
          <w:szCs w:val="22"/>
        </w:rPr>
        <w:t xml:space="preserve">et de </w:t>
      </w:r>
      <w:r w:rsidR="0007546C">
        <w:rPr>
          <w:rFonts w:ascii="Book Antiqua" w:eastAsia="Calibri" w:hAnsi="Book Antiqua" w:cs="Calibri"/>
          <w:sz w:val="22"/>
          <w:szCs w:val="22"/>
        </w:rPr>
        <w:t>7</w:t>
      </w:r>
      <w:r w:rsidRPr="00345140">
        <w:rPr>
          <w:rFonts w:ascii="Book Antiqua" w:eastAsia="Calibri" w:hAnsi="Book Antiqua" w:cs="Calibri"/>
          <w:sz w:val="22"/>
          <w:szCs w:val="22"/>
        </w:rPr>
        <w:t>,</w:t>
      </w:r>
      <w:r w:rsidR="0007546C">
        <w:rPr>
          <w:rFonts w:ascii="Book Antiqua" w:eastAsia="Calibri" w:hAnsi="Book Antiqua" w:cs="Calibri"/>
          <w:sz w:val="22"/>
          <w:szCs w:val="22"/>
        </w:rPr>
        <w:t>7</w:t>
      </w:r>
      <w:r w:rsidRPr="00345140">
        <w:rPr>
          <w:rFonts w:ascii="Book Antiqua" w:eastAsia="Calibri" w:hAnsi="Book Antiqua" w:cs="Calibri"/>
          <w:sz w:val="22"/>
          <w:szCs w:val="22"/>
        </w:rPr>
        <w:t xml:space="preserve"> </w:t>
      </w:r>
      <w:bookmarkStart w:id="0" w:name="_Hlk152668236"/>
      <w:r w:rsidRPr="00345140">
        <w:rPr>
          <w:rFonts w:ascii="Book Antiqua" w:eastAsia="Calibri" w:hAnsi="Book Antiqua" w:cs="Calibri"/>
          <w:sz w:val="22"/>
          <w:szCs w:val="22"/>
        </w:rPr>
        <w:t>milliards</w:t>
      </w:r>
      <w:bookmarkEnd w:id="0"/>
      <w:r w:rsidRPr="00345140">
        <w:rPr>
          <w:rFonts w:ascii="Book Antiqua" w:eastAsia="Calibri" w:hAnsi="Book Antiqua" w:cs="Calibri"/>
          <w:sz w:val="22"/>
          <w:szCs w:val="22"/>
        </w:rPr>
        <w:t xml:space="preserve"> de DH respectivement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, d’une part, et d’un </w:t>
      </w:r>
      <w:r w:rsidR="009772DB">
        <w:rPr>
          <w:rFonts w:ascii="Book Antiqua" w:eastAsia="Calibri" w:hAnsi="Book Antiqua" w:cs="Calibri"/>
          <w:sz w:val="22"/>
          <w:szCs w:val="22"/>
        </w:rPr>
        <w:t xml:space="preserve">allégement 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de</w:t>
      </w:r>
      <w:r w:rsidR="0007546C">
        <w:rPr>
          <w:rFonts w:ascii="Book Antiqua" w:eastAsia="Calibri" w:hAnsi="Book Antiqua" w:cs="Calibri"/>
          <w:sz w:val="22"/>
          <w:szCs w:val="22"/>
        </w:rPr>
        <w:t>s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</w:t>
      </w:r>
      <w:r w:rsidR="0007546C">
        <w:rPr>
          <w:rFonts w:ascii="Book Antiqua" w:eastAsia="Calibri" w:hAnsi="Book Antiqua" w:cs="Calibri"/>
          <w:sz w:val="22"/>
          <w:szCs w:val="22"/>
        </w:rPr>
        <w:t>besoins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de financement </w:t>
      </w:r>
      <w:r w:rsidR="0007546C">
        <w:rPr>
          <w:rFonts w:ascii="Book Antiqua" w:eastAsia="Calibri" w:hAnsi="Book Antiqua" w:cs="Calibri"/>
          <w:sz w:val="22"/>
          <w:szCs w:val="22"/>
        </w:rPr>
        <w:t>d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es sociétés</w:t>
      </w:r>
      <w:r w:rsidR="009E25AE">
        <w:rPr>
          <w:rFonts w:ascii="Book Antiqua" w:eastAsia="Calibri" w:hAnsi="Book Antiqua" w:cs="Calibri"/>
          <w:sz w:val="22"/>
          <w:szCs w:val="22"/>
        </w:rPr>
        <w:t xml:space="preserve"> </w:t>
      </w:r>
      <w:r w:rsidR="0007546C">
        <w:rPr>
          <w:rFonts w:ascii="Book Antiqua" w:eastAsia="Calibri" w:hAnsi="Book Antiqua" w:cs="Calibri"/>
          <w:sz w:val="22"/>
          <w:szCs w:val="22"/>
        </w:rPr>
        <w:t xml:space="preserve">non 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financières</w:t>
      </w:r>
      <w:r w:rsidR="0007546C">
        <w:rPr>
          <w:rFonts w:ascii="Book Antiqua" w:eastAsia="Calibri" w:hAnsi="Book Antiqua" w:cs="Calibri"/>
          <w:sz w:val="22"/>
          <w:szCs w:val="22"/>
        </w:rPr>
        <w:t xml:space="preserve"> et des </w:t>
      </w:r>
      <w:r w:rsidR="0007546C" w:rsidRPr="00345140">
        <w:rPr>
          <w:rFonts w:ascii="Book Antiqua" w:eastAsia="Calibri" w:hAnsi="Book Antiqua" w:cs="Calibri"/>
          <w:sz w:val="22"/>
          <w:szCs w:val="22"/>
        </w:rPr>
        <w:t>Administrations Publiques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de 1</w:t>
      </w:r>
      <w:r w:rsidR="0007546C">
        <w:rPr>
          <w:rFonts w:ascii="Book Antiqua" w:eastAsia="Calibri" w:hAnsi="Book Antiqua" w:cs="Calibri"/>
          <w:sz w:val="22"/>
          <w:szCs w:val="22"/>
        </w:rPr>
        <w:t>0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,</w:t>
      </w:r>
      <w:r w:rsidR="0007546C">
        <w:rPr>
          <w:rFonts w:ascii="Book Antiqua" w:eastAsia="Calibri" w:hAnsi="Book Antiqua" w:cs="Calibri"/>
          <w:sz w:val="22"/>
          <w:szCs w:val="22"/>
        </w:rPr>
        <w:t>6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milliards de DH, et de </w:t>
      </w:r>
      <w:r w:rsidR="0007546C">
        <w:rPr>
          <w:rFonts w:ascii="Book Antiqua" w:eastAsia="Calibri" w:hAnsi="Book Antiqua" w:cs="Calibri"/>
          <w:sz w:val="22"/>
          <w:szCs w:val="22"/>
        </w:rPr>
        <w:t>14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,</w:t>
      </w:r>
      <w:r w:rsidR="0007546C">
        <w:rPr>
          <w:rFonts w:ascii="Book Antiqua" w:eastAsia="Calibri" w:hAnsi="Book Antiqua" w:cs="Calibri"/>
          <w:sz w:val="22"/>
          <w:szCs w:val="22"/>
        </w:rPr>
        <w:t>4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="001B7D9E">
        <w:rPr>
          <w:rFonts w:ascii="Book Antiqua" w:eastAsia="Calibri" w:hAnsi="Book Antiqua" w:cs="Calibri"/>
          <w:sz w:val="22"/>
          <w:szCs w:val="22"/>
        </w:rPr>
        <w:t xml:space="preserve"> </w:t>
      </w:r>
      <w:r w:rsidR="0007546C">
        <w:rPr>
          <w:rFonts w:ascii="Book Antiqua" w:eastAsia="Calibri" w:hAnsi="Book Antiqua" w:cs="Calibri"/>
          <w:sz w:val="22"/>
          <w:szCs w:val="22"/>
        </w:rPr>
        <w:t>respectivement</w:t>
      </w:r>
      <w:r w:rsidR="00345140" w:rsidRPr="00345140">
        <w:rPr>
          <w:rFonts w:ascii="Book Antiqua" w:eastAsia="Calibri" w:hAnsi="Book Antiqua" w:cs="Calibri"/>
          <w:sz w:val="22"/>
          <w:szCs w:val="22"/>
        </w:rPr>
        <w:t>.</w:t>
      </w:r>
    </w:p>
    <w:p w:rsidR="00EA000A" w:rsidRDefault="00EA000A" w:rsidP="00A161E5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tbl>
      <w:tblPr>
        <w:tblW w:w="8383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760"/>
        <w:gridCol w:w="213"/>
        <w:gridCol w:w="913"/>
        <w:gridCol w:w="184"/>
        <w:gridCol w:w="1090"/>
        <w:gridCol w:w="184"/>
        <w:gridCol w:w="1039"/>
      </w:tblGrid>
      <w:tr w:rsidR="00322603" w:rsidRPr="00345140" w:rsidTr="001B7D9E">
        <w:trPr>
          <w:trHeight w:val="282"/>
        </w:trPr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694C90" w:rsidRDefault="00555C78" w:rsidP="006F09B1">
            <w:pPr>
              <w:spacing w:line="400" w:lineRule="exact"/>
              <w:ind w:right="-624"/>
              <w:jc w:val="both"/>
              <w:rPr>
                <w:rFonts w:ascii="Book Antiqua" w:eastAsia="Calibri" w:hAnsi="Book Antiqua" w:cs="Calibri"/>
                <w:b/>
                <w:bCs/>
                <w:color w:val="17365D" w:themeColor="text2" w:themeShade="BF"/>
                <w:sz w:val="22"/>
                <w:szCs w:val="22"/>
                <w:u w:val="single"/>
              </w:rPr>
            </w:pPr>
            <w:r w:rsidRPr="00694C90">
              <w:rPr>
                <w:rFonts w:ascii="Book Antiqua" w:eastAsia="Calibri" w:hAnsi="Book Antiqua" w:cs="Calibri"/>
                <w:b/>
                <w:bCs/>
                <w:color w:val="17365D" w:themeColor="text2" w:themeShade="BF"/>
                <w:sz w:val="22"/>
                <w:szCs w:val="22"/>
                <w:u w:val="single"/>
              </w:rPr>
              <w:t>Besoin de financement de la Nation par secteur institutionnel</w:t>
            </w:r>
          </w:p>
          <w:p w:rsidR="00322603" w:rsidRPr="00343C35" w:rsidRDefault="00322603" w:rsidP="006F09B1">
            <w:pPr>
              <w:spacing w:before="120" w:after="12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343C35">
              <w:rPr>
                <w:b/>
                <w:color w:val="9933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345140" w:rsidRPr="00343C35">
              <w:rPr>
                <w:b/>
                <w:color w:val="993300"/>
                <w:sz w:val="18"/>
                <w:szCs w:val="18"/>
              </w:rPr>
              <w:t xml:space="preserve">       </w:t>
            </w:r>
            <w:r w:rsidRPr="00343C35">
              <w:rPr>
                <w:b/>
                <w:color w:val="993300"/>
                <w:sz w:val="18"/>
                <w:szCs w:val="18"/>
              </w:rPr>
              <w:t>(En millions de DH)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345140" w:rsidRDefault="00322603" w:rsidP="006F09B1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13" w:type="dxa"/>
            <w:tcBorders>
              <w:left w:val="nil"/>
              <w:bottom w:val="nil"/>
              <w:right w:val="nil"/>
            </w:tcBorders>
          </w:tcPr>
          <w:p w:rsidR="00322603" w:rsidRPr="00345140" w:rsidRDefault="00322603" w:rsidP="006F09B1">
            <w:pPr>
              <w:jc w:val="center"/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  <w:r w:rsidR="0007546C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</w:p>
        </w:tc>
        <w:tc>
          <w:tcPr>
            <w:tcW w:w="184" w:type="dxa"/>
            <w:tcBorders>
              <w:left w:val="nil"/>
              <w:bottom w:val="nil"/>
              <w:right w:val="nil"/>
            </w:tcBorders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202</w:t>
            </w:r>
            <w:r w:rsidR="0007546C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</w:t>
            </w:r>
          </w:p>
        </w:tc>
        <w:tc>
          <w:tcPr>
            <w:tcW w:w="184" w:type="dxa"/>
            <w:tcBorders>
              <w:left w:val="nil"/>
              <w:bottom w:val="nil"/>
              <w:right w:val="nil"/>
            </w:tcBorders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202</w:t>
            </w:r>
            <w:r w:rsidR="0007546C" w:rsidRPr="00D10D21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Besoin de financement de l’économie nationale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-13 434</w:t>
            </w:r>
          </w:p>
        </w:tc>
        <w:tc>
          <w:tcPr>
            <w:tcW w:w="184" w:type="dxa"/>
            <w:tcBorders>
              <w:left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694C90" w:rsidP="00D6356A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       </w:t>
            </w:r>
            <w:r w:rsidR="0007546C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-29 </w:t>
            </w:r>
            <w:r w:rsidR="004726D4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9</w:t>
            </w:r>
            <w:r w:rsidR="00CC483F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2</w:t>
            </w:r>
            <w:r w:rsidR="0007546C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8</w:t>
            </w:r>
          </w:p>
        </w:tc>
        <w:tc>
          <w:tcPr>
            <w:tcW w:w="184" w:type="dxa"/>
            <w:tcBorders>
              <w:left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694C90" w:rsidP="006F09B1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       </w:t>
            </w:r>
            <w:r w:rsidR="000E6C55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-46</w:t>
            </w:r>
            <w:r w:rsidR="002231B9" w:rsidRPr="00D10D21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 940</w:t>
            </w:r>
          </w:p>
        </w:tc>
      </w:tr>
      <w:tr w:rsidR="00322603" w:rsidRPr="00345140" w:rsidTr="00694C90">
        <w:trPr>
          <w:trHeight w:val="282"/>
        </w:trPr>
        <w:tc>
          <w:tcPr>
            <w:tcW w:w="58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84" w:type="dxa"/>
            <w:tcBorders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84" w:type="dxa"/>
            <w:tcBorders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322603" w:rsidP="006F09B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sz w:val="18"/>
                <w:szCs w:val="18"/>
              </w:rPr>
              <w:t xml:space="preserve">    Sociétés non financières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-12 3</w:t>
            </w:r>
            <w:r w:rsidR="00C7542C" w:rsidRPr="00D10D21">
              <w:rPr>
                <w:rFonts w:ascii="Book Antiqua" w:hAnsi="Book Antiqua" w:cs="Arial"/>
                <w:sz w:val="18"/>
                <w:szCs w:val="18"/>
              </w:rPr>
              <w:t>58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-2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9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185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2231B9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-18</w:t>
            </w:r>
            <w:r w:rsidR="006665B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>580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14 859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33 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416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603" w:rsidRPr="00D10D21" w:rsidRDefault="002231B9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-920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-5</w:t>
            </w:r>
            <w:r w:rsidR="00C7542C" w:rsidRPr="00D10D21">
              <w:rPr>
                <w:rFonts w:ascii="Book Antiqua" w:hAnsi="Book Antiqua" w:cs="Arial"/>
                <w:sz w:val="18"/>
                <w:szCs w:val="18"/>
              </w:rPr>
              <w:t>3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C7542C" w:rsidRPr="00D10D21">
              <w:rPr>
                <w:rFonts w:ascii="Book Antiqua" w:hAnsi="Book Antiqua" w:cs="Arial"/>
                <w:sz w:val="18"/>
                <w:szCs w:val="18"/>
              </w:rPr>
              <w:t>960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49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582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bottom"/>
          </w:tcPr>
          <w:p w:rsidR="00322603" w:rsidRPr="00D10D21" w:rsidRDefault="00322603" w:rsidP="006F09B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22603" w:rsidRPr="00D10D21" w:rsidRDefault="002231B9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-35</w:t>
            </w:r>
            <w:r w:rsidR="006665B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>143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322603" w:rsidRPr="00D10D21" w:rsidRDefault="00322603" w:rsidP="006F09B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D10D21">
              <w:rPr>
                <w:rFonts w:ascii="Book Antiqua" w:hAnsi="Book Antiqua" w:cs="Calibri"/>
                <w:sz w:val="18"/>
                <w:szCs w:val="18"/>
              </w:rPr>
              <w:t xml:space="preserve">    Ménages et ISBLSM</w:t>
            </w: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38 </w:t>
            </w:r>
            <w:r w:rsidR="00C7542C" w:rsidRPr="00D10D21">
              <w:rPr>
                <w:rFonts w:ascii="Book Antiqua" w:hAnsi="Book Antiqua" w:cs="Arial"/>
                <w:sz w:val="18"/>
                <w:szCs w:val="18"/>
              </w:rPr>
              <w:t>025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center"/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322603" w:rsidRPr="00D10D21" w:rsidRDefault="0007546C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1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5</w:t>
            </w:r>
            <w:r w:rsidRPr="00D10D21">
              <w:rPr>
                <w:rFonts w:ascii="Book Antiqua" w:hAnsi="Book Antiqua" w:cs="Arial"/>
                <w:sz w:val="18"/>
                <w:szCs w:val="18"/>
              </w:rPr>
              <w:t xml:space="preserve"> 4</w:t>
            </w:r>
            <w:r w:rsidR="00CC483F" w:rsidRPr="00D10D21">
              <w:rPr>
                <w:rFonts w:ascii="Book Antiqua" w:hAnsi="Book Antiqua" w:cs="Arial"/>
                <w:sz w:val="18"/>
                <w:szCs w:val="18"/>
              </w:rPr>
              <w:t>23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center"/>
          </w:tcPr>
          <w:p w:rsidR="00322603" w:rsidRPr="00D10D21" w:rsidRDefault="00322603" w:rsidP="006F09B1">
            <w:pPr>
              <w:jc w:val="right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322603" w:rsidRPr="00D10D21" w:rsidRDefault="002231B9" w:rsidP="006F09B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10D21">
              <w:rPr>
                <w:rFonts w:ascii="Book Antiqua" w:hAnsi="Book Antiqua" w:cs="Arial"/>
                <w:sz w:val="18"/>
                <w:szCs w:val="18"/>
              </w:rPr>
              <w:t>7703</w:t>
            </w:r>
          </w:p>
        </w:tc>
      </w:tr>
      <w:tr w:rsidR="00322603" w:rsidRPr="00345140" w:rsidTr="00694C90">
        <w:trPr>
          <w:trHeight w:val="282"/>
        </w:trPr>
        <w:tc>
          <w:tcPr>
            <w:tcW w:w="4760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22603" w:rsidRPr="00345140" w:rsidRDefault="00322603" w:rsidP="006F09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left w:val="nil"/>
              <w:right w:val="nil"/>
            </w:tcBorders>
            <w:vAlign w:val="center"/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left w:val="nil"/>
              <w:right w:val="nil"/>
            </w:tcBorders>
            <w:vAlign w:val="center"/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22603" w:rsidRPr="00345140" w:rsidRDefault="00322603" w:rsidP="006F09B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E4072" w:rsidRPr="00345140" w:rsidRDefault="006E4072" w:rsidP="0089604E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  <w:sz w:val="20"/>
          <w:szCs w:val="20"/>
        </w:rPr>
      </w:pPr>
    </w:p>
    <w:p w:rsidR="00345140" w:rsidRDefault="00345140" w:rsidP="0089604E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23561F" w:rsidRDefault="0023561F" w:rsidP="00E8274A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833813" w:rsidRPr="004D0C5F" w:rsidRDefault="00833813" w:rsidP="004D0C5F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  <w:r w:rsidRPr="004D0C5F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Endettement</w:t>
      </w:r>
      <w:r w:rsidR="009772DB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massif des sociétés</w:t>
      </w:r>
      <w:r w:rsidR="005E28CD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non</w:t>
      </w:r>
      <w:r w:rsidR="009772DB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financières et</w:t>
      </w:r>
      <w:bookmarkStart w:id="1" w:name="_GoBack"/>
      <w:bookmarkEnd w:id="1"/>
      <w:r w:rsidRPr="004D0C5F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</w:t>
      </w:r>
      <w:r w:rsidR="004D0C5F" w:rsidRPr="004D0C5F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d</w:t>
      </w:r>
      <w:r w:rsidR="009772DB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u</w:t>
      </w:r>
      <w:r w:rsidR="004D0C5F" w:rsidRPr="004D0C5F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secteur</w:t>
      </w:r>
      <w:r w:rsidR="009772DB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de l’Etat</w:t>
      </w:r>
      <w:r w:rsidR="004D0C5F" w:rsidRPr="004D0C5F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:rsidR="009772DB" w:rsidRPr="00833813" w:rsidRDefault="00833813" w:rsidP="009772DB">
      <w:pPr>
        <w:spacing w:before="240" w:after="240" w:line="400" w:lineRule="exact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Pour couvrir leurs besoins de financement, </w:t>
      </w:r>
      <w:r w:rsidR="009772DB" w:rsidRPr="00833813">
        <w:rPr>
          <w:rFonts w:ascii="Book Antiqua" w:eastAsia="Calibri" w:hAnsi="Book Antiqua" w:cs="Calibri"/>
          <w:sz w:val="22"/>
          <w:szCs w:val="22"/>
          <w:lang w:eastAsia="en-US"/>
        </w:rPr>
        <w:t>les sociétés non financières (SNF) ont marqué une très forte augmentation des crédits bancaires. Ainsi, le flux net des crédits accordés aux SNF a enregistré 44</w:t>
      </w:r>
      <w:r w:rsidR="009772DB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9772DB" w:rsidRPr="00833813">
        <w:rPr>
          <w:rFonts w:ascii="Book Antiqua" w:eastAsia="Calibri" w:hAnsi="Book Antiqua" w:cs="Calibri"/>
          <w:sz w:val="22"/>
          <w:szCs w:val="22"/>
          <w:lang w:eastAsia="en-US"/>
        </w:rPr>
        <w:t>4 milliards de DH en 2022 contre 1</w:t>
      </w:r>
      <w:r w:rsidR="009772DB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9772DB">
        <w:rPr>
          <w:rFonts w:ascii="Book Antiqua" w:eastAsia="Calibri" w:hAnsi="Book Antiqua" w:cs="Calibri"/>
          <w:sz w:val="22"/>
          <w:szCs w:val="22"/>
          <w:lang w:eastAsia="en-US"/>
        </w:rPr>
        <w:t>2 milliard</w:t>
      </w:r>
      <w:r w:rsidR="009772DB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 de DH en 2021, représentant ainsi 34% et 2% de leurs engagements, successivement pour 2022 et 2021.</w:t>
      </w:r>
    </w:p>
    <w:p w:rsidR="00833813" w:rsidRPr="00833813" w:rsidRDefault="008F0125" w:rsidP="00000DC9">
      <w:pPr>
        <w:spacing w:before="240" w:after="240" w:line="400" w:lineRule="exact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  <w:r>
        <w:rPr>
          <w:rFonts w:ascii="Book Antiqua" w:eastAsia="Calibri" w:hAnsi="Book Antiqua" w:cs="Calibri"/>
          <w:sz w:val="22"/>
          <w:szCs w:val="22"/>
          <w:lang w:eastAsia="en-US"/>
        </w:rPr>
        <w:t>Concernant le secteur de l’état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, les émissions du trésor public dans le marché intérieur ont marqué une baisse remarquable, affichant </w:t>
      </w:r>
      <w:r w:rsidR="003E5D1C">
        <w:rPr>
          <w:rFonts w:ascii="Book Antiqua" w:eastAsia="Calibri" w:hAnsi="Book Antiqua" w:cs="Calibri"/>
          <w:sz w:val="22"/>
          <w:szCs w:val="22"/>
          <w:lang w:eastAsia="en-US"/>
        </w:rPr>
        <w:t>un flux net de l’ordre 20,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5 milliards de DH en 2022 contre 48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6 milliards de dirhams en 2021. De même, l’endettement extérieur de ce secteur a connu une légère baisse, enregistrant un flux net de l’ordre 7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7 milliards de DH en 2022 contre 8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1 milliards de DH en 2021. A ce niveau, le flux net des titres de créances négociables émis à l’international 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est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 passé de </w:t>
      </w:r>
      <w:r w:rsidR="00694C90">
        <w:rPr>
          <w:rFonts w:ascii="Book Antiqua" w:eastAsia="Calibri" w:hAnsi="Book Antiqua" w:cs="Calibri"/>
          <w:sz w:val="22"/>
          <w:szCs w:val="22"/>
          <w:lang w:eastAsia="en-US"/>
        </w:rPr>
        <w:t>(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-2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1</w:t>
      </w:r>
      <w:r w:rsidR="00694C90">
        <w:rPr>
          <w:rFonts w:ascii="Book Antiqua" w:eastAsia="Calibri" w:hAnsi="Book Antiqua" w:cs="Calibri"/>
          <w:sz w:val="22"/>
          <w:szCs w:val="22"/>
          <w:lang w:eastAsia="en-US"/>
        </w:rPr>
        <w:t>)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 milliards de DH en 2021 à </w:t>
      </w:r>
      <w:r w:rsidR="00694C90">
        <w:rPr>
          <w:rFonts w:ascii="Book Antiqua" w:eastAsia="Calibri" w:hAnsi="Book Antiqua" w:cs="Calibri"/>
          <w:sz w:val="22"/>
          <w:szCs w:val="22"/>
          <w:lang w:eastAsia="en-US"/>
        </w:rPr>
        <w:t>(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-11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1</w:t>
      </w:r>
      <w:r w:rsidR="00694C90">
        <w:rPr>
          <w:rFonts w:ascii="Book Antiqua" w:eastAsia="Calibri" w:hAnsi="Book Antiqua" w:cs="Calibri"/>
          <w:sz w:val="22"/>
          <w:szCs w:val="22"/>
          <w:lang w:eastAsia="en-US"/>
        </w:rPr>
        <w:t>)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 milliards de DH en 2022.</w:t>
      </w:r>
    </w:p>
    <w:p w:rsidR="00833813" w:rsidRPr="00833813" w:rsidRDefault="00833813" w:rsidP="00833813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L’endettement des ménages (y compris les entrepreneurs individuels) auprès des banques a marqué une baisse remarquable. A ce propos, le flux nets des crédits est passé de </w:t>
      </w:r>
      <w:r w:rsidRPr="00833813">
        <w:rPr>
          <w:rFonts w:ascii="Book Antiqua" w:eastAsiaTheme="minorHAnsi" w:hAnsi="Book Antiqua" w:cstheme="minorBidi"/>
          <w:sz w:val="22"/>
          <w:szCs w:val="22"/>
          <w:lang w:eastAsia="en-US"/>
        </w:rPr>
        <w:t>20</w:t>
      </w:r>
      <w:r w:rsidR="00E8274A" w:rsidRPr="00EC7C23">
        <w:rPr>
          <w:rFonts w:ascii="Book Antiqua" w:eastAsiaTheme="minorHAnsi" w:hAnsi="Book Antiqua" w:cstheme="minorBidi"/>
          <w:sz w:val="22"/>
          <w:szCs w:val="22"/>
          <w:lang w:eastAsia="en-US"/>
        </w:rPr>
        <w:t>,</w:t>
      </w:r>
      <w:r w:rsidRPr="00833813">
        <w:rPr>
          <w:rFonts w:ascii="Book Antiqua" w:eastAsiaTheme="minorHAnsi" w:hAnsi="Book Antiqua" w:cstheme="minorBidi"/>
          <w:sz w:val="22"/>
          <w:szCs w:val="22"/>
          <w:lang w:eastAsia="en-US"/>
        </w:rPr>
        <w:t xml:space="preserve">4 </w:t>
      </w: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>milliards de DH en 2021 à 16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>3 milliards de DH en 2022. En revanche, les dépôts ont enregistré une hausse massive, affichant un flux net de 89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>6 milliards de DH en 2022 contre 38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>9 milliards de DH en 2021, ce qui représente 95% et 63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Pr="00833813">
        <w:rPr>
          <w:rFonts w:ascii="Book Antiqua" w:eastAsia="Calibri" w:hAnsi="Book Antiqua" w:cs="Calibri"/>
          <w:sz w:val="22"/>
          <w:szCs w:val="22"/>
          <w:lang w:eastAsia="en-US"/>
        </w:rPr>
        <w:t xml:space="preserve">3% de leurs avoirs respectivement. </w:t>
      </w:r>
    </w:p>
    <w:p w:rsidR="00833813" w:rsidRPr="00833813" w:rsidRDefault="008F0125" w:rsidP="00833813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  <w:lang w:eastAsia="en-US"/>
        </w:rPr>
      </w:pPr>
      <w:r>
        <w:rPr>
          <w:rFonts w:ascii="Book Antiqua" w:eastAsia="Calibri" w:hAnsi="Book Antiqua" w:cs="Calibri"/>
          <w:sz w:val="22"/>
          <w:szCs w:val="22"/>
          <w:lang w:eastAsia="en-US"/>
        </w:rPr>
        <w:t>Par ailleurs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, les sociétés financières (SF) ont enregistré un accroissement important au niveau des crédits et des dépôts. En effet, le flux net des crédits accordés par ce secteur a atteint 87 milliards de DH en 2022 contre 34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2 milliards de DH en 2021. En parallèle, les dépôts auprès de ces établissements ont affiché un flux net de l’ordre de 177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5 milliards de DH en 2022 contre 102</w:t>
      </w:r>
      <w:r w:rsidR="00E8274A" w:rsidRPr="00EC7C23">
        <w:rPr>
          <w:rFonts w:ascii="Book Antiqua" w:eastAsia="Calibri" w:hAnsi="Book Antiqua" w:cs="Calibri"/>
          <w:sz w:val="22"/>
          <w:szCs w:val="22"/>
          <w:lang w:eastAsia="en-US"/>
        </w:rPr>
        <w:t>,</w:t>
      </w:r>
      <w:r w:rsidR="00833813" w:rsidRPr="00833813">
        <w:rPr>
          <w:rFonts w:ascii="Book Antiqua" w:eastAsia="Calibri" w:hAnsi="Book Antiqua" w:cs="Calibri"/>
          <w:sz w:val="22"/>
          <w:szCs w:val="22"/>
          <w:lang w:eastAsia="en-US"/>
        </w:rPr>
        <w:t>5 milliards de DH une année auparavant.</w:t>
      </w:r>
    </w:p>
    <w:p w:rsidR="006E4072" w:rsidRPr="00EC7C23" w:rsidRDefault="006E4072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Pr="00EC7C23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</w:pPr>
    </w:p>
    <w:p w:rsidR="00171DF8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6"/>
          <w:szCs w:val="16"/>
          <w:u w:val="single"/>
        </w:rPr>
      </w:pPr>
    </w:p>
    <w:p w:rsidR="00171DF8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6"/>
          <w:szCs w:val="16"/>
          <w:u w:val="single"/>
        </w:rPr>
      </w:pPr>
    </w:p>
    <w:p w:rsidR="00171DF8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6"/>
          <w:szCs w:val="16"/>
          <w:u w:val="single"/>
        </w:rPr>
      </w:pPr>
    </w:p>
    <w:p w:rsidR="00171DF8" w:rsidRDefault="00171DF8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6"/>
          <w:szCs w:val="16"/>
          <w:u w:val="single"/>
        </w:rPr>
      </w:pPr>
    </w:p>
    <w:p w:rsidR="00E61EB6" w:rsidRPr="001B7D9E" w:rsidRDefault="00E61EB6" w:rsidP="00E61EB6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</w:pPr>
      <w:r w:rsidRPr="00694C90">
        <w:rPr>
          <w:rFonts w:ascii="Book Antiqua" w:eastAsia="Calibri" w:hAnsi="Book Antiqua" w:cs="Calibri"/>
          <w:b/>
          <w:bCs/>
          <w:color w:val="17365D" w:themeColor="text2" w:themeShade="BF"/>
          <w:sz w:val="22"/>
          <w:szCs w:val="22"/>
          <w:u w:val="single"/>
        </w:rPr>
        <w:t>Quelques éléments du tableau des comptes économiques intégrés</w:t>
      </w:r>
    </w:p>
    <w:p w:rsidR="00E61EB6" w:rsidRPr="001B7D9E" w:rsidRDefault="00E61EB6" w:rsidP="00E61EB6">
      <w:pPr>
        <w:spacing w:before="120" w:after="120"/>
        <w:jc w:val="center"/>
        <w:rPr>
          <w:rFonts w:ascii="Book Antiqua" w:eastAsia="Calibri" w:hAnsi="Book Antiqua" w:cs="Calibri"/>
          <w:sz w:val="18"/>
          <w:szCs w:val="18"/>
        </w:rPr>
      </w:pPr>
      <w:r w:rsidRPr="001B7D9E">
        <w:rPr>
          <w:b/>
          <w:color w:val="9933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(En millions de DH)</w:t>
      </w:r>
    </w:p>
    <w:tbl>
      <w:tblPr>
        <w:tblW w:w="8197" w:type="dxa"/>
        <w:tblCellMar>
          <w:left w:w="70" w:type="dxa"/>
          <w:right w:w="70" w:type="dxa"/>
        </w:tblCellMar>
        <w:tblLook w:val="04A0"/>
      </w:tblPr>
      <w:tblGrid>
        <w:gridCol w:w="4649"/>
        <w:gridCol w:w="206"/>
        <w:gridCol w:w="146"/>
        <w:gridCol w:w="1060"/>
        <w:gridCol w:w="146"/>
        <w:gridCol w:w="995"/>
        <w:gridCol w:w="995"/>
      </w:tblGrid>
      <w:tr w:rsidR="00E61EB6" w:rsidRPr="001B7D9E" w:rsidTr="00936E31">
        <w:trPr>
          <w:trHeight w:val="300"/>
        </w:trPr>
        <w:tc>
          <w:tcPr>
            <w:tcW w:w="4649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ind w:right="-211"/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Opérations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E61EB6" w:rsidRPr="001B7D9E" w:rsidRDefault="00E61EB6" w:rsidP="00936E31">
            <w:pPr>
              <w:jc w:val="center"/>
              <w:rPr>
                <w:rFonts w:ascii="Arial" w:hAnsi="Arial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nil"/>
              <w:right w:val="nil"/>
            </w:tcBorders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2020</w:t>
            </w:r>
          </w:p>
        </w:tc>
        <w:tc>
          <w:tcPr>
            <w:tcW w:w="146" w:type="dxa"/>
            <w:tcBorders>
              <w:left w:val="nil"/>
              <w:right w:val="nil"/>
            </w:tcBorders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2021</w:t>
            </w:r>
          </w:p>
        </w:tc>
        <w:tc>
          <w:tcPr>
            <w:tcW w:w="99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20</w:t>
            </w: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22</w:t>
            </w:r>
          </w:p>
        </w:tc>
      </w:tr>
      <w:tr w:rsidR="00E61EB6" w:rsidRPr="00E57821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E57821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E57821">
              <w:rPr>
                <w:rFonts w:ascii="Book Antiqua" w:hAnsi="Book Antiqua" w:cs="Arial"/>
                <w:sz w:val="18"/>
                <w:szCs w:val="18"/>
              </w:rPr>
              <w:t>Valeur ajoutée aux prix de base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E57821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E57821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</w:t>
            </w:r>
            <w:r w:rsidR="00DE7ED6">
              <w:rPr>
                <w:rFonts w:ascii="Book Antiqua" w:hAnsi="Book Antiqua" w:cs="Arial"/>
                <w:sz w:val="18"/>
                <w:szCs w:val="18"/>
              </w:rPr>
              <w:t> 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036</w:t>
            </w:r>
            <w:r w:rsidR="00DE7ED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049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E57821" w:rsidRDefault="00E61EB6" w:rsidP="00936E31">
            <w:pPr>
              <w:jc w:val="right"/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E57821" w:rsidRDefault="00E61EB6" w:rsidP="00936E31">
            <w:pPr>
              <w:jc w:val="right"/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</w:pPr>
            <w:r w:rsidRPr="00E57821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>1</w:t>
            </w:r>
            <w:r w:rsidR="00DE7ED6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> </w:t>
            </w:r>
            <w:r w:rsidRPr="00E57821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>143</w:t>
            </w:r>
            <w:r w:rsidR="00DE7ED6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 xml:space="preserve"> </w:t>
            </w:r>
            <w:r w:rsidRPr="00E57821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>497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E57821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E57821">
              <w:rPr>
                <w:rFonts w:ascii="Book Antiqua" w:hAnsi="Book Antiqua" w:cs="Arial"/>
                <w:sz w:val="18"/>
                <w:szCs w:val="18"/>
              </w:rPr>
              <w:t>1 200 946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Impôts nets sur les produits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116 428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13</w:t>
            </w:r>
            <w:r>
              <w:rPr>
                <w:rFonts w:ascii="Book Antiqua" w:hAnsi="Book Antiqua" w:cs="Arial"/>
                <w:sz w:val="18"/>
                <w:szCs w:val="18"/>
              </w:rPr>
              <w:t>1230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129 212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Produit intérieur brut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  <w:p w:rsidR="00E61EB6" w:rsidRPr="00DE7ED6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DE7ED6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1 152 477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1</w:t>
            </w:r>
            <w: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 </w:t>
            </w: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74 727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Default="00E61EB6" w:rsidP="00936E31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</w:p>
          <w:p w:rsidR="00E61EB6" w:rsidRPr="001B7D9E" w:rsidRDefault="00E61EB6" w:rsidP="00936E31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  1 330 158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Valeur ajoutée brute des secteurs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 xml:space="preserve">    Sociétés non financières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450 853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5</w:t>
            </w:r>
            <w:r>
              <w:rPr>
                <w:rFonts w:ascii="Book Antiqua" w:hAnsi="Book Antiqua" w:cs="Arial"/>
                <w:sz w:val="18"/>
                <w:szCs w:val="18"/>
              </w:rPr>
              <w:t>00</w:t>
            </w:r>
            <w:r w:rsidR="00DE7ED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="Arial"/>
                <w:sz w:val="18"/>
                <w:szCs w:val="18"/>
              </w:rPr>
              <w:t>610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542 124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51 956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56 578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59 809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193 364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203 986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214 766                         </w:t>
            </w:r>
          </w:p>
        </w:tc>
      </w:tr>
      <w:tr w:rsidR="00E61EB6" w:rsidRPr="001B7D9E" w:rsidTr="00936E31">
        <w:trPr>
          <w:trHeight w:val="2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 xml:space="preserve">    Ménages et ISBLSM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339 876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38</w:t>
            </w:r>
            <w:r>
              <w:rPr>
                <w:rFonts w:ascii="Book Antiqua" w:hAnsi="Book Antiqua" w:cs="Arial"/>
                <w:sz w:val="18"/>
                <w:szCs w:val="18"/>
              </w:rPr>
              <w:t>2323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384 247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Eléments de partage de la valeur ajoutée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  <w:t>Sociétés non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Rémunération des salariés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170 408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183 699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192 860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Autres impôts nets sur la production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6 314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7 135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6 955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Excédent brut d'exploitation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274 131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309 776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342 309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Rémunération des salariés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18 150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18 726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19 292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Autres impôts nets sur la production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1 016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1 133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1 128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Excédent brut d'exploitation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32 790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36</w:t>
            </w:r>
            <w:r w:rsidR="00DE7ED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719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39 389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Rémunération des salariés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164 956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171 799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179 574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Autres impôts sur la production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873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569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362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Excédent brut d'exploitation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27 535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31</w:t>
            </w:r>
            <w:r w:rsidR="003D6593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618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34 830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  <w:t xml:space="preserve">    Ménages et ISBLSM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Rémunération des salariés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Arial" w:hAnsi="Arial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28 989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30 950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31 476</w:t>
            </w:r>
          </w:p>
        </w:tc>
      </w:tr>
      <w:tr w:rsidR="00E61EB6" w:rsidRPr="00EF449E" w:rsidTr="00936E31">
        <w:trPr>
          <w:trHeight w:val="273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Autres impôts nets sur la production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Arial" w:hAnsi="Arial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491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615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EB6" w:rsidRPr="00EF449E" w:rsidRDefault="00E61EB6" w:rsidP="00936E31">
            <w:pPr>
              <w:jc w:val="right"/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</w:pPr>
            <w:r w:rsidRPr="00EF449E">
              <w:rPr>
                <w:rFonts w:ascii="Book Antiqua" w:hAnsi="Book Antiqua" w:cs="Arial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E61EB6" w:rsidRPr="00EF44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00206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   Excédent brut d'exploitation et revenu mixte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Arial" w:hAnsi="Arial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310 396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350 758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EF44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EF449E">
              <w:rPr>
                <w:rFonts w:ascii="Book Antiqua" w:hAnsi="Book Antiqua" w:cs="Arial"/>
                <w:sz w:val="18"/>
                <w:szCs w:val="18"/>
              </w:rPr>
              <w:t>352 091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Revenu national brut disponible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Arial" w:hAnsi="Arial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</w:t>
            </w:r>
            <w:r w:rsidR="003D6593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 </w:t>
            </w:r>
            <w:r w:rsidRPr="00DE7ED6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222</w:t>
            </w:r>
            <w:r w:rsidR="003D6593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659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</w:t>
            </w: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 </w:t>
            </w: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</w:t>
            </w: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62 897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1 436 118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Revenu national brut disponible par secteur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non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148 669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176 316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184 745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24 258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34</w:t>
            </w:r>
            <w:r w:rsidR="003D6593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343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36 176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244 764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272</w:t>
            </w:r>
            <w:r w:rsidR="003D6593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747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289 528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Ménages et ISBLSM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804 968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879 491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925 699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Epargne brute nationale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318 211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</w:t>
            </w: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5</w:t>
            </w: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 xml:space="preserve">9 </w:t>
            </w: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265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356 129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Epargne brute par secteur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non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148 669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176 316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184 745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20 931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30 551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31 557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21</w:t>
            </w:r>
            <w:r w:rsidR="003D6593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126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30 534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33 901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Ménages et ISBLSM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127 485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121</w:t>
            </w:r>
            <w:r w:rsidR="003D6593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DE7ED6">
              <w:rPr>
                <w:rFonts w:ascii="Book Antiqua" w:hAnsi="Book Antiqua" w:cs="Arial"/>
                <w:sz w:val="18"/>
                <w:szCs w:val="18"/>
              </w:rPr>
              <w:t>864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DE7ED6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DE7ED6">
              <w:rPr>
                <w:rFonts w:ascii="Book Antiqua" w:hAnsi="Book Antiqua" w:cs="Arial"/>
                <w:sz w:val="18"/>
                <w:szCs w:val="18"/>
              </w:rPr>
              <w:t>105 926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 xml:space="preserve">Formation brute nationale du capital fixe 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302 245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335 620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  <w:t>360 825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b/>
                <w:bCs/>
                <w:color w:val="800080"/>
                <w:sz w:val="18"/>
                <w:szCs w:val="18"/>
              </w:rPr>
              <w:t>Formation brute du capital fixe par secteur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non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146 530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170 099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183 167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Sociétés financières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4 969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 xml:space="preserve">-1 </w:t>
            </w:r>
            <w:r>
              <w:rPr>
                <w:rFonts w:ascii="Book Antiqua" w:hAnsi="Book Antiqua" w:cs="Arial"/>
                <w:sz w:val="18"/>
                <w:szCs w:val="18"/>
              </w:rPr>
              <w:t>289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28 059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Administrations Publiques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61 534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67 405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48 994</w:t>
            </w:r>
          </w:p>
        </w:tc>
      </w:tr>
      <w:tr w:rsidR="00E61EB6" w:rsidRPr="001B7D9E" w:rsidTr="00936E31">
        <w:trPr>
          <w:trHeight w:val="273"/>
        </w:trPr>
        <w:tc>
          <w:tcPr>
            <w:tcW w:w="4649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E61EB6" w:rsidRPr="001B7D9E" w:rsidRDefault="00E61EB6" w:rsidP="00936E31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1B7D9E">
              <w:rPr>
                <w:rFonts w:ascii="Book Antiqua" w:hAnsi="Book Antiqua" w:cs="Calibri"/>
                <w:sz w:val="18"/>
                <w:szCs w:val="18"/>
              </w:rPr>
              <w:t xml:space="preserve">    Ménages et ISBLSM</w:t>
            </w:r>
          </w:p>
        </w:tc>
        <w:tc>
          <w:tcPr>
            <w:tcW w:w="2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E61EB6" w:rsidRPr="001B7D9E" w:rsidRDefault="00E61EB6" w:rsidP="00936E3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1B7D9E">
              <w:rPr>
                <w:rFonts w:ascii="Book Antiqua" w:hAnsi="Book Antiqua" w:cs="Arial"/>
                <w:sz w:val="18"/>
                <w:szCs w:val="18"/>
              </w:rPr>
              <w:t>89 212</w:t>
            </w: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99 405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</w:tcPr>
          <w:p w:rsidR="00E61EB6" w:rsidRPr="001B7D9E" w:rsidRDefault="00E61EB6" w:rsidP="00936E31">
            <w:pPr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100 605</w:t>
            </w:r>
          </w:p>
        </w:tc>
      </w:tr>
    </w:tbl>
    <w:p w:rsidR="00E61EB6" w:rsidRDefault="00E61EB6" w:rsidP="00E61EB6">
      <w:pPr>
        <w:spacing w:line="400" w:lineRule="exact"/>
        <w:ind w:right="-624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  <w:rtl/>
        </w:rPr>
      </w:pPr>
    </w:p>
    <w:p w:rsidR="00E61EB6" w:rsidRDefault="00E61EB6" w:rsidP="005D7294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sz w:val="18"/>
          <w:szCs w:val="18"/>
          <w:u w:val="single"/>
        </w:rPr>
      </w:pPr>
    </w:p>
    <w:sectPr w:rsidR="00E61EB6" w:rsidSect="00315F80">
      <w:footerReference w:type="default" r:id="rId10"/>
      <w:pgSz w:w="11900" w:h="16840"/>
      <w:pgMar w:top="709" w:right="1418" w:bottom="851" w:left="147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DAA" w:rsidRDefault="00162DAA" w:rsidP="00611FF6">
      <w:r>
        <w:separator/>
      </w:r>
    </w:p>
  </w:endnote>
  <w:endnote w:type="continuationSeparator" w:id="0">
    <w:p w:rsidR="00162DAA" w:rsidRDefault="00162DA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CD" w:rsidRDefault="00EC7399">
    <w:pPr>
      <w:pStyle w:val="Pieddepage"/>
      <w:jc w:val="center"/>
    </w:pPr>
    <w:fldSimple w:instr=" PAGE   \* MERGEFORMAT ">
      <w:r w:rsidR="00225008">
        <w:rPr>
          <w:noProof/>
        </w:rPr>
        <w:t>1</w:t>
      </w:r>
    </w:fldSimple>
  </w:p>
  <w:p w:rsidR="005E28CD" w:rsidRDefault="005E28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DAA" w:rsidRDefault="00162DAA" w:rsidP="00611FF6">
      <w:r>
        <w:separator/>
      </w:r>
    </w:p>
  </w:footnote>
  <w:footnote w:type="continuationSeparator" w:id="0">
    <w:p w:rsidR="00162DAA" w:rsidRDefault="00162DA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DC9"/>
    <w:rsid w:val="00000E45"/>
    <w:rsid w:val="00000EC8"/>
    <w:rsid w:val="00001B79"/>
    <w:rsid w:val="00001F9C"/>
    <w:rsid w:val="00002C5C"/>
    <w:rsid w:val="00003C6D"/>
    <w:rsid w:val="00004DBD"/>
    <w:rsid w:val="00004FEC"/>
    <w:rsid w:val="000072AB"/>
    <w:rsid w:val="00007F6C"/>
    <w:rsid w:val="00010F29"/>
    <w:rsid w:val="000123FA"/>
    <w:rsid w:val="00012B91"/>
    <w:rsid w:val="0001513B"/>
    <w:rsid w:val="0002156D"/>
    <w:rsid w:val="00027760"/>
    <w:rsid w:val="0003047A"/>
    <w:rsid w:val="00031F6A"/>
    <w:rsid w:val="000325AF"/>
    <w:rsid w:val="000325CC"/>
    <w:rsid w:val="00036DC1"/>
    <w:rsid w:val="00042514"/>
    <w:rsid w:val="0004327C"/>
    <w:rsid w:val="00044FC6"/>
    <w:rsid w:val="00045F6B"/>
    <w:rsid w:val="00046EE1"/>
    <w:rsid w:val="0005290D"/>
    <w:rsid w:val="000532E5"/>
    <w:rsid w:val="000535AB"/>
    <w:rsid w:val="0005395B"/>
    <w:rsid w:val="00053BAE"/>
    <w:rsid w:val="00053CCE"/>
    <w:rsid w:val="00056651"/>
    <w:rsid w:val="0006003D"/>
    <w:rsid w:val="000604C4"/>
    <w:rsid w:val="00061B16"/>
    <w:rsid w:val="00062F66"/>
    <w:rsid w:val="00063818"/>
    <w:rsid w:val="000661CA"/>
    <w:rsid w:val="000664F8"/>
    <w:rsid w:val="0006664F"/>
    <w:rsid w:val="000666B9"/>
    <w:rsid w:val="00066F52"/>
    <w:rsid w:val="00070FA9"/>
    <w:rsid w:val="0007102C"/>
    <w:rsid w:val="0007546C"/>
    <w:rsid w:val="0007573E"/>
    <w:rsid w:val="000764F4"/>
    <w:rsid w:val="00077CA8"/>
    <w:rsid w:val="00082062"/>
    <w:rsid w:val="0008220B"/>
    <w:rsid w:val="00085217"/>
    <w:rsid w:val="00085C5C"/>
    <w:rsid w:val="0008668A"/>
    <w:rsid w:val="00087A9F"/>
    <w:rsid w:val="00090AEF"/>
    <w:rsid w:val="000911F6"/>
    <w:rsid w:val="00091B25"/>
    <w:rsid w:val="00091E0D"/>
    <w:rsid w:val="00092160"/>
    <w:rsid w:val="0009383B"/>
    <w:rsid w:val="00093EA1"/>
    <w:rsid w:val="00094078"/>
    <w:rsid w:val="000A0133"/>
    <w:rsid w:val="000A030F"/>
    <w:rsid w:val="000A5F43"/>
    <w:rsid w:val="000A69A4"/>
    <w:rsid w:val="000A7698"/>
    <w:rsid w:val="000B0B65"/>
    <w:rsid w:val="000B1129"/>
    <w:rsid w:val="000B49E0"/>
    <w:rsid w:val="000C09AF"/>
    <w:rsid w:val="000C23CB"/>
    <w:rsid w:val="000C41A3"/>
    <w:rsid w:val="000C4F8C"/>
    <w:rsid w:val="000C7272"/>
    <w:rsid w:val="000C798A"/>
    <w:rsid w:val="000D0DFC"/>
    <w:rsid w:val="000D1107"/>
    <w:rsid w:val="000D29AB"/>
    <w:rsid w:val="000D63C8"/>
    <w:rsid w:val="000D6BD3"/>
    <w:rsid w:val="000D70A4"/>
    <w:rsid w:val="000E0F18"/>
    <w:rsid w:val="000E17F4"/>
    <w:rsid w:val="000E1B0A"/>
    <w:rsid w:val="000E3CC1"/>
    <w:rsid w:val="000E526E"/>
    <w:rsid w:val="000E6C55"/>
    <w:rsid w:val="000F0733"/>
    <w:rsid w:val="000F3148"/>
    <w:rsid w:val="000F3D3D"/>
    <w:rsid w:val="000F4FE7"/>
    <w:rsid w:val="000F697F"/>
    <w:rsid w:val="000F75DC"/>
    <w:rsid w:val="000F7740"/>
    <w:rsid w:val="000F7C4D"/>
    <w:rsid w:val="00100813"/>
    <w:rsid w:val="00101BEE"/>
    <w:rsid w:val="00102071"/>
    <w:rsid w:val="0010418D"/>
    <w:rsid w:val="00104CE6"/>
    <w:rsid w:val="00106610"/>
    <w:rsid w:val="00111F64"/>
    <w:rsid w:val="00114E37"/>
    <w:rsid w:val="00115700"/>
    <w:rsid w:val="00115CC3"/>
    <w:rsid w:val="00116C9C"/>
    <w:rsid w:val="00116F14"/>
    <w:rsid w:val="0011786F"/>
    <w:rsid w:val="00126DA6"/>
    <w:rsid w:val="001275B2"/>
    <w:rsid w:val="00127952"/>
    <w:rsid w:val="00130493"/>
    <w:rsid w:val="00130695"/>
    <w:rsid w:val="0013085D"/>
    <w:rsid w:val="00131CEC"/>
    <w:rsid w:val="001346ED"/>
    <w:rsid w:val="00140AF5"/>
    <w:rsid w:val="0014290A"/>
    <w:rsid w:val="00142C16"/>
    <w:rsid w:val="00144A0A"/>
    <w:rsid w:val="00145A1D"/>
    <w:rsid w:val="00146431"/>
    <w:rsid w:val="00153501"/>
    <w:rsid w:val="00153F1B"/>
    <w:rsid w:val="001550E9"/>
    <w:rsid w:val="0015763C"/>
    <w:rsid w:val="001610B6"/>
    <w:rsid w:val="00162934"/>
    <w:rsid w:val="00162DAA"/>
    <w:rsid w:val="00163049"/>
    <w:rsid w:val="00163195"/>
    <w:rsid w:val="001640BD"/>
    <w:rsid w:val="001652A3"/>
    <w:rsid w:val="00166DB1"/>
    <w:rsid w:val="00171DF8"/>
    <w:rsid w:val="00172297"/>
    <w:rsid w:val="001727AC"/>
    <w:rsid w:val="0017288B"/>
    <w:rsid w:val="0017399D"/>
    <w:rsid w:val="001776B8"/>
    <w:rsid w:val="0018215F"/>
    <w:rsid w:val="0018364A"/>
    <w:rsid w:val="00184704"/>
    <w:rsid w:val="00192ABF"/>
    <w:rsid w:val="001940E6"/>
    <w:rsid w:val="00194E41"/>
    <w:rsid w:val="001978BE"/>
    <w:rsid w:val="001A0192"/>
    <w:rsid w:val="001A0777"/>
    <w:rsid w:val="001A08E2"/>
    <w:rsid w:val="001A1C09"/>
    <w:rsid w:val="001A2099"/>
    <w:rsid w:val="001A2AAE"/>
    <w:rsid w:val="001A4603"/>
    <w:rsid w:val="001A4A33"/>
    <w:rsid w:val="001A5C14"/>
    <w:rsid w:val="001B4838"/>
    <w:rsid w:val="001B4853"/>
    <w:rsid w:val="001B61C0"/>
    <w:rsid w:val="001B7045"/>
    <w:rsid w:val="001B7A37"/>
    <w:rsid w:val="001B7D9E"/>
    <w:rsid w:val="001C01C0"/>
    <w:rsid w:val="001C0E5B"/>
    <w:rsid w:val="001D36CE"/>
    <w:rsid w:val="001D4DCC"/>
    <w:rsid w:val="001D5458"/>
    <w:rsid w:val="001D6326"/>
    <w:rsid w:val="001E08D2"/>
    <w:rsid w:val="001E14D4"/>
    <w:rsid w:val="001E282C"/>
    <w:rsid w:val="001E3C72"/>
    <w:rsid w:val="001E5BF8"/>
    <w:rsid w:val="001F1BDB"/>
    <w:rsid w:val="00201857"/>
    <w:rsid w:val="00204F31"/>
    <w:rsid w:val="00205872"/>
    <w:rsid w:val="002079B7"/>
    <w:rsid w:val="002101C6"/>
    <w:rsid w:val="00210498"/>
    <w:rsid w:val="002105CD"/>
    <w:rsid w:val="002138C2"/>
    <w:rsid w:val="00213CA5"/>
    <w:rsid w:val="00214114"/>
    <w:rsid w:val="00214222"/>
    <w:rsid w:val="0021605E"/>
    <w:rsid w:val="00220060"/>
    <w:rsid w:val="00220C1C"/>
    <w:rsid w:val="002212BF"/>
    <w:rsid w:val="0022148A"/>
    <w:rsid w:val="00222EED"/>
    <w:rsid w:val="002231B9"/>
    <w:rsid w:val="00225008"/>
    <w:rsid w:val="002313F7"/>
    <w:rsid w:val="002317F0"/>
    <w:rsid w:val="002325A2"/>
    <w:rsid w:val="00232B04"/>
    <w:rsid w:val="002333D3"/>
    <w:rsid w:val="002333D9"/>
    <w:rsid w:val="00235022"/>
    <w:rsid w:val="0023561F"/>
    <w:rsid w:val="00235AC8"/>
    <w:rsid w:val="00236759"/>
    <w:rsid w:val="002368C0"/>
    <w:rsid w:val="0023693B"/>
    <w:rsid w:val="00236AF1"/>
    <w:rsid w:val="00237927"/>
    <w:rsid w:val="00240A7A"/>
    <w:rsid w:val="00242160"/>
    <w:rsid w:val="00242919"/>
    <w:rsid w:val="002434D0"/>
    <w:rsid w:val="00243F7C"/>
    <w:rsid w:val="002460AB"/>
    <w:rsid w:val="00247213"/>
    <w:rsid w:val="00250D07"/>
    <w:rsid w:val="00252408"/>
    <w:rsid w:val="00253079"/>
    <w:rsid w:val="0025711A"/>
    <w:rsid w:val="00260CBB"/>
    <w:rsid w:val="002618DB"/>
    <w:rsid w:val="00261BD6"/>
    <w:rsid w:val="002634B8"/>
    <w:rsid w:val="00264581"/>
    <w:rsid w:val="002649A4"/>
    <w:rsid w:val="00266012"/>
    <w:rsid w:val="00267202"/>
    <w:rsid w:val="002679E2"/>
    <w:rsid w:val="002706D3"/>
    <w:rsid w:val="002744B8"/>
    <w:rsid w:val="00275E45"/>
    <w:rsid w:val="00280D1C"/>
    <w:rsid w:val="00282657"/>
    <w:rsid w:val="00283FFA"/>
    <w:rsid w:val="0028536F"/>
    <w:rsid w:val="0028577D"/>
    <w:rsid w:val="002874DC"/>
    <w:rsid w:val="002932AE"/>
    <w:rsid w:val="00294E49"/>
    <w:rsid w:val="00296A0C"/>
    <w:rsid w:val="00296EAA"/>
    <w:rsid w:val="002A2143"/>
    <w:rsid w:val="002A2ECE"/>
    <w:rsid w:val="002A42FF"/>
    <w:rsid w:val="002A54A4"/>
    <w:rsid w:val="002A5D52"/>
    <w:rsid w:val="002A628B"/>
    <w:rsid w:val="002A62A2"/>
    <w:rsid w:val="002A67AB"/>
    <w:rsid w:val="002A762F"/>
    <w:rsid w:val="002B0925"/>
    <w:rsid w:val="002B2B29"/>
    <w:rsid w:val="002B3DE0"/>
    <w:rsid w:val="002B4871"/>
    <w:rsid w:val="002B61F1"/>
    <w:rsid w:val="002B6CCC"/>
    <w:rsid w:val="002B6FC8"/>
    <w:rsid w:val="002C1ACC"/>
    <w:rsid w:val="002C271E"/>
    <w:rsid w:val="002C321E"/>
    <w:rsid w:val="002C3FFB"/>
    <w:rsid w:val="002C557F"/>
    <w:rsid w:val="002C60F4"/>
    <w:rsid w:val="002C65CF"/>
    <w:rsid w:val="002C702F"/>
    <w:rsid w:val="002C74D0"/>
    <w:rsid w:val="002D51DB"/>
    <w:rsid w:val="002D7DF2"/>
    <w:rsid w:val="002E0857"/>
    <w:rsid w:val="002E1056"/>
    <w:rsid w:val="002E1150"/>
    <w:rsid w:val="002E1C80"/>
    <w:rsid w:val="002E32E7"/>
    <w:rsid w:val="002E5B65"/>
    <w:rsid w:val="002E7900"/>
    <w:rsid w:val="002E7983"/>
    <w:rsid w:val="002F06D0"/>
    <w:rsid w:val="002F11E2"/>
    <w:rsid w:val="002F2F51"/>
    <w:rsid w:val="002F3549"/>
    <w:rsid w:val="002F3F44"/>
    <w:rsid w:val="002F4207"/>
    <w:rsid w:val="00301E59"/>
    <w:rsid w:val="00303A3B"/>
    <w:rsid w:val="00304E3D"/>
    <w:rsid w:val="00307578"/>
    <w:rsid w:val="00310172"/>
    <w:rsid w:val="0031028E"/>
    <w:rsid w:val="00310AC3"/>
    <w:rsid w:val="00314A37"/>
    <w:rsid w:val="00315D02"/>
    <w:rsid w:val="00315F80"/>
    <w:rsid w:val="00316F30"/>
    <w:rsid w:val="003175CA"/>
    <w:rsid w:val="00322603"/>
    <w:rsid w:val="003254D1"/>
    <w:rsid w:val="00325671"/>
    <w:rsid w:val="00326654"/>
    <w:rsid w:val="0032680B"/>
    <w:rsid w:val="00330B81"/>
    <w:rsid w:val="00331839"/>
    <w:rsid w:val="00331B3E"/>
    <w:rsid w:val="00331ECC"/>
    <w:rsid w:val="00334BA3"/>
    <w:rsid w:val="00334CF8"/>
    <w:rsid w:val="00336153"/>
    <w:rsid w:val="003406B2"/>
    <w:rsid w:val="00343C35"/>
    <w:rsid w:val="00343ECC"/>
    <w:rsid w:val="00345140"/>
    <w:rsid w:val="0035007D"/>
    <w:rsid w:val="00350139"/>
    <w:rsid w:val="003504B9"/>
    <w:rsid w:val="00353212"/>
    <w:rsid w:val="0035366D"/>
    <w:rsid w:val="0035438D"/>
    <w:rsid w:val="00354B44"/>
    <w:rsid w:val="00355B15"/>
    <w:rsid w:val="00357CF7"/>
    <w:rsid w:val="003607A5"/>
    <w:rsid w:val="003614BB"/>
    <w:rsid w:val="00362681"/>
    <w:rsid w:val="00365E93"/>
    <w:rsid w:val="003725F0"/>
    <w:rsid w:val="003726F2"/>
    <w:rsid w:val="00374617"/>
    <w:rsid w:val="00374D6D"/>
    <w:rsid w:val="00375C2F"/>
    <w:rsid w:val="00377E82"/>
    <w:rsid w:val="003811C4"/>
    <w:rsid w:val="00381C63"/>
    <w:rsid w:val="003844C1"/>
    <w:rsid w:val="00385F5C"/>
    <w:rsid w:val="0038626B"/>
    <w:rsid w:val="0038671F"/>
    <w:rsid w:val="00387214"/>
    <w:rsid w:val="00390865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C5514"/>
    <w:rsid w:val="003D144A"/>
    <w:rsid w:val="003D2B4C"/>
    <w:rsid w:val="003D6593"/>
    <w:rsid w:val="003E1082"/>
    <w:rsid w:val="003E1434"/>
    <w:rsid w:val="003E5B3C"/>
    <w:rsid w:val="003E5D1C"/>
    <w:rsid w:val="003F0099"/>
    <w:rsid w:val="003F0787"/>
    <w:rsid w:val="003F0EDB"/>
    <w:rsid w:val="003F12FF"/>
    <w:rsid w:val="003F3078"/>
    <w:rsid w:val="003F36F7"/>
    <w:rsid w:val="003F520A"/>
    <w:rsid w:val="003F5D47"/>
    <w:rsid w:val="003F6E61"/>
    <w:rsid w:val="003F73D5"/>
    <w:rsid w:val="003F7551"/>
    <w:rsid w:val="00405DAC"/>
    <w:rsid w:val="00406475"/>
    <w:rsid w:val="00411E45"/>
    <w:rsid w:val="00411FF2"/>
    <w:rsid w:val="004125AD"/>
    <w:rsid w:val="00414945"/>
    <w:rsid w:val="00414ADC"/>
    <w:rsid w:val="00416F0A"/>
    <w:rsid w:val="00416FEE"/>
    <w:rsid w:val="0041701F"/>
    <w:rsid w:val="0042028A"/>
    <w:rsid w:val="004226EC"/>
    <w:rsid w:val="00422C77"/>
    <w:rsid w:val="004245E7"/>
    <w:rsid w:val="00425BF6"/>
    <w:rsid w:val="00440848"/>
    <w:rsid w:val="00445A67"/>
    <w:rsid w:val="00445C26"/>
    <w:rsid w:val="00447191"/>
    <w:rsid w:val="00447304"/>
    <w:rsid w:val="0044782D"/>
    <w:rsid w:val="00452366"/>
    <w:rsid w:val="00453819"/>
    <w:rsid w:val="00453FB2"/>
    <w:rsid w:val="00454B87"/>
    <w:rsid w:val="004553B2"/>
    <w:rsid w:val="00457EE8"/>
    <w:rsid w:val="00462684"/>
    <w:rsid w:val="00462DA0"/>
    <w:rsid w:val="00466D15"/>
    <w:rsid w:val="00467BEF"/>
    <w:rsid w:val="00467F23"/>
    <w:rsid w:val="0047047A"/>
    <w:rsid w:val="0047119E"/>
    <w:rsid w:val="0047123D"/>
    <w:rsid w:val="00472572"/>
    <w:rsid w:val="004726D4"/>
    <w:rsid w:val="0048299B"/>
    <w:rsid w:val="00483696"/>
    <w:rsid w:val="00483CA2"/>
    <w:rsid w:val="0049116B"/>
    <w:rsid w:val="0049194E"/>
    <w:rsid w:val="00493A27"/>
    <w:rsid w:val="00495684"/>
    <w:rsid w:val="00495D86"/>
    <w:rsid w:val="004A43E1"/>
    <w:rsid w:val="004A4B95"/>
    <w:rsid w:val="004A6042"/>
    <w:rsid w:val="004B234D"/>
    <w:rsid w:val="004B2FC8"/>
    <w:rsid w:val="004B3B96"/>
    <w:rsid w:val="004B5D15"/>
    <w:rsid w:val="004B7701"/>
    <w:rsid w:val="004C6512"/>
    <w:rsid w:val="004C6A2D"/>
    <w:rsid w:val="004C7245"/>
    <w:rsid w:val="004D0C5F"/>
    <w:rsid w:val="004D1AA1"/>
    <w:rsid w:val="004D3702"/>
    <w:rsid w:val="004D509B"/>
    <w:rsid w:val="004E07C6"/>
    <w:rsid w:val="004E0857"/>
    <w:rsid w:val="004E1F08"/>
    <w:rsid w:val="004E2BA5"/>
    <w:rsid w:val="004F4E96"/>
    <w:rsid w:val="004F5216"/>
    <w:rsid w:val="00500683"/>
    <w:rsid w:val="00501518"/>
    <w:rsid w:val="00502659"/>
    <w:rsid w:val="005042E1"/>
    <w:rsid w:val="005049EE"/>
    <w:rsid w:val="00507E14"/>
    <w:rsid w:val="0051217F"/>
    <w:rsid w:val="00513DEC"/>
    <w:rsid w:val="00514B78"/>
    <w:rsid w:val="005171DC"/>
    <w:rsid w:val="00517558"/>
    <w:rsid w:val="005232D1"/>
    <w:rsid w:val="0052535A"/>
    <w:rsid w:val="00527898"/>
    <w:rsid w:val="0053489A"/>
    <w:rsid w:val="00535306"/>
    <w:rsid w:val="005361CB"/>
    <w:rsid w:val="00536F2E"/>
    <w:rsid w:val="005401A7"/>
    <w:rsid w:val="00543540"/>
    <w:rsid w:val="00544766"/>
    <w:rsid w:val="00544E8F"/>
    <w:rsid w:val="005452ED"/>
    <w:rsid w:val="005453AA"/>
    <w:rsid w:val="00545A3A"/>
    <w:rsid w:val="005460FF"/>
    <w:rsid w:val="005506AA"/>
    <w:rsid w:val="00552317"/>
    <w:rsid w:val="00552BA4"/>
    <w:rsid w:val="00555C78"/>
    <w:rsid w:val="00555D00"/>
    <w:rsid w:val="00560D21"/>
    <w:rsid w:val="0056297F"/>
    <w:rsid w:val="00565E01"/>
    <w:rsid w:val="0056661B"/>
    <w:rsid w:val="00566C3E"/>
    <w:rsid w:val="0057077B"/>
    <w:rsid w:val="00571B76"/>
    <w:rsid w:val="00571D37"/>
    <w:rsid w:val="00573D39"/>
    <w:rsid w:val="0057462D"/>
    <w:rsid w:val="00574F7B"/>
    <w:rsid w:val="005762B0"/>
    <w:rsid w:val="005772F3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09D"/>
    <w:rsid w:val="005A1757"/>
    <w:rsid w:val="005A1F0F"/>
    <w:rsid w:val="005A5125"/>
    <w:rsid w:val="005A5700"/>
    <w:rsid w:val="005A7FED"/>
    <w:rsid w:val="005B40E7"/>
    <w:rsid w:val="005B4E44"/>
    <w:rsid w:val="005B52BA"/>
    <w:rsid w:val="005B53CC"/>
    <w:rsid w:val="005B5AF1"/>
    <w:rsid w:val="005B5E05"/>
    <w:rsid w:val="005B69D1"/>
    <w:rsid w:val="005C35FA"/>
    <w:rsid w:val="005C6153"/>
    <w:rsid w:val="005D0854"/>
    <w:rsid w:val="005D139A"/>
    <w:rsid w:val="005D1F4C"/>
    <w:rsid w:val="005D2309"/>
    <w:rsid w:val="005D3699"/>
    <w:rsid w:val="005D4183"/>
    <w:rsid w:val="005D43C3"/>
    <w:rsid w:val="005D47CE"/>
    <w:rsid w:val="005D5CBC"/>
    <w:rsid w:val="005D7294"/>
    <w:rsid w:val="005D7C46"/>
    <w:rsid w:val="005D7DE5"/>
    <w:rsid w:val="005E23AE"/>
    <w:rsid w:val="005E28CD"/>
    <w:rsid w:val="005E3DDE"/>
    <w:rsid w:val="005E5F5A"/>
    <w:rsid w:val="005F3D36"/>
    <w:rsid w:val="005F4449"/>
    <w:rsid w:val="005F646E"/>
    <w:rsid w:val="00601E93"/>
    <w:rsid w:val="00604516"/>
    <w:rsid w:val="00611499"/>
    <w:rsid w:val="00611FF6"/>
    <w:rsid w:val="0061291A"/>
    <w:rsid w:val="00612AEC"/>
    <w:rsid w:val="00613FD6"/>
    <w:rsid w:val="006151EF"/>
    <w:rsid w:val="00616357"/>
    <w:rsid w:val="0061757C"/>
    <w:rsid w:val="00617CED"/>
    <w:rsid w:val="00620843"/>
    <w:rsid w:val="0062296C"/>
    <w:rsid w:val="00623476"/>
    <w:rsid w:val="00624CC3"/>
    <w:rsid w:val="00626F8C"/>
    <w:rsid w:val="00627A37"/>
    <w:rsid w:val="00627F7F"/>
    <w:rsid w:val="00630ACF"/>
    <w:rsid w:val="00630E5D"/>
    <w:rsid w:val="006310F3"/>
    <w:rsid w:val="0063452E"/>
    <w:rsid w:val="006414D5"/>
    <w:rsid w:val="00641977"/>
    <w:rsid w:val="00642888"/>
    <w:rsid w:val="0064366C"/>
    <w:rsid w:val="00643C0E"/>
    <w:rsid w:val="00643D3E"/>
    <w:rsid w:val="00643E53"/>
    <w:rsid w:val="006468FC"/>
    <w:rsid w:val="0064731F"/>
    <w:rsid w:val="00651B4A"/>
    <w:rsid w:val="0065256E"/>
    <w:rsid w:val="00654239"/>
    <w:rsid w:val="006551CD"/>
    <w:rsid w:val="00655475"/>
    <w:rsid w:val="00655A5D"/>
    <w:rsid w:val="006607D0"/>
    <w:rsid w:val="00662CA5"/>
    <w:rsid w:val="006665B6"/>
    <w:rsid w:val="006709D1"/>
    <w:rsid w:val="00670F45"/>
    <w:rsid w:val="00676FAF"/>
    <w:rsid w:val="00677067"/>
    <w:rsid w:val="00683F63"/>
    <w:rsid w:val="00684209"/>
    <w:rsid w:val="00684363"/>
    <w:rsid w:val="0068542A"/>
    <w:rsid w:val="006856ED"/>
    <w:rsid w:val="00686ACA"/>
    <w:rsid w:val="00690DEE"/>
    <w:rsid w:val="0069351C"/>
    <w:rsid w:val="00694C90"/>
    <w:rsid w:val="006973E9"/>
    <w:rsid w:val="00697E9F"/>
    <w:rsid w:val="006A015F"/>
    <w:rsid w:val="006A576F"/>
    <w:rsid w:val="006A58AC"/>
    <w:rsid w:val="006B0601"/>
    <w:rsid w:val="006B1155"/>
    <w:rsid w:val="006B244E"/>
    <w:rsid w:val="006B2809"/>
    <w:rsid w:val="006B4218"/>
    <w:rsid w:val="006B5299"/>
    <w:rsid w:val="006C098E"/>
    <w:rsid w:val="006C14FB"/>
    <w:rsid w:val="006C17FF"/>
    <w:rsid w:val="006C2A4C"/>
    <w:rsid w:val="006C33E0"/>
    <w:rsid w:val="006C37A3"/>
    <w:rsid w:val="006C4535"/>
    <w:rsid w:val="006C4DF2"/>
    <w:rsid w:val="006C4FF6"/>
    <w:rsid w:val="006C5CE1"/>
    <w:rsid w:val="006D07FE"/>
    <w:rsid w:val="006D0A5F"/>
    <w:rsid w:val="006D1A69"/>
    <w:rsid w:val="006D1BD0"/>
    <w:rsid w:val="006D2CA1"/>
    <w:rsid w:val="006D3077"/>
    <w:rsid w:val="006D4EF3"/>
    <w:rsid w:val="006E2A8B"/>
    <w:rsid w:val="006E31A1"/>
    <w:rsid w:val="006E4072"/>
    <w:rsid w:val="006E429F"/>
    <w:rsid w:val="006F09B1"/>
    <w:rsid w:val="006F14FC"/>
    <w:rsid w:val="006F5946"/>
    <w:rsid w:val="006F6082"/>
    <w:rsid w:val="006F6F55"/>
    <w:rsid w:val="006F7E04"/>
    <w:rsid w:val="00700493"/>
    <w:rsid w:val="00704845"/>
    <w:rsid w:val="007052E2"/>
    <w:rsid w:val="00705428"/>
    <w:rsid w:val="0070658C"/>
    <w:rsid w:val="00707D5F"/>
    <w:rsid w:val="00707EC0"/>
    <w:rsid w:val="007109E2"/>
    <w:rsid w:val="007117CA"/>
    <w:rsid w:val="00711921"/>
    <w:rsid w:val="00712000"/>
    <w:rsid w:val="0071381B"/>
    <w:rsid w:val="007159D7"/>
    <w:rsid w:val="00715BDF"/>
    <w:rsid w:val="007163FD"/>
    <w:rsid w:val="00716799"/>
    <w:rsid w:val="007169B0"/>
    <w:rsid w:val="00726808"/>
    <w:rsid w:val="007317F4"/>
    <w:rsid w:val="00731DC0"/>
    <w:rsid w:val="00734AE5"/>
    <w:rsid w:val="00740EB8"/>
    <w:rsid w:val="00741B16"/>
    <w:rsid w:val="00743C96"/>
    <w:rsid w:val="00750EC8"/>
    <w:rsid w:val="007534BE"/>
    <w:rsid w:val="00754931"/>
    <w:rsid w:val="007567AB"/>
    <w:rsid w:val="00761185"/>
    <w:rsid w:val="00766767"/>
    <w:rsid w:val="007676F1"/>
    <w:rsid w:val="0077072D"/>
    <w:rsid w:val="00770C7C"/>
    <w:rsid w:val="00773ABF"/>
    <w:rsid w:val="007747BE"/>
    <w:rsid w:val="007773CB"/>
    <w:rsid w:val="007801D3"/>
    <w:rsid w:val="00782F49"/>
    <w:rsid w:val="0078408F"/>
    <w:rsid w:val="0078454A"/>
    <w:rsid w:val="00784F87"/>
    <w:rsid w:val="00787ECE"/>
    <w:rsid w:val="00790FC8"/>
    <w:rsid w:val="00792438"/>
    <w:rsid w:val="0079618F"/>
    <w:rsid w:val="007965E9"/>
    <w:rsid w:val="007A02EF"/>
    <w:rsid w:val="007A0670"/>
    <w:rsid w:val="007A079B"/>
    <w:rsid w:val="007A3D1B"/>
    <w:rsid w:val="007A3E4A"/>
    <w:rsid w:val="007A478A"/>
    <w:rsid w:val="007A49A7"/>
    <w:rsid w:val="007A6FB0"/>
    <w:rsid w:val="007A7EB6"/>
    <w:rsid w:val="007B15A7"/>
    <w:rsid w:val="007B3948"/>
    <w:rsid w:val="007B4A23"/>
    <w:rsid w:val="007B4BED"/>
    <w:rsid w:val="007C0DA8"/>
    <w:rsid w:val="007C1841"/>
    <w:rsid w:val="007C5CA1"/>
    <w:rsid w:val="007D008E"/>
    <w:rsid w:val="007D0BDC"/>
    <w:rsid w:val="007D105C"/>
    <w:rsid w:val="007D130A"/>
    <w:rsid w:val="007D1832"/>
    <w:rsid w:val="007D20E7"/>
    <w:rsid w:val="007D2C91"/>
    <w:rsid w:val="007D5451"/>
    <w:rsid w:val="007D5E13"/>
    <w:rsid w:val="007D78FA"/>
    <w:rsid w:val="007D7B3D"/>
    <w:rsid w:val="007E0533"/>
    <w:rsid w:val="007E0B1B"/>
    <w:rsid w:val="007E4B00"/>
    <w:rsid w:val="007E56A1"/>
    <w:rsid w:val="007E56BC"/>
    <w:rsid w:val="007E6293"/>
    <w:rsid w:val="007E7367"/>
    <w:rsid w:val="007F0F19"/>
    <w:rsid w:val="007F43F9"/>
    <w:rsid w:val="007F4792"/>
    <w:rsid w:val="00806B93"/>
    <w:rsid w:val="00807C7B"/>
    <w:rsid w:val="00810202"/>
    <w:rsid w:val="008103CF"/>
    <w:rsid w:val="00810E1C"/>
    <w:rsid w:val="008131FD"/>
    <w:rsid w:val="008160A2"/>
    <w:rsid w:val="0082169D"/>
    <w:rsid w:val="0082297E"/>
    <w:rsid w:val="0082356A"/>
    <w:rsid w:val="00825001"/>
    <w:rsid w:val="00830912"/>
    <w:rsid w:val="00832526"/>
    <w:rsid w:val="0083261D"/>
    <w:rsid w:val="008330A0"/>
    <w:rsid w:val="00833813"/>
    <w:rsid w:val="00833DFC"/>
    <w:rsid w:val="008355E9"/>
    <w:rsid w:val="00836E3C"/>
    <w:rsid w:val="00840246"/>
    <w:rsid w:val="0084087E"/>
    <w:rsid w:val="00842670"/>
    <w:rsid w:val="00842C92"/>
    <w:rsid w:val="00842EF0"/>
    <w:rsid w:val="008431EA"/>
    <w:rsid w:val="008437D7"/>
    <w:rsid w:val="00843B94"/>
    <w:rsid w:val="00844837"/>
    <w:rsid w:val="0084567E"/>
    <w:rsid w:val="0084756B"/>
    <w:rsid w:val="0085098E"/>
    <w:rsid w:val="00851D45"/>
    <w:rsid w:val="008527AF"/>
    <w:rsid w:val="00852EBA"/>
    <w:rsid w:val="00852FF8"/>
    <w:rsid w:val="008552FA"/>
    <w:rsid w:val="00855C2B"/>
    <w:rsid w:val="00856A05"/>
    <w:rsid w:val="00856F76"/>
    <w:rsid w:val="00860B1F"/>
    <w:rsid w:val="00861949"/>
    <w:rsid w:val="00862634"/>
    <w:rsid w:val="0086299B"/>
    <w:rsid w:val="0086308A"/>
    <w:rsid w:val="00866048"/>
    <w:rsid w:val="00866C50"/>
    <w:rsid w:val="00866E05"/>
    <w:rsid w:val="008674DF"/>
    <w:rsid w:val="00870C10"/>
    <w:rsid w:val="00870C8C"/>
    <w:rsid w:val="00871D34"/>
    <w:rsid w:val="00873EF8"/>
    <w:rsid w:val="00874D50"/>
    <w:rsid w:val="00882655"/>
    <w:rsid w:val="00884C62"/>
    <w:rsid w:val="00885C4C"/>
    <w:rsid w:val="00892303"/>
    <w:rsid w:val="00892C76"/>
    <w:rsid w:val="0089325D"/>
    <w:rsid w:val="0089604E"/>
    <w:rsid w:val="008A074E"/>
    <w:rsid w:val="008A0B6A"/>
    <w:rsid w:val="008A1940"/>
    <w:rsid w:val="008A1CEF"/>
    <w:rsid w:val="008A2726"/>
    <w:rsid w:val="008A4423"/>
    <w:rsid w:val="008A57C8"/>
    <w:rsid w:val="008B0105"/>
    <w:rsid w:val="008B0D42"/>
    <w:rsid w:val="008B26BB"/>
    <w:rsid w:val="008B72B0"/>
    <w:rsid w:val="008C116A"/>
    <w:rsid w:val="008C292C"/>
    <w:rsid w:val="008D128A"/>
    <w:rsid w:val="008D1E3E"/>
    <w:rsid w:val="008D1FD4"/>
    <w:rsid w:val="008D43C1"/>
    <w:rsid w:val="008D4891"/>
    <w:rsid w:val="008D721B"/>
    <w:rsid w:val="008E1A8F"/>
    <w:rsid w:val="008E3639"/>
    <w:rsid w:val="008E3A0E"/>
    <w:rsid w:val="008E5F0A"/>
    <w:rsid w:val="008F0125"/>
    <w:rsid w:val="008F222D"/>
    <w:rsid w:val="008F5FC3"/>
    <w:rsid w:val="008F776F"/>
    <w:rsid w:val="009000E0"/>
    <w:rsid w:val="0090051C"/>
    <w:rsid w:val="00900B41"/>
    <w:rsid w:val="0090135E"/>
    <w:rsid w:val="0090148F"/>
    <w:rsid w:val="00902870"/>
    <w:rsid w:val="009034C1"/>
    <w:rsid w:val="00905883"/>
    <w:rsid w:val="00907003"/>
    <w:rsid w:val="009075E2"/>
    <w:rsid w:val="00907AF2"/>
    <w:rsid w:val="00911090"/>
    <w:rsid w:val="00912AF8"/>
    <w:rsid w:val="00915A71"/>
    <w:rsid w:val="009160F6"/>
    <w:rsid w:val="00917EA6"/>
    <w:rsid w:val="00922153"/>
    <w:rsid w:val="00922CE5"/>
    <w:rsid w:val="00925167"/>
    <w:rsid w:val="00925961"/>
    <w:rsid w:val="009304F3"/>
    <w:rsid w:val="00931202"/>
    <w:rsid w:val="00933CA5"/>
    <w:rsid w:val="00934901"/>
    <w:rsid w:val="0093642E"/>
    <w:rsid w:val="00936ACA"/>
    <w:rsid w:val="00936D5A"/>
    <w:rsid w:val="00936E31"/>
    <w:rsid w:val="00940FCE"/>
    <w:rsid w:val="0094211F"/>
    <w:rsid w:val="00943A2F"/>
    <w:rsid w:val="00944ADD"/>
    <w:rsid w:val="00950A5F"/>
    <w:rsid w:val="00951704"/>
    <w:rsid w:val="00951FC9"/>
    <w:rsid w:val="0095406B"/>
    <w:rsid w:val="0095454E"/>
    <w:rsid w:val="009548EC"/>
    <w:rsid w:val="00954C71"/>
    <w:rsid w:val="00954F5A"/>
    <w:rsid w:val="00957E66"/>
    <w:rsid w:val="00962ECB"/>
    <w:rsid w:val="00964263"/>
    <w:rsid w:val="00965FDB"/>
    <w:rsid w:val="009733A9"/>
    <w:rsid w:val="009744F8"/>
    <w:rsid w:val="00976663"/>
    <w:rsid w:val="00976B3D"/>
    <w:rsid w:val="00976C97"/>
    <w:rsid w:val="009772DB"/>
    <w:rsid w:val="00981C01"/>
    <w:rsid w:val="00984975"/>
    <w:rsid w:val="00986867"/>
    <w:rsid w:val="00990C65"/>
    <w:rsid w:val="00993477"/>
    <w:rsid w:val="0099460D"/>
    <w:rsid w:val="0099779E"/>
    <w:rsid w:val="00997B8B"/>
    <w:rsid w:val="00997FB9"/>
    <w:rsid w:val="009A0838"/>
    <w:rsid w:val="009A14D0"/>
    <w:rsid w:val="009A1922"/>
    <w:rsid w:val="009A2912"/>
    <w:rsid w:val="009A40F2"/>
    <w:rsid w:val="009A6AD0"/>
    <w:rsid w:val="009B188D"/>
    <w:rsid w:val="009B19B1"/>
    <w:rsid w:val="009B25BC"/>
    <w:rsid w:val="009B5B8E"/>
    <w:rsid w:val="009C4B0B"/>
    <w:rsid w:val="009C670F"/>
    <w:rsid w:val="009D02F6"/>
    <w:rsid w:val="009D3DC5"/>
    <w:rsid w:val="009E07DF"/>
    <w:rsid w:val="009E25AE"/>
    <w:rsid w:val="009E6038"/>
    <w:rsid w:val="009F0079"/>
    <w:rsid w:val="009F156C"/>
    <w:rsid w:val="009F3C04"/>
    <w:rsid w:val="009F53CD"/>
    <w:rsid w:val="009F6B42"/>
    <w:rsid w:val="00A0020B"/>
    <w:rsid w:val="00A00613"/>
    <w:rsid w:val="00A01C87"/>
    <w:rsid w:val="00A020DA"/>
    <w:rsid w:val="00A0240E"/>
    <w:rsid w:val="00A03649"/>
    <w:rsid w:val="00A044A5"/>
    <w:rsid w:val="00A04CE7"/>
    <w:rsid w:val="00A04EE4"/>
    <w:rsid w:val="00A06624"/>
    <w:rsid w:val="00A10BB9"/>
    <w:rsid w:val="00A11934"/>
    <w:rsid w:val="00A11E02"/>
    <w:rsid w:val="00A1223E"/>
    <w:rsid w:val="00A12819"/>
    <w:rsid w:val="00A1415C"/>
    <w:rsid w:val="00A14A61"/>
    <w:rsid w:val="00A1530E"/>
    <w:rsid w:val="00A161E5"/>
    <w:rsid w:val="00A2267B"/>
    <w:rsid w:val="00A22A70"/>
    <w:rsid w:val="00A31489"/>
    <w:rsid w:val="00A31E13"/>
    <w:rsid w:val="00A325E2"/>
    <w:rsid w:val="00A32969"/>
    <w:rsid w:val="00A32AD0"/>
    <w:rsid w:val="00A34850"/>
    <w:rsid w:val="00A35941"/>
    <w:rsid w:val="00A3667F"/>
    <w:rsid w:val="00A36A5C"/>
    <w:rsid w:val="00A36B3C"/>
    <w:rsid w:val="00A4020C"/>
    <w:rsid w:val="00A40F5A"/>
    <w:rsid w:val="00A44D22"/>
    <w:rsid w:val="00A47AA8"/>
    <w:rsid w:val="00A5122E"/>
    <w:rsid w:val="00A52295"/>
    <w:rsid w:val="00A532FC"/>
    <w:rsid w:val="00A53F63"/>
    <w:rsid w:val="00A559EF"/>
    <w:rsid w:val="00A60F5B"/>
    <w:rsid w:val="00A62C9B"/>
    <w:rsid w:val="00A63082"/>
    <w:rsid w:val="00A6369B"/>
    <w:rsid w:val="00A64920"/>
    <w:rsid w:val="00A6499F"/>
    <w:rsid w:val="00A66BCE"/>
    <w:rsid w:val="00A671AA"/>
    <w:rsid w:val="00A673AD"/>
    <w:rsid w:val="00A711B5"/>
    <w:rsid w:val="00A71820"/>
    <w:rsid w:val="00A71D6E"/>
    <w:rsid w:val="00A72BDE"/>
    <w:rsid w:val="00A73300"/>
    <w:rsid w:val="00A746C8"/>
    <w:rsid w:val="00A8555B"/>
    <w:rsid w:val="00A86254"/>
    <w:rsid w:val="00A91AA0"/>
    <w:rsid w:val="00A91B31"/>
    <w:rsid w:val="00A91DAA"/>
    <w:rsid w:val="00A93EEC"/>
    <w:rsid w:val="00A94734"/>
    <w:rsid w:val="00A953A8"/>
    <w:rsid w:val="00A959ED"/>
    <w:rsid w:val="00A96C5A"/>
    <w:rsid w:val="00AA3FE1"/>
    <w:rsid w:val="00AA51E8"/>
    <w:rsid w:val="00AA537F"/>
    <w:rsid w:val="00AA6CD0"/>
    <w:rsid w:val="00AB0640"/>
    <w:rsid w:val="00AB19BD"/>
    <w:rsid w:val="00AB2AE0"/>
    <w:rsid w:val="00AB47DD"/>
    <w:rsid w:val="00AB47E1"/>
    <w:rsid w:val="00AB4BE9"/>
    <w:rsid w:val="00AC0648"/>
    <w:rsid w:val="00AC1324"/>
    <w:rsid w:val="00AC1717"/>
    <w:rsid w:val="00AC4F73"/>
    <w:rsid w:val="00AC50E1"/>
    <w:rsid w:val="00AC5113"/>
    <w:rsid w:val="00AC7731"/>
    <w:rsid w:val="00AC7BB7"/>
    <w:rsid w:val="00AD01E9"/>
    <w:rsid w:val="00AD0C57"/>
    <w:rsid w:val="00AD2758"/>
    <w:rsid w:val="00AD3966"/>
    <w:rsid w:val="00AE0E7E"/>
    <w:rsid w:val="00AE3542"/>
    <w:rsid w:val="00AE3569"/>
    <w:rsid w:val="00AE5A6D"/>
    <w:rsid w:val="00AE6A7E"/>
    <w:rsid w:val="00AE7A99"/>
    <w:rsid w:val="00AF0E66"/>
    <w:rsid w:val="00AF15ED"/>
    <w:rsid w:val="00AF21B4"/>
    <w:rsid w:val="00AF7F05"/>
    <w:rsid w:val="00B005FE"/>
    <w:rsid w:val="00B02A52"/>
    <w:rsid w:val="00B04857"/>
    <w:rsid w:val="00B054C7"/>
    <w:rsid w:val="00B12374"/>
    <w:rsid w:val="00B1446A"/>
    <w:rsid w:val="00B15B9E"/>
    <w:rsid w:val="00B162EE"/>
    <w:rsid w:val="00B16B0D"/>
    <w:rsid w:val="00B16B86"/>
    <w:rsid w:val="00B179A0"/>
    <w:rsid w:val="00B20517"/>
    <w:rsid w:val="00B21A2A"/>
    <w:rsid w:val="00B22AA8"/>
    <w:rsid w:val="00B24288"/>
    <w:rsid w:val="00B3013A"/>
    <w:rsid w:val="00B30A78"/>
    <w:rsid w:val="00B3138A"/>
    <w:rsid w:val="00B32235"/>
    <w:rsid w:val="00B33493"/>
    <w:rsid w:val="00B34D48"/>
    <w:rsid w:val="00B37986"/>
    <w:rsid w:val="00B428A7"/>
    <w:rsid w:val="00B43A33"/>
    <w:rsid w:val="00B43A41"/>
    <w:rsid w:val="00B462B3"/>
    <w:rsid w:val="00B463A1"/>
    <w:rsid w:val="00B503EA"/>
    <w:rsid w:val="00B51C49"/>
    <w:rsid w:val="00B53052"/>
    <w:rsid w:val="00B53510"/>
    <w:rsid w:val="00B54E57"/>
    <w:rsid w:val="00B5600B"/>
    <w:rsid w:val="00B57AC9"/>
    <w:rsid w:val="00B6038F"/>
    <w:rsid w:val="00B61B9E"/>
    <w:rsid w:val="00B626F2"/>
    <w:rsid w:val="00B6467E"/>
    <w:rsid w:val="00B671FE"/>
    <w:rsid w:val="00B71254"/>
    <w:rsid w:val="00B717A8"/>
    <w:rsid w:val="00B719B0"/>
    <w:rsid w:val="00B7560B"/>
    <w:rsid w:val="00B76184"/>
    <w:rsid w:val="00B81CA5"/>
    <w:rsid w:val="00B83A7F"/>
    <w:rsid w:val="00B85FFD"/>
    <w:rsid w:val="00B8616C"/>
    <w:rsid w:val="00B86C16"/>
    <w:rsid w:val="00B8745B"/>
    <w:rsid w:val="00B87AE4"/>
    <w:rsid w:val="00B92222"/>
    <w:rsid w:val="00B9256A"/>
    <w:rsid w:val="00B94D3A"/>
    <w:rsid w:val="00BA5F09"/>
    <w:rsid w:val="00BA70D1"/>
    <w:rsid w:val="00BB2508"/>
    <w:rsid w:val="00BB3DB1"/>
    <w:rsid w:val="00BB5D3F"/>
    <w:rsid w:val="00BB7E63"/>
    <w:rsid w:val="00BC18FB"/>
    <w:rsid w:val="00BC20D1"/>
    <w:rsid w:val="00BC2309"/>
    <w:rsid w:val="00BC28A9"/>
    <w:rsid w:val="00BC40FE"/>
    <w:rsid w:val="00BC4918"/>
    <w:rsid w:val="00BC7242"/>
    <w:rsid w:val="00BD034B"/>
    <w:rsid w:val="00BD0B07"/>
    <w:rsid w:val="00BD52F6"/>
    <w:rsid w:val="00BD581D"/>
    <w:rsid w:val="00BD6186"/>
    <w:rsid w:val="00BE2CE2"/>
    <w:rsid w:val="00BE35F1"/>
    <w:rsid w:val="00BE3EE9"/>
    <w:rsid w:val="00BE45AF"/>
    <w:rsid w:val="00BE4C61"/>
    <w:rsid w:val="00BF04E0"/>
    <w:rsid w:val="00BF289E"/>
    <w:rsid w:val="00BF32FD"/>
    <w:rsid w:val="00BF3785"/>
    <w:rsid w:val="00BF54AD"/>
    <w:rsid w:val="00BF5587"/>
    <w:rsid w:val="00BF5729"/>
    <w:rsid w:val="00BF6E55"/>
    <w:rsid w:val="00C00522"/>
    <w:rsid w:val="00C04748"/>
    <w:rsid w:val="00C04E24"/>
    <w:rsid w:val="00C078B0"/>
    <w:rsid w:val="00C102B5"/>
    <w:rsid w:val="00C1055C"/>
    <w:rsid w:val="00C11221"/>
    <w:rsid w:val="00C13D2E"/>
    <w:rsid w:val="00C1460D"/>
    <w:rsid w:val="00C174AC"/>
    <w:rsid w:val="00C20029"/>
    <w:rsid w:val="00C237B2"/>
    <w:rsid w:val="00C23A91"/>
    <w:rsid w:val="00C274B1"/>
    <w:rsid w:val="00C303C0"/>
    <w:rsid w:val="00C32893"/>
    <w:rsid w:val="00C35930"/>
    <w:rsid w:val="00C35B52"/>
    <w:rsid w:val="00C3716C"/>
    <w:rsid w:val="00C37BF4"/>
    <w:rsid w:val="00C425C8"/>
    <w:rsid w:val="00C4291D"/>
    <w:rsid w:val="00C44CA6"/>
    <w:rsid w:val="00C4771A"/>
    <w:rsid w:val="00C504BD"/>
    <w:rsid w:val="00C52768"/>
    <w:rsid w:val="00C5599B"/>
    <w:rsid w:val="00C55CDD"/>
    <w:rsid w:val="00C56697"/>
    <w:rsid w:val="00C56D0A"/>
    <w:rsid w:val="00C60880"/>
    <w:rsid w:val="00C6365B"/>
    <w:rsid w:val="00C6649A"/>
    <w:rsid w:val="00C665D8"/>
    <w:rsid w:val="00C666B6"/>
    <w:rsid w:val="00C67E52"/>
    <w:rsid w:val="00C70A4B"/>
    <w:rsid w:val="00C70B0C"/>
    <w:rsid w:val="00C7542C"/>
    <w:rsid w:val="00C75B2A"/>
    <w:rsid w:val="00C76BA2"/>
    <w:rsid w:val="00C80345"/>
    <w:rsid w:val="00C8053D"/>
    <w:rsid w:val="00C8232E"/>
    <w:rsid w:val="00C84C16"/>
    <w:rsid w:val="00C85F85"/>
    <w:rsid w:val="00C86008"/>
    <w:rsid w:val="00C903EC"/>
    <w:rsid w:val="00C91943"/>
    <w:rsid w:val="00C93390"/>
    <w:rsid w:val="00C9499D"/>
    <w:rsid w:val="00C94EAB"/>
    <w:rsid w:val="00C959DB"/>
    <w:rsid w:val="00C95F2B"/>
    <w:rsid w:val="00CA2501"/>
    <w:rsid w:val="00CA2D29"/>
    <w:rsid w:val="00CA3FF4"/>
    <w:rsid w:val="00CA6DC0"/>
    <w:rsid w:val="00CB09B6"/>
    <w:rsid w:val="00CB1CA0"/>
    <w:rsid w:val="00CB3F80"/>
    <w:rsid w:val="00CB53CE"/>
    <w:rsid w:val="00CB6F79"/>
    <w:rsid w:val="00CB7151"/>
    <w:rsid w:val="00CC0E21"/>
    <w:rsid w:val="00CC2468"/>
    <w:rsid w:val="00CC483F"/>
    <w:rsid w:val="00CC51B6"/>
    <w:rsid w:val="00CD23CB"/>
    <w:rsid w:val="00CD38D5"/>
    <w:rsid w:val="00CD3D2E"/>
    <w:rsid w:val="00CD4C1E"/>
    <w:rsid w:val="00CD4E48"/>
    <w:rsid w:val="00CD5BCB"/>
    <w:rsid w:val="00CD6928"/>
    <w:rsid w:val="00CD7581"/>
    <w:rsid w:val="00CE06FB"/>
    <w:rsid w:val="00CE143A"/>
    <w:rsid w:val="00CE2139"/>
    <w:rsid w:val="00CE4A9C"/>
    <w:rsid w:val="00CE4D56"/>
    <w:rsid w:val="00CE50D5"/>
    <w:rsid w:val="00CE7BED"/>
    <w:rsid w:val="00CF259A"/>
    <w:rsid w:val="00CF2E7B"/>
    <w:rsid w:val="00CF32FF"/>
    <w:rsid w:val="00CF3FFC"/>
    <w:rsid w:val="00CF730F"/>
    <w:rsid w:val="00CF7DF7"/>
    <w:rsid w:val="00D00EC0"/>
    <w:rsid w:val="00D02FA9"/>
    <w:rsid w:val="00D03540"/>
    <w:rsid w:val="00D0388E"/>
    <w:rsid w:val="00D039AB"/>
    <w:rsid w:val="00D05E13"/>
    <w:rsid w:val="00D06AA8"/>
    <w:rsid w:val="00D07615"/>
    <w:rsid w:val="00D10385"/>
    <w:rsid w:val="00D10D21"/>
    <w:rsid w:val="00D1170C"/>
    <w:rsid w:val="00D13135"/>
    <w:rsid w:val="00D15EB3"/>
    <w:rsid w:val="00D2128F"/>
    <w:rsid w:val="00D2225F"/>
    <w:rsid w:val="00D22963"/>
    <w:rsid w:val="00D236BF"/>
    <w:rsid w:val="00D24703"/>
    <w:rsid w:val="00D31447"/>
    <w:rsid w:val="00D32935"/>
    <w:rsid w:val="00D36864"/>
    <w:rsid w:val="00D37390"/>
    <w:rsid w:val="00D42665"/>
    <w:rsid w:val="00D43012"/>
    <w:rsid w:val="00D43371"/>
    <w:rsid w:val="00D43D00"/>
    <w:rsid w:val="00D43D53"/>
    <w:rsid w:val="00D45D18"/>
    <w:rsid w:val="00D464F3"/>
    <w:rsid w:val="00D52027"/>
    <w:rsid w:val="00D527E9"/>
    <w:rsid w:val="00D52854"/>
    <w:rsid w:val="00D52D7E"/>
    <w:rsid w:val="00D57635"/>
    <w:rsid w:val="00D5795F"/>
    <w:rsid w:val="00D6356A"/>
    <w:rsid w:val="00D66084"/>
    <w:rsid w:val="00D702FF"/>
    <w:rsid w:val="00D70381"/>
    <w:rsid w:val="00D70876"/>
    <w:rsid w:val="00D734D1"/>
    <w:rsid w:val="00D811FB"/>
    <w:rsid w:val="00D825FB"/>
    <w:rsid w:val="00D83FF2"/>
    <w:rsid w:val="00D861D4"/>
    <w:rsid w:val="00D8622E"/>
    <w:rsid w:val="00D8789E"/>
    <w:rsid w:val="00D91246"/>
    <w:rsid w:val="00D91CF6"/>
    <w:rsid w:val="00D94C33"/>
    <w:rsid w:val="00D96B45"/>
    <w:rsid w:val="00D97ACE"/>
    <w:rsid w:val="00DA0838"/>
    <w:rsid w:val="00DA2BB2"/>
    <w:rsid w:val="00DA5D14"/>
    <w:rsid w:val="00DA6628"/>
    <w:rsid w:val="00DB164A"/>
    <w:rsid w:val="00DB1C94"/>
    <w:rsid w:val="00DB30DC"/>
    <w:rsid w:val="00DB6B89"/>
    <w:rsid w:val="00DC199E"/>
    <w:rsid w:val="00DC484A"/>
    <w:rsid w:val="00DC5729"/>
    <w:rsid w:val="00DC5F53"/>
    <w:rsid w:val="00DD1ED6"/>
    <w:rsid w:val="00DD2554"/>
    <w:rsid w:val="00DD2F2B"/>
    <w:rsid w:val="00DE0BEB"/>
    <w:rsid w:val="00DE0D6D"/>
    <w:rsid w:val="00DE0EE9"/>
    <w:rsid w:val="00DE2212"/>
    <w:rsid w:val="00DE3B66"/>
    <w:rsid w:val="00DE49FE"/>
    <w:rsid w:val="00DE54FA"/>
    <w:rsid w:val="00DE7888"/>
    <w:rsid w:val="00DE7ED6"/>
    <w:rsid w:val="00DF0299"/>
    <w:rsid w:val="00DF08A0"/>
    <w:rsid w:val="00DF1FFB"/>
    <w:rsid w:val="00DF677F"/>
    <w:rsid w:val="00E027DA"/>
    <w:rsid w:val="00E02EC7"/>
    <w:rsid w:val="00E0405B"/>
    <w:rsid w:val="00E04D01"/>
    <w:rsid w:val="00E146BE"/>
    <w:rsid w:val="00E149E6"/>
    <w:rsid w:val="00E16142"/>
    <w:rsid w:val="00E223A1"/>
    <w:rsid w:val="00E2558F"/>
    <w:rsid w:val="00E30A76"/>
    <w:rsid w:val="00E30AE6"/>
    <w:rsid w:val="00E318F1"/>
    <w:rsid w:val="00E346A2"/>
    <w:rsid w:val="00E36F15"/>
    <w:rsid w:val="00E37DB3"/>
    <w:rsid w:val="00E433DF"/>
    <w:rsid w:val="00E4466A"/>
    <w:rsid w:val="00E45B73"/>
    <w:rsid w:val="00E51788"/>
    <w:rsid w:val="00E51C04"/>
    <w:rsid w:val="00E52619"/>
    <w:rsid w:val="00E53C9E"/>
    <w:rsid w:val="00E53CC2"/>
    <w:rsid w:val="00E545EF"/>
    <w:rsid w:val="00E56BC3"/>
    <w:rsid w:val="00E606E6"/>
    <w:rsid w:val="00E60E05"/>
    <w:rsid w:val="00E61EB6"/>
    <w:rsid w:val="00E6636B"/>
    <w:rsid w:val="00E67531"/>
    <w:rsid w:val="00E70667"/>
    <w:rsid w:val="00E72285"/>
    <w:rsid w:val="00E7760D"/>
    <w:rsid w:val="00E77E36"/>
    <w:rsid w:val="00E80038"/>
    <w:rsid w:val="00E8018B"/>
    <w:rsid w:val="00E8274A"/>
    <w:rsid w:val="00E8470F"/>
    <w:rsid w:val="00E86210"/>
    <w:rsid w:val="00E862FE"/>
    <w:rsid w:val="00E94AF7"/>
    <w:rsid w:val="00E9622C"/>
    <w:rsid w:val="00E97563"/>
    <w:rsid w:val="00EA000A"/>
    <w:rsid w:val="00EA11E0"/>
    <w:rsid w:val="00EA1D95"/>
    <w:rsid w:val="00EA21E8"/>
    <w:rsid w:val="00EA2ED3"/>
    <w:rsid w:val="00EA334F"/>
    <w:rsid w:val="00EA42C5"/>
    <w:rsid w:val="00EA5C24"/>
    <w:rsid w:val="00EA5CB6"/>
    <w:rsid w:val="00EA6570"/>
    <w:rsid w:val="00EB0397"/>
    <w:rsid w:val="00EB10AD"/>
    <w:rsid w:val="00EB1E5B"/>
    <w:rsid w:val="00EB582D"/>
    <w:rsid w:val="00EB69E8"/>
    <w:rsid w:val="00EC3394"/>
    <w:rsid w:val="00EC7399"/>
    <w:rsid w:val="00EC7C23"/>
    <w:rsid w:val="00ED0F87"/>
    <w:rsid w:val="00ED2DA9"/>
    <w:rsid w:val="00ED3A44"/>
    <w:rsid w:val="00ED5C66"/>
    <w:rsid w:val="00ED696E"/>
    <w:rsid w:val="00ED7E29"/>
    <w:rsid w:val="00EE2CC3"/>
    <w:rsid w:val="00EE4247"/>
    <w:rsid w:val="00EE47AC"/>
    <w:rsid w:val="00EE4D05"/>
    <w:rsid w:val="00EE5843"/>
    <w:rsid w:val="00EE58EA"/>
    <w:rsid w:val="00EE6B7E"/>
    <w:rsid w:val="00EE744D"/>
    <w:rsid w:val="00EF07B7"/>
    <w:rsid w:val="00EF33AD"/>
    <w:rsid w:val="00EF3554"/>
    <w:rsid w:val="00EF3ADC"/>
    <w:rsid w:val="00EF460F"/>
    <w:rsid w:val="00EF4985"/>
    <w:rsid w:val="00EF4F8B"/>
    <w:rsid w:val="00EF5D2A"/>
    <w:rsid w:val="00F00F4A"/>
    <w:rsid w:val="00F01048"/>
    <w:rsid w:val="00F01170"/>
    <w:rsid w:val="00F01723"/>
    <w:rsid w:val="00F0210E"/>
    <w:rsid w:val="00F04564"/>
    <w:rsid w:val="00F061FC"/>
    <w:rsid w:val="00F0680E"/>
    <w:rsid w:val="00F06874"/>
    <w:rsid w:val="00F07865"/>
    <w:rsid w:val="00F12A8D"/>
    <w:rsid w:val="00F144B4"/>
    <w:rsid w:val="00F15AC5"/>
    <w:rsid w:val="00F16339"/>
    <w:rsid w:val="00F21A12"/>
    <w:rsid w:val="00F26BD9"/>
    <w:rsid w:val="00F32A78"/>
    <w:rsid w:val="00F347A2"/>
    <w:rsid w:val="00F4207D"/>
    <w:rsid w:val="00F4254C"/>
    <w:rsid w:val="00F434D8"/>
    <w:rsid w:val="00F461D5"/>
    <w:rsid w:val="00F464C2"/>
    <w:rsid w:val="00F528C3"/>
    <w:rsid w:val="00F52E4F"/>
    <w:rsid w:val="00F6025E"/>
    <w:rsid w:val="00F61069"/>
    <w:rsid w:val="00F610B1"/>
    <w:rsid w:val="00F61113"/>
    <w:rsid w:val="00F640A6"/>
    <w:rsid w:val="00F67075"/>
    <w:rsid w:val="00F71B74"/>
    <w:rsid w:val="00F7525B"/>
    <w:rsid w:val="00F76C50"/>
    <w:rsid w:val="00F80047"/>
    <w:rsid w:val="00F81841"/>
    <w:rsid w:val="00F82F0F"/>
    <w:rsid w:val="00F86FC7"/>
    <w:rsid w:val="00F90FBF"/>
    <w:rsid w:val="00F91365"/>
    <w:rsid w:val="00F915B6"/>
    <w:rsid w:val="00F931DC"/>
    <w:rsid w:val="00F94379"/>
    <w:rsid w:val="00F959D6"/>
    <w:rsid w:val="00FA2299"/>
    <w:rsid w:val="00FA27D5"/>
    <w:rsid w:val="00FA311B"/>
    <w:rsid w:val="00FA4232"/>
    <w:rsid w:val="00FA426D"/>
    <w:rsid w:val="00FA6991"/>
    <w:rsid w:val="00FA7233"/>
    <w:rsid w:val="00FB1934"/>
    <w:rsid w:val="00FB1ADD"/>
    <w:rsid w:val="00FB36F6"/>
    <w:rsid w:val="00FB48C6"/>
    <w:rsid w:val="00FC4650"/>
    <w:rsid w:val="00FC489D"/>
    <w:rsid w:val="00FC4D28"/>
    <w:rsid w:val="00FC5D50"/>
    <w:rsid w:val="00FC620B"/>
    <w:rsid w:val="00FD06EC"/>
    <w:rsid w:val="00FD1507"/>
    <w:rsid w:val="00FD2161"/>
    <w:rsid w:val="00FD2DC8"/>
    <w:rsid w:val="00FD3804"/>
    <w:rsid w:val="00FD7335"/>
    <w:rsid w:val="00FD7EC1"/>
    <w:rsid w:val="00FF018B"/>
    <w:rsid w:val="00FF0A63"/>
    <w:rsid w:val="00FF1DE7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AD3966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AD396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F3DE-B4C2-4FDA-8187-7173D2FE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1844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4</cp:revision>
  <cp:lastPrinted>2023-12-07T10:05:00Z</cp:lastPrinted>
  <dcterms:created xsi:type="dcterms:W3CDTF">2023-12-08T14:40:00Z</dcterms:created>
  <dcterms:modified xsi:type="dcterms:W3CDTF">2023-12-10T14:35:00Z</dcterms:modified>
</cp:coreProperties>
</file>