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C349D6" w:rsidRDefault="00C349D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C349D6" w:rsidRDefault="00C349D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546F51" w:rsidRPr="00DF471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F471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DF471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F471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DF471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DF471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DF4711" w:rsidRDefault="00FD14A5" w:rsidP="00FD14A5">
      <w:pPr>
        <w:jc w:val="center"/>
        <w:rPr>
          <w:sz w:val="28"/>
          <w:szCs w:val="28"/>
          <w:rtl/>
          <w:lang w:bidi="ar-MA"/>
        </w:rPr>
      </w:pPr>
      <w:r w:rsidRPr="00DF471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l’année </w:t>
      </w:r>
      <w:r w:rsidR="00F57638" w:rsidRPr="00DF471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C349D6" w:rsidRDefault="003D1731" w:rsidP="003D173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sz w:val="23"/>
          <w:szCs w:val="23"/>
          <w:rtl/>
          <w:lang w:bidi="ar-MA"/>
        </w:rPr>
      </w:pP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 xml:space="preserve">L’IPC du mois de décembre </w:t>
      </w:r>
      <w:r w:rsidR="00F57638"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 xml:space="preserve"> a connu une </w:t>
      </w:r>
      <w:r w:rsidR="00A50297"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bai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sse de 0,1</w:t>
      </w:r>
      <w:r w:rsidR="00CD2B1E"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% par rapport au mois précédent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 xml:space="preserve">; au terme de l’année </w:t>
      </w:r>
      <w:r w:rsidR="00F57638"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 xml:space="preserve">, l’IPC annuel moyen aura progressé de </w:t>
      </w:r>
      <w:r w:rsidR="00DB2AD7" w:rsidRPr="00C349D6">
        <w:rPr>
          <w:rFonts w:ascii="Arial" w:hAnsi="Arial" w:cs="Arial" w:hint="cs"/>
          <w:b/>
          <w:bCs/>
          <w:color w:val="000000" w:themeColor="text1"/>
          <w:sz w:val="23"/>
          <w:szCs w:val="23"/>
          <w:rtl/>
          <w:lang w:bidi="ar-MA"/>
        </w:rPr>
        <w:t>6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,</w:t>
      </w:r>
      <w:r w:rsidR="00DB2AD7" w:rsidRPr="00C349D6">
        <w:rPr>
          <w:rFonts w:ascii="Arial" w:hAnsi="Arial" w:cs="Arial" w:hint="cs"/>
          <w:b/>
          <w:bCs/>
          <w:color w:val="000000" w:themeColor="text1"/>
          <w:sz w:val="23"/>
          <w:szCs w:val="23"/>
          <w:rtl/>
          <w:lang w:bidi="ar-MA"/>
        </w:rPr>
        <w:t>1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 xml:space="preserve">% et l’indicateur annuel d’inflation sous-jacente de </w:t>
      </w:r>
      <w:r w:rsidR="00DB2AD7" w:rsidRPr="00C349D6">
        <w:rPr>
          <w:rFonts w:ascii="Arial" w:hAnsi="Arial" w:cs="Arial" w:hint="cs"/>
          <w:b/>
          <w:bCs/>
          <w:color w:val="000000" w:themeColor="text1"/>
          <w:sz w:val="23"/>
          <w:szCs w:val="23"/>
          <w:rtl/>
          <w:lang w:bidi="ar-MA"/>
        </w:rPr>
        <w:t>5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,</w:t>
      </w:r>
      <w:r w:rsidR="00DB2AD7"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9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  <w:lang w:bidi="ar-MA"/>
        </w:rPr>
        <w:t>%.</w:t>
      </w:r>
    </w:p>
    <w:p w:rsidR="003D1731" w:rsidRPr="00C349D6" w:rsidRDefault="003D1731" w:rsidP="003D173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sz w:val="23"/>
          <w:szCs w:val="23"/>
          <w:rtl/>
          <w:lang w:bidi="ar-MA"/>
        </w:rPr>
      </w:pPr>
    </w:p>
    <w:p w:rsidR="003D1731" w:rsidRPr="00C349D6" w:rsidRDefault="00A50297" w:rsidP="00B5100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sz w:val="23"/>
          <w:szCs w:val="23"/>
          <w:rtl/>
        </w:rPr>
      </w:pP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Baisse</w:t>
      </w:r>
      <w:r w:rsidR="003D1731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de 0,1% de l’IPC et </w:t>
      </w:r>
      <w:r w:rsidR="00751011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hausse de </w:t>
      </w:r>
      <w:r w:rsidR="003D1731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0,</w:t>
      </w:r>
      <w:r w:rsidR="00751011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2</w:t>
      </w:r>
      <w:r w:rsidR="003D1731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% de l’indicateur d’inflation sous-jacente au cours du mois de décembre </w:t>
      </w:r>
      <w:r w:rsidR="00F57638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2023</w:t>
      </w:r>
    </w:p>
    <w:p w:rsidR="004B513F" w:rsidRPr="00C349D6" w:rsidRDefault="004B513F" w:rsidP="00487BBB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 xml:space="preserve">L’indice des prix à la consommation a connu, au cours du mois </w:t>
      </w:r>
      <w:r w:rsidR="00AC1FEF" w:rsidRPr="00C349D6">
        <w:rPr>
          <w:rFonts w:ascii="Arial" w:hAnsi="Arial" w:cs="Arial"/>
          <w:sz w:val="23"/>
          <w:szCs w:val="23"/>
          <w:lang w:bidi="ar-MA"/>
        </w:rPr>
        <w:t xml:space="preserve">de </w:t>
      </w:r>
      <w:r w:rsidR="003B73AE" w:rsidRPr="00C349D6">
        <w:rPr>
          <w:rFonts w:ascii="Arial" w:hAnsi="Arial" w:cs="Arial"/>
          <w:sz w:val="23"/>
          <w:szCs w:val="23"/>
          <w:lang w:bidi="ar-MA"/>
        </w:rPr>
        <w:t>décembre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, une </w:t>
      </w:r>
      <w:r w:rsidR="00A50297" w:rsidRPr="00C349D6">
        <w:rPr>
          <w:rFonts w:ascii="Arial" w:hAnsi="Arial" w:cs="Arial"/>
          <w:sz w:val="23"/>
          <w:szCs w:val="23"/>
          <w:lang w:bidi="ar-MA"/>
        </w:rPr>
        <w:t>bai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sse de </w:t>
      </w:r>
      <w:r w:rsidR="00E85778" w:rsidRPr="00C349D6">
        <w:rPr>
          <w:rFonts w:ascii="Arial" w:hAnsi="Arial" w:cs="Arial"/>
          <w:sz w:val="23"/>
          <w:szCs w:val="23"/>
          <w:lang w:bidi="ar-MA"/>
        </w:rPr>
        <w:t>0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487BBB" w:rsidRPr="00C349D6">
        <w:rPr>
          <w:rFonts w:ascii="Arial" w:hAnsi="Arial" w:cs="Arial" w:hint="cs"/>
          <w:sz w:val="23"/>
          <w:szCs w:val="23"/>
          <w:rtl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par rapport au mois précédent. Cette variation est le résultat de la </w:t>
      </w:r>
      <w:r w:rsidR="00A50297" w:rsidRPr="00C349D6">
        <w:rPr>
          <w:rFonts w:ascii="Arial" w:hAnsi="Arial" w:cs="Arial"/>
          <w:sz w:val="23"/>
          <w:szCs w:val="23"/>
          <w:lang w:bidi="ar-MA"/>
        </w:rPr>
        <w:t>bai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sse de </w:t>
      </w:r>
      <w:r w:rsidR="00E85778" w:rsidRPr="00C349D6">
        <w:rPr>
          <w:rFonts w:ascii="Arial" w:hAnsi="Arial" w:cs="Arial"/>
          <w:sz w:val="23"/>
          <w:szCs w:val="23"/>
          <w:lang w:bidi="ar-MA"/>
        </w:rPr>
        <w:t>0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A50297" w:rsidRPr="00C349D6">
        <w:rPr>
          <w:rFonts w:ascii="Arial" w:hAnsi="Arial" w:cs="Arial" w:hint="cs"/>
          <w:sz w:val="23"/>
          <w:szCs w:val="23"/>
          <w:rtl/>
          <w:lang w:bidi="ar-MA"/>
        </w:rPr>
        <w:t>2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de l’indice des produits alimentaires </w:t>
      </w:r>
      <w:r w:rsidR="00014332" w:rsidRPr="00C349D6">
        <w:rPr>
          <w:rFonts w:ascii="Arial" w:hAnsi="Arial" w:cs="Arial"/>
          <w:sz w:val="23"/>
          <w:szCs w:val="23"/>
          <w:lang w:bidi="ar-MA"/>
        </w:rPr>
        <w:t xml:space="preserve">et </w:t>
      </w:r>
      <w:r w:rsidR="00487BBB" w:rsidRPr="00C349D6">
        <w:rPr>
          <w:rFonts w:ascii="Arial" w:hAnsi="Arial" w:cs="Arial"/>
          <w:sz w:val="23"/>
          <w:szCs w:val="23"/>
          <w:lang w:bidi="ar-MA"/>
        </w:rPr>
        <w:t xml:space="preserve">de </w:t>
      </w:r>
      <w:r w:rsidRPr="00C349D6">
        <w:rPr>
          <w:rFonts w:ascii="Arial" w:hAnsi="Arial" w:cs="Arial"/>
          <w:sz w:val="23"/>
          <w:szCs w:val="23"/>
          <w:lang w:bidi="ar-MA"/>
        </w:rPr>
        <w:t>0,</w:t>
      </w:r>
      <w:r w:rsidR="00A50297" w:rsidRPr="00C349D6">
        <w:rPr>
          <w:rFonts w:ascii="Arial" w:hAnsi="Arial" w:cs="Arial"/>
          <w:sz w:val="23"/>
          <w:szCs w:val="23"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>% de l’indice des produits</w:t>
      </w:r>
      <w:r w:rsidR="00CE7B14" w:rsidRPr="00C349D6">
        <w:rPr>
          <w:rFonts w:ascii="Arial" w:hAnsi="Arial" w:cs="Arial"/>
          <w:sz w:val="23"/>
          <w:szCs w:val="23"/>
          <w:lang w:bidi="ar-MA"/>
        </w:rPr>
        <w:t xml:space="preserve"> non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alimentaires.</w:t>
      </w:r>
    </w:p>
    <w:p w:rsidR="0085717A" w:rsidRPr="00C349D6" w:rsidRDefault="0085717A" w:rsidP="00487BBB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</w:p>
    <w:p w:rsidR="004B513F" w:rsidRPr="00C349D6" w:rsidRDefault="004B513F" w:rsidP="0085717A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 xml:space="preserve">Les 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bai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sses des produits alimentaires observées entre </w:t>
      </w:r>
      <w:r w:rsidR="003B73AE" w:rsidRPr="00C349D6">
        <w:rPr>
          <w:rFonts w:ascii="Arial" w:hAnsi="Arial" w:cs="Arial"/>
          <w:sz w:val="23"/>
          <w:szCs w:val="23"/>
          <w:lang w:bidi="ar-MA"/>
        </w:rPr>
        <w:t>novembre</w:t>
      </w:r>
      <w:r w:rsidR="00607979" w:rsidRPr="00C349D6">
        <w:rPr>
          <w:rFonts w:ascii="Arial" w:hAnsi="Arial" w:cs="Arial"/>
          <w:sz w:val="23"/>
          <w:szCs w:val="23"/>
          <w:lang w:bidi="ar-MA"/>
        </w:rPr>
        <w:t xml:space="preserve"> 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et </w:t>
      </w:r>
      <w:r w:rsidR="003B73AE" w:rsidRPr="00C349D6">
        <w:rPr>
          <w:rFonts w:ascii="Arial" w:hAnsi="Arial" w:cs="Arial"/>
          <w:sz w:val="23"/>
          <w:szCs w:val="23"/>
          <w:lang w:bidi="ar-MA"/>
        </w:rPr>
        <w:t>décembre</w:t>
      </w:r>
      <w:r w:rsidR="00014332" w:rsidRPr="00C349D6">
        <w:rPr>
          <w:rFonts w:ascii="Arial" w:hAnsi="Arial" w:cs="Arial" w:hint="cs"/>
          <w:sz w:val="23"/>
          <w:szCs w:val="23"/>
          <w:rtl/>
          <w:lang w:bidi="ar-MA"/>
        </w:rPr>
        <w:t xml:space="preserve">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2023</w:t>
      </w:r>
      <w:r w:rsidR="00637C8A" w:rsidRPr="00C349D6">
        <w:rPr>
          <w:rFonts w:ascii="Arial" w:hAnsi="Arial" w:cs="Arial"/>
          <w:sz w:val="23"/>
          <w:szCs w:val="23"/>
          <w:lang w:bidi="ar-MA"/>
        </w:rPr>
        <w:t xml:space="preserve"> concernent principalement le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«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Poissons et fruits de mer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» </w:t>
      </w:r>
      <w:r w:rsidR="00401CE7" w:rsidRPr="00C349D6">
        <w:rPr>
          <w:rFonts w:ascii="Arial" w:hAnsi="Arial" w:cs="Arial"/>
          <w:sz w:val="23"/>
          <w:szCs w:val="23"/>
          <w:lang w:bidi="ar-MA"/>
        </w:rPr>
        <w:t xml:space="preserve">avec 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2</w:t>
      </w:r>
      <w:r w:rsidR="00401CE7" w:rsidRPr="00C349D6">
        <w:rPr>
          <w:rFonts w:ascii="Arial" w:hAnsi="Arial" w:cs="Arial"/>
          <w:sz w:val="23"/>
          <w:szCs w:val="23"/>
          <w:lang w:bidi="ar-MA"/>
        </w:rPr>
        <w:t>,</w:t>
      </w:r>
      <w:r w:rsidR="00CB494E" w:rsidRPr="00C349D6">
        <w:rPr>
          <w:rFonts w:ascii="Arial" w:hAnsi="Arial" w:cs="Arial"/>
          <w:sz w:val="23"/>
          <w:szCs w:val="23"/>
          <w:lang w:bidi="ar-MA"/>
        </w:rPr>
        <w:t>6</w:t>
      </w:r>
      <w:r w:rsidR="00401CE7" w:rsidRPr="00C349D6">
        <w:rPr>
          <w:rFonts w:ascii="Arial" w:hAnsi="Arial" w:cs="Arial"/>
          <w:sz w:val="23"/>
          <w:szCs w:val="23"/>
          <w:lang w:bidi="ar-MA"/>
        </w:rPr>
        <w:t xml:space="preserve">%, </w:t>
      </w:r>
      <w:r w:rsidR="00CE7B14" w:rsidRPr="00C349D6">
        <w:rPr>
          <w:rFonts w:ascii="Arial" w:hAnsi="Arial" w:cs="Arial"/>
          <w:sz w:val="23"/>
          <w:szCs w:val="23"/>
          <w:lang w:bidi="ar-MA"/>
        </w:rPr>
        <w:t>le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«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Fruits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» avec 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2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CB494E" w:rsidRPr="00C349D6">
        <w:rPr>
          <w:rFonts w:ascii="Arial" w:hAnsi="Arial" w:cs="Arial"/>
          <w:sz w:val="23"/>
          <w:szCs w:val="23"/>
          <w:lang w:bidi="ar-MA"/>
        </w:rPr>
        <w:t>5</w:t>
      </w:r>
      <w:r w:rsidRPr="00C349D6">
        <w:rPr>
          <w:rFonts w:ascii="Arial" w:hAnsi="Arial" w:cs="Arial"/>
          <w:sz w:val="23"/>
          <w:szCs w:val="23"/>
          <w:lang w:bidi="ar-MA"/>
        </w:rPr>
        <w:t>%,</w:t>
      </w:r>
      <w:r w:rsidR="00014332" w:rsidRPr="00C349D6">
        <w:rPr>
          <w:rFonts w:ascii="Arial" w:hAnsi="Arial" w:cs="Arial"/>
          <w:sz w:val="23"/>
          <w:szCs w:val="23"/>
          <w:lang w:bidi="ar-MA"/>
        </w:rPr>
        <w:t xml:space="preserve"> le</w:t>
      </w:r>
      <w:r w:rsidR="00021A81" w:rsidRPr="00C349D6">
        <w:rPr>
          <w:rFonts w:ascii="Arial" w:hAnsi="Arial" w:cs="Arial"/>
          <w:sz w:val="23"/>
          <w:szCs w:val="23"/>
          <w:lang w:bidi="ar-MA"/>
        </w:rPr>
        <w:t>s</w:t>
      </w:r>
      <w:r w:rsidR="00014332" w:rsidRPr="00C349D6">
        <w:rPr>
          <w:rFonts w:ascii="Arial" w:hAnsi="Arial" w:cs="Arial"/>
          <w:sz w:val="23"/>
          <w:szCs w:val="23"/>
          <w:lang w:bidi="ar-MA"/>
        </w:rPr>
        <w:t xml:space="preserve"> «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Légumes</w:t>
      </w:r>
      <w:r w:rsidR="00014332" w:rsidRPr="00C349D6">
        <w:rPr>
          <w:rFonts w:ascii="Arial" w:hAnsi="Arial" w:cs="Arial"/>
          <w:sz w:val="23"/>
          <w:szCs w:val="23"/>
          <w:lang w:bidi="ar-MA"/>
        </w:rPr>
        <w:t xml:space="preserve">» avec 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1</w:t>
      </w:r>
      <w:r w:rsidR="00014332" w:rsidRPr="00C349D6">
        <w:rPr>
          <w:rFonts w:ascii="Arial" w:hAnsi="Arial" w:cs="Arial"/>
          <w:sz w:val="23"/>
          <w:szCs w:val="23"/>
          <w:lang w:bidi="ar-MA"/>
        </w:rPr>
        <w:t>,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5% et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le «Café, the et cacao» avec 0,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1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%</w:t>
      </w:r>
      <w:r w:rsidR="00265EF9" w:rsidRPr="00C349D6">
        <w:rPr>
          <w:rFonts w:ascii="Arial" w:hAnsi="Arial" w:cs="Arial"/>
          <w:sz w:val="23"/>
          <w:szCs w:val="23"/>
          <w:lang w:bidi="ar-MA"/>
        </w:rPr>
        <w:t xml:space="preserve">. </w:t>
      </w:r>
      <w:r w:rsidR="00607979" w:rsidRPr="00C349D6">
        <w:rPr>
          <w:rFonts w:ascii="Arial" w:hAnsi="Arial" w:cs="Arial"/>
          <w:sz w:val="23"/>
          <w:szCs w:val="23"/>
          <w:lang w:bidi="ar-MA"/>
        </w:rPr>
        <w:t xml:space="preserve">En revanche, les prix ont 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augmenté</w:t>
      </w:r>
      <w:r w:rsidR="00607979" w:rsidRPr="00C349D6">
        <w:rPr>
          <w:rFonts w:ascii="Arial" w:hAnsi="Arial" w:cs="Arial"/>
          <w:sz w:val="23"/>
          <w:szCs w:val="23"/>
          <w:lang w:bidi="ar-MA"/>
        </w:rPr>
        <w:t xml:space="preserve"> de </w:t>
      </w:r>
      <w:r w:rsidR="00312A34" w:rsidRPr="00C349D6">
        <w:rPr>
          <w:rFonts w:ascii="Arial" w:hAnsi="Arial" w:cs="Arial"/>
          <w:sz w:val="23"/>
          <w:szCs w:val="23"/>
          <w:lang w:bidi="ar-MA"/>
        </w:rPr>
        <w:t>1</w:t>
      </w:r>
      <w:r w:rsidR="00607979" w:rsidRPr="00C349D6">
        <w:rPr>
          <w:rFonts w:ascii="Arial" w:hAnsi="Arial" w:cs="Arial"/>
          <w:sz w:val="23"/>
          <w:szCs w:val="23"/>
          <w:lang w:bidi="ar-MA"/>
        </w:rPr>
        <w:t>,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6</w:t>
      </w:r>
      <w:r w:rsidR="00607979" w:rsidRPr="00C349D6">
        <w:rPr>
          <w:rFonts w:ascii="Arial" w:hAnsi="Arial" w:cs="Arial"/>
          <w:sz w:val="23"/>
          <w:szCs w:val="23"/>
          <w:lang w:bidi="ar-MA"/>
        </w:rPr>
        <w:t>% pour les «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Viandes</w:t>
      </w:r>
      <w:r w:rsidR="00607979" w:rsidRPr="00C349D6">
        <w:rPr>
          <w:rFonts w:ascii="Arial" w:hAnsi="Arial" w:cs="Arial"/>
          <w:sz w:val="23"/>
          <w:szCs w:val="23"/>
          <w:lang w:bidi="ar-MA"/>
        </w:rPr>
        <w:t>»</w:t>
      </w:r>
      <w:r w:rsidR="00C0183B" w:rsidRPr="00C349D6">
        <w:rPr>
          <w:rFonts w:ascii="Arial" w:hAnsi="Arial" w:cs="Arial"/>
          <w:sz w:val="23"/>
          <w:szCs w:val="23"/>
          <w:lang w:bidi="ar-MA"/>
        </w:rPr>
        <w:t>, de 0,5% pour les «Huiles et graisses» et de 0,2% pour le «Lait, fromage et œufs»</w:t>
      </w:r>
      <w:r w:rsidR="00607979" w:rsidRPr="00C349D6">
        <w:rPr>
          <w:rFonts w:ascii="Arial" w:hAnsi="Arial" w:cs="Arial"/>
          <w:sz w:val="23"/>
          <w:szCs w:val="23"/>
          <w:lang w:bidi="ar-MA"/>
        </w:rPr>
        <w:t xml:space="preserve">. 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Pour les produits non alimentaires, la </w:t>
      </w:r>
      <w:r w:rsidR="00637C8A" w:rsidRPr="00C349D6">
        <w:rPr>
          <w:rFonts w:ascii="Arial" w:hAnsi="Arial" w:cs="Arial"/>
          <w:sz w:val="23"/>
          <w:szCs w:val="23"/>
          <w:lang w:bidi="ar-MA"/>
        </w:rPr>
        <w:t>bai</w:t>
      </w:r>
      <w:r w:rsidR="00CE1888" w:rsidRPr="00C349D6">
        <w:rPr>
          <w:rFonts w:ascii="Arial" w:hAnsi="Arial" w:cs="Arial"/>
          <w:sz w:val="23"/>
          <w:szCs w:val="23"/>
          <w:lang w:bidi="ar-MA"/>
        </w:rPr>
        <w:t>sse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a concerné principalement les prix de</w:t>
      </w:r>
      <w:r w:rsidR="0066525A" w:rsidRPr="00C349D6">
        <w:rPr>
          <w:rFonts w:ascii="Arial" w:hAnsi="Arial" w:cs="Arial"/>
          <w:sz w:val="23"/>
          <w:szCs w:val="23"/>
          <w:lang w:bidi="ar-MA"/>
        </w:rPr>
        <w:t xml:space="preserve">s </w:t>
      </w:r>
      <w:r w:rsidRPr="00C349D6">
        <w:rPr>
          <w:rFonts w:ascii="Arial" w:hAnsi="Arial" w:cs="Arial"/>
          <w:sz w:val="23"/>
          <w:szCs w:val="23"/>
          <w:lang w:bidi="ar-MA"/>
        </w:rPr>
        <w:t>«</w:t>
      </w:r>
      <w:r w:rsidR="0066525A" w:rsidRPr="00C349D6">
        <w:rPr>
          <w:rFonts w:ascii="Arial" w:hAnsi="Arial" w:cs="Arial"/>
          <w:sz w:val="23"/>
          <w:szCs w:val="23"/>
          <w:lang w:bidi="ar-MA"/>
        </w:rPr>
        <w:t>Carburants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» avec </w:t>
      </w:r>
      <w:r w:rsidR="003255C0" w:rsidRPr="00C349D6">
        <w:rPr>
          <w:rFonts w:ascii="Arial" w:hAnsi="Arial" w:cs="Arial"/>
          <w:sz w:val="23"/>
          <w:szCs w:val="23"/>
          <w:lang w:bidi="ar-MA"/>
        </w:rPr>
        <w:t>2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3255C0" w:rsidRPr="00C349D6">
        <w:rPr>
          <w:rFonts w:ascii="Arial" w:hAnsi="Arial" w:cs="Arial"/>
          <w:sz w:val="23"/>
          <w:szCs w:val="23"/>
          <w:lang w:bidi="ar-MA"/>
        </w:rPr>
        <w:t>6</w:t>
      </w:r>
      <w:r w:rsidRPr="00C349D6">
        <w:rPr>
          <w:rFonts w:ascii="Arial" w:hAnsi="Arial" w:cs="Arial"/>
          <w:sz w:val="23"/>
          <w:szCs w:val="23"/>
          <w:lang w:bidi="ar-MA"/>
        </w:rPr>
        <w:t>%.</w:t>
      </w:r>
    </w:p>
    <w:p w:rsidR="0085717A" w:rsidRPr="00C349D6" w:rsidRDefault="0085717A" w:rsidP="00312A34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</w:p>
    <w:p w:rsidR="00487BBB" w:rsidRPr="00C349D6" w:rsidRDefault="00487BBB" w:rsidP="00C94B93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>Dans ces conditions, l’indicateur d’inflation sous-jacente, qui exclut</w:t>
      </w:r>
      <w:r w:rsidR="007C40CF" w:rsidRPr="00C349D6">
        <w:rPr>
          <w:rFonts w:ascii="Arial" w:hAnsi="Arial" w:cs="Arial"/>
          <w:sz w:val="23"/>
          <w:szCs w:val="23"/>
          <w:lang w:bidi="ar-MA"/>
        </w:rPr>
        <w:t xml:space="preserve"> les produits à prix volatiles 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et les produits à tarifs publics, aurait </w:t>
      </w:r>
      <w:r w:rsidR="00E866D9" w:rsidRPr="00C349D6">
        <w:rPr>
          <w:rFonts w:ascii="Arial" w:hAnsi="Arial" w:cs="Arial"/>
          <w:sz w:val="23"/>
          <w:szCs w:val="23"/>
          <w:lang w:bidi="ar-MA"/>
        </w:rPr>
        <w:t xml:space="preserve">connu une </w:t>
      </w:r>
      <w:r w:rsidR="00CB494E" w:rsidRPr="00C349D6">
        <w:rPr>
          <w:rFonts w:ascii="Arial" w:hAnsi="Arial" w:cs="Arial"/>
          <w:sz w:val="23"/>
          <w:szCs w:val="23"/>
          <w:lang w:bidi="ar-MA"/>
        </w:rPr>
        <w:t>hau</w:t>
      </w:r>
      <w:r w:rsidRPr="00C349D6">
        <w:rPr>
          <w:rFonts w:ascii="Arial" w:hAnsi="Arial" w:cs="Arial"/>
          <w:sz w:val="23"/>
          <w:szCs w:val="23"/>
          <w:lang w:bidi="ar-MA"/>
        </w:rPr>
        <w:t>sse de 0,</w:t>
      </w:r>
      <w:r w:rsidR="00CB494E" w:rsidRPr="00C349D6">
        <w:rPr>
          <w:rFonts w:ascii="Arial" w:hAnsi="Arial" w:cs="Arial"/>
          <w:sz w:val="23"/>
          <w:szCs w:val="23"/>
          <w:lang w:bidi="ar-MA"/>
        </w:rPr>
        <w:t>2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au cours du mois de décembre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par rapport au mois précédent.</w:t>
      </w:r>
    </w:p>
    <w:p w:rsidR="005915F0" w:rsidRPr="00C349D6" w:rsidRDefault="005915F0" w:rsidP="004B513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4B513F" w:rsidRPr="00C349D6" w:rsidRDefault="00487BBB" w:rsidP="004261C3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Hausse de l’IPC annuel de </w:t>
      </w:r>
      <w:r w:rsidR="004261C3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6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="00E866D9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1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% et de l’indicateur annuel d’inflation sous-jacente de </w:t>
      </w:r>
      <w:r w:rsidR="00A65E49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5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="00A65E49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9</w:t>
      </w: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%</w:t>
      </w:r>
    </w:p>
    <w:p w:rsidR="00637C8A" w:rsidRPr="00C349D6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rtl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>L'IPC</w:t>
      </w:r>
      <w:r w:rsidRPr="00C349D6">
        <w:rPr>
          <w:rFonts w:ascii="Arial" w:hAnsi="Arial" w:cs="Arial"/>
          <w:b/>
          <w:bCs/>
          <w:sz w:val="23"/>
          <w:szCs w:val="23"/>
          <w:lang w:bidi="ar-MA"/>
        </w:rPr>
        <w:t xml:space="preserve"> 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annuel moyen a enregistré, au terme de l’année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sz w:val="23"/>
          <w:szCs w:val="23"/>
          <w:lang w:bidi="ar-MA"/>
        </w:rPr>
        <w:t>, une augmentation de 6,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par rapport à l’année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2022</w:t>
      </w:r>
      <w:r w:rsidRPr="00C349D6">
        <w:rPr>
          <w:rFonts w:ascii="Arial" w:hAnsi="Arial" w:cs="Arial"/>
          <w:sz w:val="23"/>
          <w:szCs w:val="23"/>
          <w:lang w:bidi="ar-MA"/>
        </w:rPr>
        <w:t>. Conséquence de la hausse de l’indice des produits alimentaires de 1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2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5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et de celui des produits non alimentaires de 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CB494E" w:rsidRPr="00C349D6">
        <w:rPr>
          <w:rFonts w:ascii="Arial" w:hAnsi="Arial" w:cs="Arial"/>
          <w:sz w:val="23"/>
          <w:szCs w:val="23"/>
          <w:lang w:bidi="ar-MA"/>
        </w:rPr>
        <w:t>7</w:t>
      </w:r>
      <w:r w:rsidRPr="00C349D6">
        <w:rPr>
          <w:rFonts w:ascii="Arial" w:hAnsi="Arial" w:cs="Arial"/>
          <w:sz w:val="23"/>
          <w:szCs w:val="23"/>
          <w:lang w:bidi="ar-MA"/>
        </w:rPr>
        <w:t>%. Les variations enregistrées pour les produits non alimentaires vont d’une hausse de 0,1% pour l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es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«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Transports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» à 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5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7</w:t>
      </w:r>
      <w:r w:rsidRPr="00C349D6">
        <w:rPr>
          <w:rFonts w:ascii="Arial" w:hAnsi="Arial" w:cs="Arial"/>
          <w:sz w:val="23"/>
          <w:szCs w:val="23"/>
          <w:lang w:bidi="ar-MA"/>
        </w:rPr>
        <w:t>% pour les «</w:t>
      </w:r>
      <w:r w:rsidR="00E866D9" w:rsidRPr="00C349D6">
        <w:rPr>
          <w:rFonts w:ascii="Arial" w:hAnsi="Arial" w:cs="Arial"/>
          <w:sz w:val="23"/>
          <w:szCs w:val="23"/>
          <w:lang w:bidi="ar-MA"/>
        </w:rPr>
        <w:t>Restaurants et hôtels</w:t>
      </w:r>
      <w:r w:rsidRPr="00C349D6">
        <w:rPr>
          <w:rFonts w:ascii="Arial" w:hAnsi="Arial" w:cs="Arial"/>
          <w:sz w:val="23"/>
          <w:szCs w:val="23"/>
          <w:lang w:bidi="ar-MA"/>
        </w:rPr>
        <w:t>».</w:t>
      </w:r>
    </w:p>
    <w:p w:rsidR="00637C8A" w:rsidRPr="00C349D6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</w:p>
    <w:p w:rsidR="00637C8A" w:rsidRPr="00C349D6" w:rsidRDefault="00637C8A" w:rsidP="005915F0">
      <w:pPr>
        <w:tabs>
          <w:tab w:val="left" w:pos="0"/>
        </w:tabs>
        <w:ind w:right="74"/>
        <w:jc w:val="both"/>
        <w:rPr>
          <w:rFonts w:ascii="Arial" w:hAnsi="Arial" w:cs="Arial"/>
          <w:sz w:val="23"/>
          <w:szCs w:val="23"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 xml:space="preserve">Sur cette base, l’indicateur d’inflation sous-jacente aurait connu une hausse de </w:t>
      </w:r>
      <w:r w:rsidR="00A65E49" w:rsidRPr="00C349D6">
        <w:rPr>
          <w:rFonts w:ascii="Arial" w:hAnsi="Arial" w:cs="Arial"/>
          <w:sz w:val="23"/>
          <w:szCs w:val="23"/>
          <w:lang w:bidi="ar-MA"/>
        </w:rPr>
        <w:t>5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A65E49" w:rsidRPr="00C349D6">
        <w:rPr>
          <w:rFonts w:ascii="Arial" w:hAnsi="Arial" w:cs="Arial"/>
          <w:sz w:val="23"/>
          <w:szCs w:val="23"/>
          <w:lang w:bidi="ar-MA"/>
        </w:rPr>
        <w:t>9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 au cours de l’année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2023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par rapport à l’année </w:t>
      </w:r>
      <w:r w:rsidR="00F57638" w:rsidRPr="00C349D6">
        <w:rPr>
          <w:rFonts w:ascii="Arial" w:hAnsi="Arial" w:cs="Arial"/>
          <w:sz w:val="23"/>
          <w:szCs w:val="23"/>
          <w:lang w:bidi="ar-MA"/>
        </w:rPr>
        <w:t>2022</w:t>
      </w:r>
      <w:r w:rsidRPr="00C349D6">
        <w:rPr>
          <w:rFonts w:ascii="Arial" w:hAnsi="Arial" w:cs="Arial"/>
          <w:sz w:val="23"/>
          <w:szCs w:val="23"/>
          <w:lang w:bidi="ar-MA"/>
        </w:rPr>
        <w:t>.</w:t>
      </w:r>
    </w:p>
    <w:p w:rsidR="005915F0" w:rsidRPr="00C349D6" w:rsidRDefault="005915F0" w:rsidP="005915F0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5915F0" w:rsidRPr="00C349D6" w:rsidRDefault="005915F0" w:rsidP="00603D53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Les plus fortes hausses à Al-hoceima, Beni-Mellal</w:t>
      </w:r>
      <w:r w:rsidR="00603D53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et </w:t>
      </w:r>
      <w:r w:rsidR="00C0589D" w:rsidRPr="00C349D6">
        <w:rPr>
          <w:rFonts w:ascii="Arial" w:hAnsi="Arial" w:cs="Arial"/>
          <w:b/>
          <w:bCs/>
          <w:color w:val="000000" w:themeColor="text1"/>
          <w:sz w:val="23"/>
          <w:szCs w:val="23"/>
        </w:rPr>
        <w:t>Errachidia</w:t>
      </w:r>
    </w:p>
    <w:p w:rsidR="005915F0" w:rsidRDefault="005915F0" w:rsidP="00482889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 w:rsidRPr="00C349D6">
        <w:rPr>
          <w:rFonts w:ascii="Arial" w:hAnsi="Arial" w:cs="Arial"/>
          <w:sz w:val="23"/>
          <w:szCs w:val="23"/>
          <w:lang w:bidi="ar-MA"/>
        </w:rPr>
        <w:t xml:space="preserve">Les hausses les plus importantes de l’IPC annuel ont été enregistrées à Al-hoceima   avec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10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>%, à Beni-Mellal avec 8,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8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%, à Errachidia avec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8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0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%, à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Laâyoune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avec 7,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7</w:t>
      </w:r>
      <w:r w:rsidRPr="00C349D6">
        <w:rPr>
          <w:rFonts w:ascii="Arial" w:hAnsi="Arial" w:cs="Arial"/>
          <w:sz w:val="23"/>
          <w:szCs w:val="23"/>
          <w:lang w:bidi="ar-MA"/>
        </w:rPr>
        <w:t>%, à Safi avec 7,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5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%, à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Marrakech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et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Tétouan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avec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7</w:t>
      </w:r>
      <w:r w:rsidRPr="00C349D6">
        <w:rPr>
          <w:rFonts w:ascii="Arial" w:hAnsi="Arial" w:cs="Arial"/>
          <w:sz w:val="23"/>
          <w:szCs w:val="23"/>
          <w:lang w:bidi="ar-MA"/>
        </w:rPr>
        <w:t>,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1</w:t>
      </w:r>
      <w:r w:rsidRPr="00C349D6">
        <w:rPr>
          <w:rFonts w:ascii="Arial" w:hAnsi="Arial" w:cs="Arial"/>
          <w:sz w:val="23"/>
          <w:szCs w:val="23"/>
          <w:lang w:bidi="ar-MA"/>
        </w:rPr>
        <w:t>%</w:t>
      </w:r>
      <w:r w:rsidR="00BE01B0" w:rsidRPr="00C349D6">
        <w:rPr>
          <w:rFonts w:ascii="Arial" w:hAnsi="Arial" w:cs="Arial"/>
          <w:sz w:val="23"/>
          <w:szCs w:val="23"/>
          <w:lang w:bidi="ar-MA"/>
        </w:rPr>
        <w:t>, à Oujda avec 7,0%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 et à </w:t>
      </w:r>
      <w:r w:rsidR="00BE01B0" w:rsidRPr="00C349D6">
        <w:rPr>
          <w:rFonts w:ascii="Arial" w:hAnsi="Arial" w:cs="Arial"/>
          <w:sz w:val="23"/>
          <w:szCs w:val="23"/>
          <w:lang w:bidi="ar-MA"/>
        </w:rPr>
        <w:t xml:space="preserve">Fès </w:t>
      </w:r>
      <w:r w:rsidRPr="00C349D6">
        <w:rPr>
          <w:rFonts w:ascii="Arial" w:hAnsi="Arial" w:cs="Arial"/>
          <w:sz w:val="23"/>
          <w:szCs w:val="23"/>
          <w:lang w:bidi="ar-MA"/>
        </w:rPr>
        <w:t xml:space="preserve">avec 6,8%. 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bookmarkStart w:id="0" w:name="_GoBack"/>
      <w:bookmarkEnd w:id="0"/>
    </w:p>
    <w:p w:rsidR="00C349D6" w:rsidRDefault="00C349D6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AB5AE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AB5AE4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AB5AE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AB5AE4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AB5AE4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sz w:val="20"/>
          <w:szCs w:val="20"/>
          <w:lang w:bidi="ar-MA"/>
        </w:rPr>
      </w:pPr>
      <w:r w:rsidRPr="00AB5AE4">
        <w:rPr>
          <w:b/>
          <w:i/>
          <w:spacing w:val="-3"/>
          <w:sz w:val="20"/>
          <w:szCs w:val="20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AB5AE4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sz w:val="20"/>
          <w:szCs w:val="20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F57638">
              <w:rPr>
                <w:b/>
                <w:bCs/>
                <w:lang w:bidi="ar-MA"/>
              </w:rPr>
              <w:t>2023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4571FE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571F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4571FE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4571FE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AB5AE4">
        <w:rPr>
          <w:rFonts w:ascii="Arial" w:hAnsi="Arial" w:cs="Arial"/>
          <w:iCs/>
          <w:spacing w:val="-2"/>
          <w:sz w:val="20"/>
          <w:szCs w:val="20"/>
          <w:u w:val="single"/>
          <w:lang w:bidi="ar-MA"/>
        </w:rPr>
        <w:t>Source</w:t>
      </w:r>
      <w:r w:rsidRPr="00AB5AE4">
        <w:rPr>
          <w:rFonts w:ascii="Arial" w:hAnsi="Arial" w:cs="Arial"/>
          <w:i/>
          <w:spacing w:val="-2"/>
          <w:sz w:val="20"/>
          <w:szCs w:val="20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AB5AE4" w:rsidRDefault="002959F6" w:rsidP="00B174FB">
      <w:pPr>
        <w:rPr>
          <w:b/>
          <w:i/>
          <w:spacing w:val="-2"/>
          <w:sz w:val="20"/>
          <w:szCs w:val="20"/>
          <w:lang w:bidi="ar-MA"/>
        </w:rPr>
      </w:pPr>
      <w:r w:rsidRPr="00AB5AE4">
        <w:rPr>
          <w:b/>
          <w:i/>
          <w:spacing w:val="-2"/>
          <w:sz w:val="20"/>
          <w:szCs w:val="20"/>
          <w:lang w:bidi="ar-MA"/>
        </w:rPr>
        <w:t xml:space="preserve"> </w:t>
      </w:r>
    </w:p>
    <w:tbl>
      <w:tblPr>
        <w:tblW w:w="9590" w:type="dxa"/>
        <w:tblInd w:w="-27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3830"/>
        <w:gridCol w:w="1090"/>
        <w:gridCol w:w="1090"/>
        <w:gridCol w:w="840"/>
        <w:gridCol w:w="930"/>
        <w:gridCol w:w="970"/>
        <w:gridCol w:w="840"/>
      </w:tblGrid>
      <w:tr w:rsidR="002959F6" w:rsidRPr="00402008" w:rsidTr="00C349D6">
        <w:trPr>
          <w:trHeight w:val="289"/>
        </w:trPr>
        <w:tc>
          <w:tcPr>
            <w:tcW w:w="383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020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740" w:type="dxa"/>
            <w:gridSpan w:val="3"/>
            <w:shd w:val="clear" w:color="auto" w:fill="auto"/>
            <w:noWrap/>
            <w:vAlign w:val="center"/>
          </w:tcPr>
          <w:p w:rsidR="002959F6" w:rsidRPr="00793709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C349D6">
        <w:trPr>
          <w:trHeight w:val="365"/>
        </w:trPr>
        <w:tc>
          <w:tcPr>
            <w:tcW w:w="383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4B513F" w:rsidRPr="00BB40FC" w:rsidRDefault="003B73AE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BB40FC">
              <w:rPr>
                <w:b/>
                <w:bCs/>
                <w:sz w:val="20"/>
                <w:szCs w:val="20"/>
                <w:lang w:bidi="ar-MA"/>
              </w:rPr>
              <w:t>Décembre</w:t>
            </w:r>
            <w:r w:rsidR="00CD4E56" w:rsidRPr="00BB40FC">
              <w:rPr>
                <w:b/>
                <w:bCs/>
                <w:sz w:val="20"/>
                <w:szCs w:val="20"/>
                <w:lang w:bidi="ar-MA"/>
              </w:rPr>
              <w:t xml:space="preserve"> </w:t>
            </w:r>
          </w:p>
          <w:p w:rsidR="004B513F" w:rsidRPr="00324B4E" w:rsidRDefault="00F57638" w:rsidP="005050C3">
            <w:pPr>
              <w:jc w:val="center"/>
              <w:rPr>
                <w:b/>
                <w:bCs/>
                <w:lang w:bidi="ar-MA"/>
              </w:rPr>
            </w:pPr>
            <w:r w:rsidRPr="00BB40FC">
              <w:rPr>
                <w:b/>
                <w:bCs/>
                <w:sz w:val="20"/>
                <w:szCs w:val="20"/>
                <w:lang w:bidi="ar-MA"/>
              </w:rPr>
              <w:t>2022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4B513F" w:rsidRPr="00BB40FC" w:rsidRDefault="003B73AE" w:rsidP="005050C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BB40FC">
              <w:rPr>
                <w:b/>
                <w:bCs/>
                <w:sz w:val="20"/>
                <w:szCs w:val="20"/>
                <w:lang w:bidi="ar-MA"/>
              </w:rPr>
              <w:t>Décembre</w:t>
            </w:r>
            <w:r w:rsidR="00CD4E56" w:rsidRPr="00BB40FC">
              <w:rPr>
                <w:b/>
                <w:bCs/>
                <w:sz w:val="20"/>
                <w:szCs w:val="20"/>
                <w:lang w:bidi="ar-MA"/>
              </w:rPr>
              <w:t xml:space="preserve"> </w:t>
            </w:r>
          </w:p>
          <w:p w:rsidR="004B513F" w:rsidRPr="00324B4E" w:rsidRDefault="00F57638" w:rsidP="005050C3">
            <w:pPr>
              <w:jc w:val="center"/>
              <w:rPr>
                <w:b/>
                <w:bCs/>
                <w:lang w:bidi="ar-MA"/>
              </w:rPr>
            </w:pPr>
            <w:r w:rsidRPr="00BB40FC">
              <w:rPr>
                <w:b/>
                <w:bCs/>
                <w:sz w:val="20"/>
                <w:szCs w:val="20"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4B513F" w:rsidRPr="0079370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B513F" w:rsidRPr="0079370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4571FE" w:rsidRPr="00402008" w:rsidTr="00C349D6">
        <w:trPr>
          <w:trHeight w:val="273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6,7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12,5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113,7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12,9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108,5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4571FE" w:rsidRPr="00402008" w:rsidTr="00C349D6">
        <w:trPr>
          <w:trHeight w:val="258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</w:tr>
      <w:tr w:rsidR="004571FE" w:rsidRPr="00402008" w:rsidTr="00C349D6">
        <w:trPr>
          <w:trHeight w:val="273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</w:tr>
      <w:tr w:rsidR="004571FE" w:rsidRPr="00402008" w:rsidTr="00C349D6">
        <w:trPr>
          <w:trHeight w:val="289"/>
        </w:trPr>
        <w:tc>
          <w:tcPr>
            <w:tcW w:w="3830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="00C349D6">
        <w:rPr>
          <w:rFonts w:ascii="Arial" w:hAnsi="Arial" w:cs="Arial"/>
          <w:i/>
          <w:spacing w:val="-2"/>
          <w:lang w:bidi="ar-MA"/>
        </w:rPr>
        <w:t xml:space="preserve">  </w:t>
      </w:r>
      <w:r w:rsidRPr="00AB5AE4">
        <w:rPr>
          <w:rFonts w:ascii="Arial" w:hAnsi="Arial" w:cs="Arial"/>
          <w:iCs/>
          <w:spacing w:val="-2"/>
          <w:sz w:val="20"/>
          <w:szCs w:val="20"/>
          <w:u w:val="single"/>
          <w:lang w:bidi="ar-MA"/>
        </w:rPr>
        <w:t>Source</w:t>
      </w:r>
      <w:r w:rsidRPr="00AB5AE4">
        <w:rPr>
          <w:rFonts w:ascii="Arial" w:hAnsi="Arial" w:cs="Arial"/>
          <w:i/>
          <w:spacing w:val="-2"/>
          <w:sz w:val="20"/>
          <w:szCs w:val="20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F5763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4571F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7,5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8,8</w:t>
            </w:r>
          </w:p>
        </w:tc>
      </w:tr>
      <w:tr w:rsidR="004571F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</w:t>
            </w:r>
          </w:p>
        </w:tc>
      </w:tr>
      <w:tr w:rsidR="004571F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4571FE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571FE" w:rsidRPr="00402008" w:rsidRDefault="004571FE" w:rsidP="004571FE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71FE" w:rsidRDefault="004571FE" w:rsidP="004571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EB62C8">
        <w:rPr>
          <w:rFonts w:ascii="Arial" w:hAnsi="Arial" w:cs="Arial"/>
          <w:iCs/>
          <w:spacing w:val="-2"/>
          <w:sz w:val="20"/>
          <w:szCs w:val="20"/>
          <w:u w:val="single"/>
          <w:lang w:bidi="ar-MA"/>
        </w:rPr>
        <w:t>Source</w:t>
      </w:r>
      <w:r w:rsidRPr="00EB62C8">
        <w:rPr>
          <w:rFonts w:ascii="Arial" w:hAnsi="Arial" w:cs="Arial"/>
          <w:i/>
          <w:spacing w:val="-2"/>
          <w:sz w:val="20"/>
          <w:szCs w:val="20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0F" w:rsidRDefault="0070230F">
      <w:r>
        <w:separator/>
      </w:r>
    </w:p>
  </w:endnote>
  <w:endnote w:type="continuationSeparator" w:id="0">
    <w:p w:rsidR="0070230F" w:rsidRDefault="0070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87319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87319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B62C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B62C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87319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5.9pt;margin-top:-16.25pt;width:269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7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TjvZv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100" type="#_x0000_t202" style="position:absolute;margin-left:279.9pt;margin-top:2.15pt;width:218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0F" w:rsidRDefault="0070230F">
      <w:r>
        <w:separator/>
      </w:r>
    </w:p>
  </w:footnote>
  <w:footnote w:type="continuationSeparator" w:id="0">
    <w:p w:rsidR="0070230F" w:rsidRDefault="0070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2840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12BBC"/>
    <w:rsid w:val="0041796D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7979"/>
    <w:rsid w:val="00610ADF"/>
    <w:rsid w:val="00611B94"/>
    <w:rsid w:val="00613BEE"/>
    <w:rsid w:val="0061442D"/>
    <w:rsid w:val="006206D6"/>
    <w:rsid w:val="006212C1"/>
    <w:rsid w:val="00621F5D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883"/>
    <w:rsid w:val="006B5F68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230F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699C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3194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30BC1"/>
    <w:rsid w:val="00931126"/>
    <w:rsid w:val="0094309A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5AE4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070B4"/>
    <w:rsid w:val="00B10250"/>
    <w:rsid w:val="00B12082"/>
    <w:rsid w:val="00B12497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B27CA"/>
    <w:rsid w:val="00BB3BD2"/>
    <w:rsid w:val="00BB40FC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49D6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4711"/>
    <w:rsid w:val="00E022E3"/>
    <w:rsid w:val="00E02633"/>
    <w:rsid w:val="00E02C7B"/>
    <w:rsid w:val="00E03B7C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2C8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2024-01-16T11:35:00Z</cp:lastPrinted>
  <dcterms:created xsi:type="dcterms:W3CDTF">2024-01-21T14:14:00Z</dcterms:created>
  <dcterms:modified xsi:type="dcterms:W3CDTF">2024-01-21T14:21:00Z</dcterms:modified>
</cp:coreProperties>
</file>