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0139FF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0139FF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دجنبر</w:t>
      </w:r>
      <w:r w:rsidR="00EC7B6A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Default="00EC7B6A" w:rsidP="0074196D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</w:t>
      </w:r>
      <w:r w:rsidR="0007072E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139FF">
        <w:rPr>
          <w:rFonts w:ascii="Arial" w:hAnsi="Arial" w:cs="Simplified Arabic" w:hint="cs"/>
          <w:sz w:val="28"/>
          <w:szCs w:val="28"/>
          <w:rtl/>
        </w:rPr>
        <w:t>انخفاضا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4196D" w:rsidRPr="00725E05">
        <w:rPr>
          <w:rFonts w:ascii="Arial" w:hAnsi="Arial" w:cs="Simplified Arabic" w:hint="cs"/>
          <w:sz w:val="28"/>
          <w:szCs w:val="28"/>
          <w:rtl/>
        </w:rPr>
        <w:t xml:space="preserve">قدره </w:t>
      </w:r>
      <w:r w:rsidR="0074196D" w:rsidRPr="00725E05">
        <w:rPr>
          <w:rFonts w:ascii="Arial" w:hAnsi="Arial" w:cs="Simplified Arabic"/>
          <w:sz w:val="28"/>
          <w:szCs w:val="28"/>
        </w:rPr>
        <w:t>0,</w:t>
      </w:r>
      <w:r w:rsidR="0074196D">
        <w:rPr>
          <w:rFonts w:ascii="Arial" w:hAnsi="Arial" w:cs="Simplified Arabic"/>
          <w:sz w:val="28"/>
          <w:szCs w:val="28"/>
        </w:rPr>
        <w:t>1</w:t>
      </w:r>
      <w:r w:rsidR="0074196D" w:rsidRPr="00725E05">
        <w:rPr>
          <w:rFonts w:ascii="Arial" w:hAnsi="Arial" w:cs="Simplified Arabic"/>
          <w:sz w:val="28"/>
          <w:szCs w:val="28"/>
        </w:rPr>
        <w:t>%</w:t>
      </w:r>
      <w:r w:rsidR="0074196D"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>خلال</w:t>
      </w:r>
      <w:r w:rsidR="00602A2C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="00492897">
        <w:rPr>
          <w:rFonts w:ascii="Arial" w:hAnsi="Arial" w:cs="Simplified Arabic"/>
          <w:sz w:val="28"/>
          <w:szCs w:val="28"/>
        </w:rPr>
        <w:t xml:space="preserve"> </w:t>
      </w:r>
      <w:r w:rsidR="000139FF">
        <w:rPr>
          <w:rFonts w:ascii="Arial" w:hAnsi="Arial" w:cs="Simplified Arabic" w:hint="cs"/>
          <w:sz w:val="28"/>
          <w:szCs w:val="28"/>
          <w:rtl/>
        </w:rPr>
        <w:t>دجنبر</w:t>
      </w:r>
      <w:r w:rsidR="000139FF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0139FF">
        <w:rPr>
          <w:rFonts w:ascii="Arial" w:hAnsi="Arial" w:cs="Simplified Arabic" w:hint="cs"/>
          <w:sz w:val="28"/>
          <w:szCs w:val="28"/>
          <w:rtl/>
        </w:rPr>
        <w:t>نونبر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0139FF">
        <w:rPr>
          <w:rFonts w:ascii="Arial" w:hAnsi="Arial" w:cs="Simplified Arabic" w:hint="cs"/>
          <w:sz w:val="28"/>
          <w:szCs w:val="28"/>
          <w:rtl/>
        </w:rPr>
        <w:t>الانخفاض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</w:p>
    <w:p w:rsidR="000139FF" w:rsidRDefault="000139FF" w:rsidP="000139FF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EC7B6A" w:rsidRDefault="000139FF" w:rsidP="000139FF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تراجع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الأسعار ب</w:t>
      </w:r>
      <w:r w:rsidRPr="0076266A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4</w:t>
      </w:r>
      <w:r w:rsidRPr="0076266A">
        <w:rPr>
          <w:rFonts w:ascii="Arial" w:hAnsi="Arial" w:cs="Simplified Arabic"/>
          <w:sz w:val="28"/>
          <w:szCs w:val="28"/>
        </w:rPr>
        <w:t xml:space="preserve">%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E063DF">
        <w:rPr>
          <w:rFonts w:ascii="Arial" w:hAnsi="Arial" w:cs="Simplified Arabic"/>
          <w:sz w:val="28"/>
          <w:szCs w:val="28"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>ال</w:t>
      </w:r>
      <w:r>
        <w:rPr>
          <w:rFonts w:ascii="Arial" w:hAnsi="Arial" w:cs="Simplified Arabic" w:hint="cs"/>
          <w:sz w:val="28"/>
          <w:szCs w:val="28"/>
          <w:rtl/>
        </w:rPr>
        <w:t>صناعات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الغذائية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E063DF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E063DF">
        <w:rPr>
          <w:rFonts w:ascii="Arial" w:hAnsi="Arial" w:cs="Simplified Arabic"/>
          <w:sz w:val="28"/>
          <w:szCs w:val="28"/>
        </w:rPr>
        <w:t xml:space="preserve"> 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DC5A5E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Pr="009E21AD">
        <w:rPr>
          <w:rFonts w:ascii="Arial" w:hAnsi="Arial" w:cs="Simplified Arabic" w:hint="cs"/>
          <w:sz w:val="28"/>
          <w:szCs w:val="28"/>
          <w:rtl/>
        </w:rPr>
        <w:t>"</w:t>
      </w:r>
      <w:r w:rsidRPr="002756C4">
        <w:rPr>
          <w:rFonts w:ascii="Arial" w:hAnsi="Arial" w:cs="Simplified Arabic" w:hint="cs"/>
          <w:sz w:val="28"/>
          <w:szCs w:val="28"/>
          <w:rtl/>
        </w:rPr>
        <w:t>؛</w:t>
      </w:r>
      <w:r w:rsidRPr="00D03BC9">
        <w:rPr>
          <w:rFonts w:ascii="Arial" w:hAnsi="Arial" w:cs="Simplified Arabic"/>
          <w:sz w:val="28"/>
          <w:szCs w:val="28"/>
          <w:rtl/>
        </w:rPr>
        <w:t xml:space="preserve"> </w:t>
      </w:r>
    </w:p>
    <w:p w:rsidR="000139FF" w:rsidRPr="000139FF" w:rsidRDefault="000139FF" w:rsidP="000139FF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E96214" w:rsidRPr="00E063DF" w:rsidRDefault="00E96214" w:rsidP="00B37E6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>تزايد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 w:rsidR="000139FF">
        <w:rPr>
          <w:rFonts w:ascii="Arial" w:hAnsi="Arial" w:cs="Simplified Arabic"/>
          <w:sz w:val="28"/>
          <w:szCs w:val="28"/>
        </w:rPr>
        <w:t>2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430644">
        <w:rPr>
          <w:rFonts w:ascii="Arial" w:hAnsi="Arial" w:cs="Simplified Arabic" w:hint="cs"/>
          <w:sz w:val="28"/>
          <w:szCs w:val="28"/>
          <w:rtl/>
          <w:lang w:bidi="ar-MA"/>
        </w:rPr>
        <w:t>ال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8A44D2">
        <w:rPr>
          <w:rFonts w:ascii="Arial" w:hAnsi="Arial" w:cs="Simplified Arabic" w:hint="cs"/>
          <w:sz w:val="28"/>
          <w:szCs w:val="28"/>
          <w:rtl/>
        </w:rPr>
        <w:t>الكيماوية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>في "</w:t>
      </w:r>
      <w:r w:rsidR="008A44D2">
        <w:rPr>
          <w:rFonts w:ascii="Arial" w:hAnsi="Arial" w:cs="Simplified Arabic" w:hint="cs"/>
          <w:sz w:val="28"/>
          <w:szCs w:val="28"/>
          <w:rtl/>
          <w:lang w:bidi="ar-MA"/>
        </w:rPr>
        <w:t>التعدين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 w:hint="cs"/>
          <w:sz w:val="28"/>
          <w:szCs w:val="28"/>
          <w:rtl/>
        </w:rPr>
        <w:t xml:space="preserve"> و </w:t>
      </w:r>
      <w:r w:rsidR="008A44D2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8A44D2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8A44D2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8A44D2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8A44D2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8A44D2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8A44D2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0139FF">
        <w:rPr>
          <w:rFonts w:ascii="Arial" w:hAnsi="Arial" w:cs="Simplified Arabic"/>
          <w:sz w:val="28"/>
          <w:szCs w:val="28"/>
        </w:rPr>
        <w:t>.</w:t>
      </w:r>
    </w:p>
    <w:p w:rsidR="0033755C" w:rsidRPr="008A44D2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B76A57" w:rsidRDefault="00B76A57" w:rsidP="00B76A57">
      <w:pPr>
        <w:pStyle w:val="Paragraphedeliste"/>
        <w:rPr>
          <w:rFonts w:ascii="Arial" w:hAnsi="Arial" w:cs="Simplified Arabic"/>
          <w:sz w:val="28"/>
          <w:szCs w:val="28"/>
          <w:rtl/>
        </w:rPr>
      </w:pPr>
    </w:p>
    <w:p w:rsidR="004478BC" w:rsidRPr="00067E2E" w:rsidRDefault="00DC5A5E" w:rsidP="002F470D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</w:t>
      </w:r>
      <w:r w:rsidR="005F56A9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F814B5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>
        <w:rPr>
          <w:rFonts w:ascii="Arial" w:hAnsi="Arial" w:cs="Simplified Arabic" w:hint="cs"/>
          <w:sz w:val="28"/>
          <w:szCs w:val="28"/>
          <w:rtl/>
        </w:rPr>
        <w:t>و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</w:t>
      </w:r>
      <w:r w:rsidR="002A0BD5" w:rsidRPr="00F814B5">
        <w:rPr>
          <w:rFonts w:ascii="Arial" w:hAnsi="Arial" w:cs="Simplified Arabic" w:hint="cs"/>
          <w:sz w:val="28"/>
          <w:szCs w:val="28"/>
          <w:rtl/>
        </w:rPr>
        <w:t>شهر</w:t>
      </w:r>
      <w:r w:rsidR="002A0BD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F470D">
        <w:rPr>
          <w:rFonts w:ascii="Arial" w:hAnsi="Arial" w:cs="Simplified Arabic" w:hint="cs"/>
          <w:sz w:val="28"/>
          <w:szCs w:val="28"/>
          <w:rtl/>
        </w:rPr>
        <w:t>دجنبر</w:t>
      </w:r>
      <w:r w:rsidR="002A0BD5"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>.</w:t>
      </w:r>
    </w:p>
    <w:p w:rsidR="007F07DD" w:rsidRDefault="007F07DD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7F07DD" w:rsidRPr="0033755C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294F0A" w:rsidRPr="002F470D" w:rsidRDefault="00294F0A" w:rsidP="00294F0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054382" w:rsidRDefault="00054382" w:rsidP="003B1F8F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3B1F8F" w:rsidP="003B1F8F">
      <w:pPr>
        <w:pStyle w:val="Corpsdetexte"/>
        <w:bidi/>
        <w:jc w:val="left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                                            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 w:rsidR="005C042C"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430644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دجنبر</w:t>
            </w:r>
          </w:p>
          <w:p w:rsidR="00B32855" w:rsidRPr="001A0E3F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A0E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F303EB" w:rsidRPr="001A0E3F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430644" w:rsidRPr="008E3FE3" w:rsidRDefault="00430644" w:rsidP="0043064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نونبر</w:t>
            </w:r>
          </w:p>
          <w:p w:rsidR="00E20763" w:rsidRPr="001A0E3F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A0E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1B5707" w:rsidRPr="001A0E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430644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430644" w:rsidRPr="00430644" w:rsidRDefault="00430644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43064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430644" w:rsidRPr="008124D0" w:rsidRDefault="00430644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430644" w:rsidRPr="00537C21" w:rsidRDefault="00430644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430644" w:rsidRPr="00BE6079" w:rsidTr="00E56D7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430644" w:rsidRPr="00430644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430644" w:rsidRPr="008124D0" w:rsidRDefault="0043064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430644" w:rsidRPr="00740F69" w:rsidRDefault="0043064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430644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430644" w:rsidRPr="00430644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43064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430644" w:rsidRPr="00F66CFF" w:rsidRDefault="00430644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430644" w:rsidRPr="008124D0" w:rsidRDefault="00430644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430644" w:rsidRPr="00740F69" w:rsidRDefault="00430644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119,2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E56D7B" w:rsidRPr="00537C21" w:rsidRDefault="00E56D7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-0,4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127,3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115,7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56D7B" w:rsidRPr="00BE6079" w:rsidTr="00E56D7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E56D7B" w:rsidRPr="008124D0" w:rsidRDefault="00E56D7B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143,0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142,7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100,5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109,2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117,0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103,4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102,2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56D7B" w:rsidRPr="00BE6079" w:rsidTr="00E56D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E56D7B" w:rsidRPr="00740F69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56D7B" w:rsidRPr="00BE6079" w:rsidTr="00E56D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E56D7B" w:rsidRPr="007452C1" w:rsidRDefault="00E56D7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56D7B" w:rsidRPr="00BE6079" w:rsidTr="00E56D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E56D7B" w:rsidRPr="00CF11CF" w:rsidRDefault="00E56D7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56D7B" w:rsidRPr="00BE6079" w:rsidTr="00E56D7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56D7B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56D7B" w:rsidRPr="00CF11CF" w:rsidRDefault="00E56D7B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56D7B" w:rsidRPr="00BE6079" w:rsidTr="00E56D7B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E56D7B" w:rsidRPr="00E56D7B" w:rsidRDefault="00E56D7B" w:rsidP="00E56D7B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E56D7B" w:rsidRPr="008124D0" w:rsidRDefault="00E56D7B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56D7B" w:rsidRPr="00CD7F18" w:rsidRDefault="00E56D7B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76266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66" w:rsidRDefault="00450866">
      <w:r>
        <w:separator/>
      </w:r>
    </w:p>
  </w:endnote>
  <w:endnote w:type="continuationSeparator" w:id="1">
    <w:p w:rsidR="00450866" w:rsidRDefault="00450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C4D3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C4D3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A0E3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A0E3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C4D3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66" w:rsidRDefault="00450866">
      <w:r>
        <w:separator/>
      </w:r>
    </w:p>
  </w:footnote>
  <w:footnote w:type="continuationSeparator" w:id="1">
    <w:p w:rsidR="00450866" w:rsidRDefault="00450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82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25B3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0E3F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20D21"/>
    <w:rsid w:val="003243B5"/>
    <w:rsid w:val="00326824"/>
    <w:rsid w:val="00327972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8718A"/>
    <w:rsid w:val="0039063A"/>
    <w:rsid w:val="00393B90"/>
    <w:rsid w:val="00393EF8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0866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E779F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36C8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0E36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7AC0"/>
    <w:rsid w:val="00712126"/>
    <w:rsid w:val="00715863"/>
    <w:rsid w:val="007206D4"/>
    <w:rsid w:val="00725E05"/>
    <w:rsid w:val="00725E99"/>
    <w:rsid w:val="007273F0"/>
    <w:rsid w:val="007309AE"/>
    <w:rsid w:val="00730CFE"/>
    <w:rsid w:val="0073150D"/>
    <w:rsid w:val="007320F2"/>
    <w:rsid w:val="007332A1"/>
    <w:rsid w:val="007373E2"/>
    <w:rsid w:val="00737BEE"/>
    <w:rsid w:val="00737D26"/>
    <w:rsid w:val="00737E9A"/>
    <w:rsid w:val="00740560"/>
    <w:rsid w:val="007418E0"/>
    <w:rsid w:val="0074196D"/>
    <w:rsid w:val="00744CD3"/>
    <w:rsid w:val="007544F5"/>
    <w:rsid w:val="007570CB"/>
    <w:rsid w:val="007610B5"/>
    <w:rsid w:val="0076266A"/>
    <w:rsid w:val="00762728"/>
    <w:rsid w:val="00763262"/>
    <w:rsid w:val="0076370A"/>
    <w:rsid w:val="00765146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4D2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198C"/>
    <w:rsid w:val="00AC3133"/>
    <w:rsid w:val="00AC3EF4"/>
    <w:rsid w:val="00AC44F5"/>
    <w:rsid w:val="00AC4D3F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37E6B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3E3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1894"/>
    <w:rsid w:val="00D820EB"/>
    <w:rsid w:val="00D82174"/>
    <w:rsid w:val="00D8319A"/>
    <w:rsid w:val="00D843B7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4</cp:revision>
  <cp:lastPrinted>2023-12-27T09:50:00Z</cp:lastPrinted>
  <dcterms:created xsi:type="dcterms:W3CDTF">2024-01-24T12:39:00Z</dcterms:created>
  <dcterms:modified xsi:type="dcterms:W3CDTF">2024-01-29T11:51:00Z</dcterms:modified>
</cp:coreProperties>
</file>