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D9" w:rsidRPr="001C6903" w:rsidRDefault="00DD4BD9" w:rsidP="00FE4171">
      <w:pPr>
        <w:bidi/>
        <w:spacing w:after="120" w:line="240" w:lineRule="auto"/>
        <w:rPr>
          <w:rFonts w:asciiTheme="majorBidi" w:hAnsiTheme="majorBidi" w:cstheme="majorBidi"/>
          <w:b/>
          <w:bCs/>
          <w:color w:val="1F497D" w:themeColor="text2"/>
          <w:sz w:val="36"/>
          <w:szCs w:val="36"/>
          <w:rtl/>
        </w:rPr>
      </w:pPr>
    </w:p>
    <w:p w:rsidR="00FE4171" w:rsidRDefault="00FE4171" w:rsidP="00FE4171">
      <w:pPr>
        <w:pStyle w:val="Paragraphedeliste"/>
        <w:bidi/>
        <w:spacing w:before="240" w:line="276" w:lineRule="auto"/>
        <w:ind w:left="87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FE4171" w:rsidRPr="006E60EC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مذكرة إخبارية للمندوبية السامية للتخطيط حول</w:t>
      </w:r>
    </w:p>
    <w:p w:rsidR="00FE4171" w:rsidRPr="00486617" w:rsidRDefault="00FE4171" w:rsidP="006E60EC">
      <w:pPr>
        <w:bidi/>
        <w:spacing w:after="0" w:line="36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</w:pPr>
      <w:r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  <w:rtl/>
        </w:rPr>
        <w:t>وضعية سوق الشغل خلال سن</w:t>
      </w:r>
      <w:r w:rsidRPr="006E60EC">
        <w:rPr>
          <w:rFonts w:asciiTheme="majorBidi" w:eastAsia="Book Antiqua" w:hAnsiTheme="majorBidi" w:cstheme="majorBidi" w:hint="cs"/>
          <w:b/>
          <w:bCs/>
          <w:color w:val="1F497D" w:themeColor="text2"/>
          <w:sz w:val="34"/>
          <w:szCs w:val="34"/>
          <w:rtl/>
        </w:rPr>
        <w:t xml:space="preserve">ة </w:t>
      </w:r>
      <w:r w:rsidR="00517C45" w:rsidRPr="006E60EC">
        <w:rPr>
          <w:rFonts w:asciiTheme="majorBidi" w:eastAsia="Book Antiqua" w:hAnsiTheme="majorBidi" w:cstheme="majorBidi"/>
          <w:b/>
          <w:bCs/>
          <w:color w:val="1F497D" w:themeColor="text2"/>
          <w:sz w:val="34"/>
          <w:szCs w:val="34"/>
        </w:rPr>
        <w:t>2023</w:t>
      </w:r>
    </w:p>
    <w:p w:rsidR="00FE4171" w:rsidRPr="003B5873" w:rsidRDefault="00FE4171" w:rsidP="003B5873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  </w:t>
      </w:r>
    </w:p>
    <w:p w:rsidR="00FE4171" w:rsidRDefault="0086712D" w:rsidP="0086712D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lang w:bidi="tzm-Arab-MA"/>
        </w:rPr>
      </w:pP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ما بين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سنتي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2022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2023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فقد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الاقتصاد الوطني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157.000 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شغل، نتيجة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</w:t>
      </w:r>
      <w:r w:rsidR="003B19D2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قدان 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198.000</w:t>
      </w:r>
      <w:r w:rsidR="003B19D2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</w:t>
      </w:r>
      <w:r w:rsidR="003B19D2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الوسط القروي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و</w:t>
      </w:r>
      <w:r w:rsidR="00FE4171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إحداث </w:t>
      </w:r>
      <w:r w:rsidR="00FE4171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41.000</w:t>
      </w:r>
      <w:r w:rsidR="00FE4171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FE4171"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الحضري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،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بعد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فقد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ان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24.000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منصب</w:t>
      </w:r>
      <w:r w:rsidR="003B19D2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سنة من قبل.</w:t>
      </w:r>
    </w:p>
    <w:p w:rsidR="00372AEF" w:rsidRDefault="00FE4171" w:rsidP="00372AEF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  <w:lang w:bidi="tzm-Arab-MA"/>
        </w:rPr>
      </w:pP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ساهم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قطاع"البناء والأشغال العمومية"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في </w:t>
      </w:r>
      <w:r w:rsidR="00D615F1"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إ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حد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ا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ث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19.000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منصب شغل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قطاع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الخدمات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15.000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منصب شغل 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"الصناعة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بما فيها الصناعة التقليدية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7.000 منصب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حين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فقد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قطاع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"الفلاحة والغابة والصيد"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202.000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منصب.</w:t>
      </w:r>
    </w:p>
    <w:p w:rsidR="00CC78DE" w:rsidRPr="003B5873" w:rsidRDefault="00CC78DE" w:rsidP="00372AEF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وبزيادة قدرها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138.000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شخص، منهم</w:t>
      </w:r>
      <w:r w:rsidR="00372AE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 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98.000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بالوسط الحضري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40.000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القروي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، بلغ حجم البطالة 1.580.000 شخص على المستوى الوطني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.</w:t>
      </w:r>
    </w:p>
    <w:p w:rsidR="00366D49" w:rsidRPr="003B5873" w:rsidRDefault="00F303E6" w:rsidP="00372AEF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بذلك ارتفع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معدل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البطالة من %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11,8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%13,0على المستوى الوطني، ومن %15,8 إلى %16,8 في الوسط الحضري، ومن %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5,2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%6,3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في الوسط القروي. و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يظل هذا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المعدل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مرتفعا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في صفوف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الشباب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>البالغين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بين 15 و 24 </w:t>
      </w:r>
      <w:r w:rsidR="00D615F1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سنة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35,8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حاملي الشهادات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19,7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) والنساء (</w:t>
      </w:r>
      <w:r w:rsidR="00366D49"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%</w:t>
      </w:r>
      <w:r w:rsidR="001815AF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18,3</w:t>
      </w:r>
      <w:r w:rsidR="00366D49"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).</w:t>
      </w:r>
    </w:p>
    <w:p w:rsidR="00366D49" w:rsidRPr="003B5873" w:rsidRDefault="00366D49" w:rsidP="003B5873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</w:pP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</w:t>
      </w:r>
      <w:r w:rsidRP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كما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انتقل حجم الشغل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الناقص، خلال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نفس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الفترة، من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972.000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1.043.000 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شخص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B5873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، من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520.000</w:t>
      </w:r>
      <w:r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560.000 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الحضري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ومن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452.000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إلى 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483.000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وسط ال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قر</w:t>
      </w:r>
      <w:r w:rsidRPr="00366D49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>وي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. وهكذا انتقل</w:t>
      </w:r>
      <w:r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معدل الشغل الناقص 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9,0% </w:t>
      </w:r>
      <w:r w:rsid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إلى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9,8%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على المستوى الوطني، ومن</w:t>
      </w:r>
      <w:r w:rsid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="00372AE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  <w:lang w:bidi="tzm-Arab-MA"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8,1%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8,7% </w:t>
      </w:r>
      <w:r w:rsid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بالوسط الحضري</w:t>
      </w:r>
      <w:r w:rsidR="003B5873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ومن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 xml:space="preserve">10,4% 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>إلى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  <w:t>11,6%</w:t>
      </w:r>
      <w:r w:rsidRPr="00366D49"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  <w:t xml:space="preserve"> بالوسط القروي.</w:t>
      </w:r>
    </w:p>
    <w:p w:rsidR="00366D49" w:rsidRPr="00366D49" w:rsidRDefault="00366D49" w:rsidP="00366D49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  <w:rtl/>
        </w:rPr>
      </w:pPr>
    </w:p>
    <w:p w:rsidR="00F303E6" w:rsidRPr="003B5873" w:rsidRDefault="00F303E6" w:rsidP="003B5873">
      <w:pPr>
        <w:bidi/>
        <w:spacing w:line="360" w:lineRule="auto"/>
        <w:jc w:val="both"/>
        <w:rPr>
          <w:rFonts w:asciiTheme="majorBidi" w:eastAsia="Book Antiqua" w:hAnsiTheme="majorBidi" w:cstheme="majorBidi"/>
          <w:b/>
          <w:bCs/>
          <w:color w:val="1F497D" w:themeColor="text2"/>
          <w:sz w:val="28"/>
          <w:szCs w:val="28"/>
        </w:rPr>
      </w:pPr>
    </w:p>
    <w:p w:rsidR="00FE4171" w:rsidRPr="003A05AF" w:rsidRDefault="00FE4171" w:rsidP="00FE4171">
      <w:pPr>
        <w:pStyle w:val="MMTopic2"/>
        <w:numPr>
          <w:ilvl w:val="0"/>
          <w:numId w:val="6"/>
        </w:numPr>
        <w:bidi/>
        <w:spacing w:line="360" w:lineRule="auto"/>
        <w:jc w:val="both"/>
        <w:rPr>
          <w:rFonts w:ascii="Book Antiqua" w:hAnsi="Book Antiqua" w:cstheme="majorHAnsi"/>
          <w:b/>
          <w:bCs/>
          <w:color w:val="244061" w:themeColor="accent1" w:themeShade="80"/>
          <w:spacing w:val="-10"/>
          <w:kern w:val="28"/>
          <w:sz w:val="28"/>
          <w:szCs w:val="28"/>
          <w:lang w:val="fr-FR"/>
        </w:rPr>
      </w:pPr>
      <w:r w:rsidRPr="003A05AF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val="fr-FR"/>
        </w:rPr>
        <w:lastRenderedPageBreak/>
        <w:t>النشاط</w:t>
      </w:r>
      <w:r w:rsidRPr="003A05AF">
        <w:rPr>
          <w:rFonts w:ascii="Times New Roman" w:hAnsi="Times New Roman" w:cs="Times New Roman"/>
          <w:b/>
          <w:bCs/>
          <w:color w:val="244061" w:themeColor="accent1" w:themeShade="80"/>
          <w:spacing w:val="-10"/>
          <w:kern w:val="28"/>
          <w:sz w:val="28"/>
          <w:szCs w:val="28"/>
          <w:lang w:val="fr-FR"/>
        </w:rPr>
        <w:t xml:space="preserve"> </w:t>
      </w:r>
      <w:r w:rsidRPr="003A05AF">
        <w:rPr>
          <w:rFonts w:ascii="Times New Roman" w:hAnsi="Times New Roman" w:cs="Times New Roman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val="fr-FR"/>
        </w:rPr>
        <w:t>والشغل</w:t>
      </w:r>
    </w:p>
    <w:p w:rsidR="00FE4171" w:rsidRPr="003A05AF" w:rsidRDefault="00FE4171" w:rsidP="00D615F1">
      <w:pPr>
        <w:pStyle w:val="MMTopic2"/>
        <w:bidi/>
        <w:spacing w:line="360" w:lineRule="auto"/>
        <w:ind w:left="567"/>
        <w:jc w:val="both"/>
        <w:rPr>
          <w:rFonts w:ascii="Book Antiqua" w:hAnsi="Book Antiqua" w:cstheme="minorBidi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</w:pPr>
      <w:r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تراجع معدل </w:t>
      </w:r>
      <w:r w:rsidR="00D615F1"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النشاط و </w:t>
      </w:r>
      <w:r w:rsidRPr="003A05AF">
        <w:rPr>
          <w:rFonts w:ascii="Book Antiqua" w:hAnsi="Book Antiqua" w:cstheme="minorBidi" w:hint="cs"/>
          <w:b/>
          <w:bCs/>
          <w:color w:val="31849B" w:themeColor="accent5" w:themeShade="BF"/>
          <w:spacing w:val="-10"/>
          <w:kern w:val="28"/>
          <w:sz w:val="28"/>
          <w:szCs w:val="28"/>
          <w:rtl/>
          <w:lang w:val="fr-FR" w:bidi="ar-MA"/>
        </w:rPr>
        <w:t xml:space="preserve">الشغل 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 النشاط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ما بين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سنتي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2022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2023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Book Antiqua" w:hAnsiTheme="majorBidi" w:cstheme="majorBidi"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0,7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ليبلغ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43,6%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ويعزى هذا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الانخفاض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 زيادة السكان في سن النشاط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(15 سنة فأكثر) 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1,4%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وانخفاض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السكان النشيطين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0,2%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كان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هذ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التراجع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مهما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-1,8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نقطة) مقارنة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-0,1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نقطة)</w:t>
      </w:r>
      <w:r w:rsidRPr="003A05AF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حيث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انتقل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النشاط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على التوالي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49,1%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47,3%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41,9%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41,8%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كما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نخفض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هذا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المعدل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بـ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0,8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النساء ليبلغ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مقابل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69%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372A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لدى الرجال</w:t>
      </w:r>
      <w:r w:rsidR="00372AE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0,6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-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نقطة).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3A05A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مبيان 1: تطور معدل النشاط  منذ سنة 2017</w:t>
      </w:r>
      <w:r w:rsidRPr="003A05AF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3A05AF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  <w:rtl/>
        </w:rPr>
      </w:pPr>
      <w:r w:rsidRPr="003A05AF">
        <w:rPr>
          <w:rFonts w:asciiTheme="majorBidi" w:hAnsiTheme="majorBidi" w:cs="Times New Roman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5760720" cy="1847767"/>
            <wp:effectExtent l="0" t="0" r="0" b="0"/>
            <wp:docPr id="2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E4171" w:rsidRPr="003A05AF" w:rsidRDefault="00FE4171" w:rsidP="001815A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ومن جهته،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تراجع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معدل</w:t>
      </w:r>
      <w:r w:rsidR="00181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الشغل من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39,1%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38%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-1,1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حيث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سجل تراجعا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بــ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2,2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نقطة بالوسط القروي (من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46,5%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44,3%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وتراجع بــ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0,5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بـالوسط الحضري (من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35,3%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إلى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34,8%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). ومن جهة أخرى، سجل هذا المعدل انخفاضا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بــ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1,4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نقطة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صفوف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الرجال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0,9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 في صفوف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النساء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</w:p>
    <w:p w:rsidR="00FE4171" w:rsidRPr="003A05AF" w:rsidRDefault="00FE4171" w:rsidP="00FE4171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3A05AF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مبيان 2: تطور معدل الشغل منذ سنة 2017 </w:t>
      </w:r>
      <w:r w:rsidRPr="003A05AF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A05AF">
        <w:rPr>
          <w:rFonts w:asciiTheme="majorBidi" w:hAnsiTheme="majorBidi" w:cs="Times New Roman"/>
          <w:b/>
          <w:bCs/>
          <w:noProof/>
          <w:color w:val="548DD4"/>
          <w:sz w:val="28"/>
          <w:szCs w:val="28"/>
          <w:rtl/>
          <w:lang w:eastAsia="fr-FR"/>
        </w:rPr>
        <w:drawing>
          <wp:inline distT="0" distB="0" distL="0" distR="0">
            <wp:extent cx="5200981" cy="2383783"/>
            <wp:effectExtent l="0" t="0" r="0" b="0"/>
            <wp:docPr id="4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E4171" w:rsidRPr="003A05AF" w:rsidRDefault="00FE4171" w:rsidP="00372AEF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color w:val="31849B" w:themeColor="accent5" w:themeShade="BF"/>
          <w:sz w:val="28"/>
          <w:szCs w:val="28"/>
          <w:rtl/>
          <w:lang w:eastAsia="fr-FR" w:bidi="ar-MA"/>
        </w:rPr>
      </w:pP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lastRenderedPageBreak/>
        <w:t xml:space="preserve">فقدان مناصب الشغل، </w:t>
      </w:r>
      <w:r w:rsidR="00372AE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tzm-Arab-MA"/>
        </w:rPr>
        <w:t xml:space="preserve">حصريا </w:t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>بالوسط القروي</w:t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</w:rPr>
        <w:tab/>
      </w:r>
    </w:p>
    <w:p w:rsidR="00FE4171" w:rsidRPr="003A05AF" w:rsidRDefault="00FE4171" w:rsidP="00D615F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بعد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فقدان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24.000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شغل ​​خلال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السنة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السابقة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فقد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الاقتصاد الوطني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157.000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منصب خلال سنة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2023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إحداث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41.000 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منصب شغل بالوسط الحضري</w:t>
      </w:r>
      <w:r w:rsidR="00181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198.000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</w:p>
    <w:p w:rsidR="00FE4171" w:rsidRPr="003A05AF" w:rsidRDefault="00FE4171" w:rsidP="001E3A93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حسب نوع الشغل، تم إحداث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50.000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 مؤدى عنه،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نتيجة 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59.000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وفقدان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9.000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القروي.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في حين،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انخفض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الشغل غير مؤدى عنه بــ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209.000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ويرجع ذلك أساسا إلى تراجع هذا النوع من الشغل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 بــ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1E3A93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منصب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و19.000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الحضري.</w:t>
      </w:r>
    </w:p>
    <w:p w:rsidR="00FE4171" w:rsidRDefault="00FE4171" w:rsidP="00FE4171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1446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مبيان</w:t>
      </w:r>
      <w:r w:rsidRPr="00E1446B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  <w:lang w:bidi="ar-MA"/>
        </w:rPr>
        <w:t xml:space="preserve"> </w:t>
      </w:r>
      <w:r w:rsidRPr="00E1446B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3</w:t>
      </w:r>
      <w:r w:rsidRPr="00E1446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: صافي التغير في الشغل بين سنتي </w:t>
      </w:r>
      <w:r w:rsidRPr="00E1446B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2022</w:t>
      </w:r>
      <w:r w:rsidRPr="00E1446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 w:rsidRPr="00E1446B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2023</w:t>
      </w:r>
      <w:r w:rsidRPr="00E1446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حسب</w:t>
      </w:r>
      <w:r w:rsidRPr="00E1446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 w:bidi="tzm-Arab-MA"/>
        </w:rPr>
        <w:t xml:space="preserve"> نوع الشغل</w:t>
      </w:r>
      <w:r w:rsidRPr="00E1446B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وسط الإقامة</w:t>
      </w:r>
      <w:r w:rsidR="00E1446B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.</w:t>
      </w:r>
    </w:p>
    <w:p w:rsidR="00E1446B" w:rsidRPr="003A05AF" w:rsidRDefault="00E1446B" w:rsidP="00E1446B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E1446B">
        <w:rPr>
          <w:rFonts w:asciiTheme="majorBidi" w:eastAsia="Times New Roman" w:hAnsiTheme="majorBidi" w:cs="Times New Roman"/>
          <w:b/>
          <w:bCs/>
          <w:noProof/>
          <w:sz w:val="24"/>
          <w:szCs w:val="24"/>
          <w:rtl/>
          <w:lang w:eastAsia="fr-FR"/>
        </w:rPr>
        <w:drawing>
          <wp:inline distT="0" distB="0" distL="0" distR="0">
            <wp:extent cx="5237979" cy="2003223"/>
            <wp:effectExtent l="0" t="0" r="0" b="0"/>
            <wp:docPr id="5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4171" w:rsidRPr="003A05AF" w:rsidRDefault="00FE4171" w:rsidP="0059623B">
      <w:pPr>
        <w:spacing w:before="240" w:after="200" w:line="276" w:lineRule="auto"/>
        <w:jc w:val="right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tzm-Arab-MA"/>
        </w:rPr>
      </w:pPr>
      <w:r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>قطاع الخدمات وقطاع "الفلاحة والغابات والصيد"</w:t>
      </w:r>
      <w:r w:rsidRPr="003A05AF">
        <w:rPr>
          <w:rFonts w:asciiTheme="majorBidi" w:hAnsiTheme="majorBidi" w:cstheme="majorBidi" w:hint="eastAsia"/>
          <w:b/>
          <w:bCs/>
          <w:color w:val="31849B" w:themeColor="accent5" w:themeShade="BF"/>
          <w:sz w:val="28"/>
          <w:szCs w:val="28"/>
          <w:rtl/>
          <w:lang w:bidi="ar-MA"/>
        </w:rPr>
        <w:t>في</w:t>
      </w:r>
      <w:r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 مقدمة القطاعات </w:t>
      </w:r>
      <w:r w:rsidR="0059623B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tzm-Arab-MA"/>
        </w:rPr>
        <w:t>المشغلة</w:t>
      </w:r>
    </w:p>
    <w:p w:rsidR="00FE4171" w:rsidRPr="003A05AF" w:rsidRDefault="00FE4171" w:rsidP="003F5E1C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2023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شغل قطاع الخدمات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48,3%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نشيط مشتغل، يليه قطاع "الفلاحة والغابة والصيد" 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27,8%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وساهم قطاع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"الصناعة بما فيها الصناعة التقليدية"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 من جهته،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بنسبة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12,2%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في حين، شغل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"البناء والأشغال العمومية"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11,6%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 النشيطين المشتغلين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FE4171" w:rsidRPr="003A05AF" w:rsidRDefault="00FE4171" w:rsidP="0059623B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يشتغل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ما يق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رب ثلثي النشيطين المشتغلين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قرويين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64%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قطاع "الفلاحة والغابة والصيد"، </w:t>
      </w:r>
      <w:r w:rsidR="005962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كما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يشتغل ثلث</w:t>
      </w:r>
      <w:r w:rsidR="005962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النشيطين المشتغلين بالوسط الحضري (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66,5%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"الخدمات".</w:t>
      </w:r>
    </w:p>
    <w:p w:rsidR="00FE4171" w:rsidRPr="003A05AF" w:rsidRDefault="00FE4171" w:rsidP="00FE4171">
      <w:pPr>
        <w:pStyle w:val="PrformatHTML"/>
        <w:shd w:val="clear" w:color="auto" w:fill="FFFFFF"/>
        <w:bidi/>
        <w:spacing w:before="240" w:after="240" w:line="312" w:lineRule="auto"/>
        <w:jc w:val="both"/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lang w:bidi="ar-MA"/>
        </w:rPr>
      </w:pPr>
      <w:r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إحداث مناصب الشغل </w:t>
      </w:r>
      <w:r w:rsidRPr="003A05AF">
        <w:rPr>
          <w:rFonts w:asciiTheme="majorBidi" w:hAnsiTheme="majorBidi" w:cstheme="majorBidi" w:hint="cs"/>
          <w:b/>
          <w:bCs/>
          <w:color w:val="31849B" w:themeColor="accent5" w:themeShade="BF"/>
          <w:sz w:val="28"/>
          <w:szCs w:val="28"/>
          <w:rtl/>
          <w:lang w:bidi="ar-MA"/>
        </w:rPr>
        <w:t xml:space="preserve">حسب </w:t>
      </w:r>
      <w:r w:rsidRPr="003A05AF">
        <w:rPr>
          <w:rFonts w:asciiTheme="majorBidi" w:hAnsiTheme="majorBidi" w:cstheme="majorBidi"/>
          <w:b/>
          <w:bCs/>
          <w:color w:val="31849B" w:themeColor="accent5" w:themeShade="BF"/>
          <w:sz w:val="28"/>
          <w:szCs w:val="28"/>
          <w:rtl/>
          <w:lang w:bidi="ar-MA"/>
        </w:rPr>
        <w:t>القطاعات</w:t>
      </w:r>
    </w:p>
    <w:p w:rsidR="00FE4171" w:rsidRPr="003A05AF" w:rsidRDefault="00FE4171" w:rsidP="0059623B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خلال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2023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"البناء والأشغال العمومية"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19.000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ا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شغل،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24.000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 بالوسط </w:t>
      </w:r>
      <w:r w:rsidR="005962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القروي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5.000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</w:t>
      </w:r>
      <w:r w:rsidR="0059623B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الحضري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</w:p>
    <w:p w:rsidR="00FE4171" w:rsidRDefault="00FE4171" w:rsidP="000F2EA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كما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الخدمات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15.000</w:t>
      </w:r>
      <w:r w:rsidRP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شغل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على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الصعيد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الوطني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إحداث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33.0000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الحضري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فقدان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18.000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القروي</w:t>
      </w:r>
      <w:r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="00A1757A"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ويأتي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إحداث مناصب الشغل</w:t>
      </w:r>
      <w:r w:rsidR="00AA0975" w:rsidRPr="00CD189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AA0975"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الجديدة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بهذا </w:t>
      </w:r>
      <w:r w:rsidR="00A1757A" w:rsidRPr="00CD189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lastRenderedPageBreak/>
        <w:t>القطاع أساسا من إحداث</w:t>
      </w:r>
      <w:r w:rsidR="00D05FBC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31.000 </w:t>
      </w:r>
      <w:r w:rsidR="00A1757A" w:rsidRPr="00CD189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منصب شغل من خلال </w:t>
      </w:r>
      <w:r w:rsidR="001815AF"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D05FBC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الخدمات ال</w:t>
      </w:r>
      <w:r w:rsidR="00D05FBC"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إ</w:t>
      </w:r>
      <w:r w:rsidR="00D05FBC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جتماعية المقدمة </w:t>
      </w:r>
      <w:r w:rsidR="00CD1890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للمجتمع</w:t>
      </w:r>
      <w:r w:rsidR="001815AF"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       </w:t>
      </w:r>
      <w:r w:rsidR="00A1757A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="00AA0975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>(التعليم</w:t>
      </w:r>
      <w:r w:rsidR="00AA0975" w:rsidRPr="00CD1890">
        <w:rPr>
          <w:rFonts w:asciiTheme="majorBidi" w:eastAsia="Times New Roman" w:hAnsiTheme="majorBidi" w:cs="Times New Roman"/>
          <w:sz w:val="28"/>
          <w:szCs w:val="28"/>
          <w:rtl/>
          <w:lang w:eastAsia="fr-FR" w:bidi="ar-MA"/>
        </w:rPr>
        <w:t xml:space="preserve">، </w:t>
      </w:r>
      <w:r w:rsidR="00D05FBC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ال</w:t>
      </w:r>
      <w:r w:rsidR="00AA0975" w:rsidRPr="00CD1890">
        <w:rPr>
          <w:rFonts w:asciiTheme="majorBidi" w:eastAsia="Times New Roman" w:hAnsiTheme="majorBidi" w:cs="Times New Roman"/>
          <w:sz w:val="28"/>
          <w:szCs w:val="28"/>
          <w:rtl/>
          <w:lang w:eastAsia="fr-FR" w:bidi="ar-MA"/>
        </w:rPr>
        <w:t xml:space="preserve">صحة، العمل </w:t>
      </w:r>
      <w:r w:rsidR="00CD1890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>ال</w:t>
      </w:r>
      <w:r w:rsidR="00CD1890"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</w:t>
      </w:r>
      <w:r w:rsidR="00CD1890" w:rsidRP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ar-MA"/>
        </w:rPr>
        <w:t>جتماعي</w:t>
      </w:r>
      <w:r w:rsidR="00AA0975" w:rsidRPr="00CD1890">
        <w:rPr>
          <w:rFonts w:asciiTheme="majorBidi" w:eastAsia="Times New Roman" w:hAnsiTheme="majorBidi" w:cs="Times New Roman"/>
          <w:sz w:val="28"/>
          <w:szCs w:val="28"/>
          <w:rtl/>
          <w:lang w:eastAsia="fr-FR" w:bidi="ar-MA"/>
        </w:rPr>
        <w:t>، وغيرها)</w:t>
      </w:r>
      <w:r w:rsidR="000F2EA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فرع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الإيواء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والمطاعم (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21.000+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شغل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0F2EA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 في حين ت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 تسجيل فقدان مناصب الشغل بهذا القطاع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أساس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ا بفرع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التجارة (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74.000-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="001815AF" w:rsidRP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شغل</w:t>
      </w:r>
      <w:r w:rsidRP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).</w:t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كما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قطاع "الصناعة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بما فيها الصناعة التقليدية"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7.000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(4.000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بالوسط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الحضري و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3.000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بالوسط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القروي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) .</w:t>
      </w:r>
    </w:p>
    <w:p w:rsidR="00FE4171" w:rsidRPr="003A05AF" w:rsidRDefault="00FE4171" w:rsidP="001815AF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في حين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فقد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والغابات والصيد"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202.000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</w:t>
      </w:r>
      <w:r w:rsidR="00181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شغل</w:t>
      </w:r>
      <w:r w:rsidR="00181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نتيجة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فقدان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207.000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منصب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بالوسط القروي بالوسط الحضري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إحداث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5.000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.</w:t>
      </w:r>
    </w:p>
    <w:p w:rsidR="00FE4171" w:rsidRPr="003A05AF" w:rsidRDefault="00FE4171" w:rsidP="00FE4171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</w:pPr>
      <w:r w:rsidRPr="003A05AF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مبيان</w:t>
      </w:r>
      <w:r w:rsidRPr="003A05AF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</w:t>
      </w:r>
      <w:r w:rsidRPr="003A05AF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4</w:t>
      </w:r>
      <w:r w:rsidRPr="003A05AF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: صافي التغير في الشغل بين سنتي </w:t>
      </w:r>
      <w:r w:rsidRPr="003A05AF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>2022</w:t>
      </w:r>
      <w:r w:rsidRPr="003A05AF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 و</w:t>
      </w:r>
      <w:r w:rsidRPr="003A05AF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2023 </w:t>
      </w:r>
      <w:r w:rsidRPr="003A05AF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حسب قطاعات النشاط الاقتصادي ووسط الإقامة</w:t>
      </w:r>
      <w:r w:rsidRPr="003A05AF">
        <w:rPr>
          <w:rStyle w:val="Appelnotedebasdep"/>
          <w:rFonts w:asciiTheme="majorBidi" w:hAnsiTheme="majorBidi" w:cstheme="majorBidi"/>
          <w:b/>
          <w:bCs/>
          <w:sz w:val="24"/>
          <w:szCs w:val="24"/>
          <w:rtl/>
        </w:rPr>
        <w:footnoteReference w:id="2"/>
      </w:r>
    </w:p>
    <w:p w:rsidR="00FE4171" w:rsidRPr="003A05AF" w:rsidRDefault="00FE4171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color w:val="548DD4"/>
          <w:sz w:val="32"/>
          <w:szCs w:val="32"/>
        </w:rPr>
      </w:pPr>
      <w:r w:rsidRPr="003A05AF">
        <w:rPr>
          <w:rFonts w:asciiTheme="majorBidi" w:hAnsiTheme="majorBidi" w:cs="Times New Roman"/>
          <w:b/>
          <w:bCs/>
          <w:noProof/>
          <w:color w:val="548DD4"/>
          <w:sz w:val="32"/>
          <w:szCs w:val="32"/>
          <w:rtl/>
          <w:lang w:eastAsia="fr-FR"/>
        </w:rPr>
        <w:drawing>
          <wp:inline distT="0" distB="0" distL="0" distR="0">
            <wp:extent cx="5760720" cy="2326704"/>
            <wp:effectExtent l="0" t="0" r="0" b="0"/>
            <wp:docPr id="10" name="Graphique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4171" w:rsidRDefault="00FE4171" w:rsidP="003F5E1C">
      <w:pPr>
        <w:bidi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حسب نوع الشغل،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أحدث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قطاع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الخدمات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30.000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منصب شغل مؤدى عنه وفقد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15.000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منصب غير مؤدى عنه. كما أ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حدث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"البناء والأشغال العمومية"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20.000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منصب شغل مؤدى عنه وفقد 1.000 منصب غير مؤدى عنه. أما قطاع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"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الصناعة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بما فيها الصناعة التقليدية"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أ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حدث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10.000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منصب شغل مؤدى عنه وفقد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3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.000 منصب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شغل غير مؤدى عنه. من جهته، فقد </w:t>
      </w:r>
      <w:r w:rsidRPr="003A05AF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قطاع "الفلاحة والغابات والصيد"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3A05AF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190.000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منصب شغل غير مؤدى عنه و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12</w:t>
      </w:r>
      <w:r w:rsidRPr="003A0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.000 منصب مؤدى عنه.</w:t>
      </w:r>
    </w:p>
    <w:p w:rsidR="001815AF" w:rsidRDefault="001815AF">
      <w:p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br w:type="page"/>
      </w:r>
    </w:p>
    <w:p w:rsidR="00FE4171" w:rsidRPr="003B5873" w:rsidRDefault="00FE4171" w:rsidP="003B5873">
      <w:pPr>
        <w:pStyle w:val="Paragraphedeliste"/>
        <w:numPr>
          <w:ilvl w:val="0"/>
          <w:numId w:val="6"/>
        </w:num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3B5873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>البطالة والشغل الناقص</w:t>
      </w:r>
    </w:p>
    <w:p w:rsidR="00FE4171" w:rsidRPr="00FC3E3F" w:rsidRDefault="00FE4171" w:rsidP="00FE4171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</w:pPr>
      <w:r w:rsidRPr="005005C9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="00635C68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معدلات</w:t>
      </w:r>
      <w:r w:rsidR="00635C68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Pr="00FC3E3F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البطالة</w:t>
      </w:r>
    </w:p>
    <w:p w:rsidR="00FE4171" w:rsidRPr="00486AE7" w:rsidRDefault="00FE4171" w:rsidP="00CD189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B4434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إرتفع</w:t>
      </w:r>
      <w:r w:rsid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شخص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،ما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سنتي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2023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 منتقلا 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442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580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عاطل، وهوما يعادل </w:t>
      </w:r>
      <w:r w:rsidRPr="00B4434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ارتفاعا</w:t>
      </w:r>
      <w:r w:rsidR="00635C68"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قدره</w:t>
      </w:r>
      <w:r>
        <w:rPr>
          <w:rFonts w:ascii="Book Antiqua" w:hAnsi="Book Antiqua" w:cs="Times New Roman"/>
          <w:sz w:val="28"/>
          <w:szCs w:val="28"/>
        </w:rPr>
        <w:t>10</w:t>
      </w:r>
      <w:r w:rsidRPr="00486AE7">
        <w:rPr>
          <w:rFonts w:ascii="Book Antiqua" w:hAnsi="Book Antiqua" w:cs="Times New Roman"/>
          <w:sz w:val="28"/>
          <w:szCs w:val="28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وذلك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نتيجة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B44340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ارتفاع</w:t>
      </w:r>
      <w:r w:rsid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عدد العاطلين بــ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98.000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شخص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و بـ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القروي.</w:t>
      </w:r>
    </w:p>
    <w:p w:rsidR="00FE4171" w:rsidRPr="00486AE7" w:rsidRDefault="00FE4171" w:rsidP="00CD189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  <w:rtl/>
          <w:lang w:eastAsia="fr-FR" w:bidi="ar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وهكذا،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معدل البطالة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ما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بين </w:t>
      </w:r>
      <w:r w:rsidR="00CD1890"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سنتي 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2022</w:t>
      </w:r>
      <w:r w:rsid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2023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181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CD1890"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Pr="00486AE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. 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وحسب</w:t>
      </w:r>
      <w:r w:rsidR="001815AF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وسط الإقامة، انتقل معدل البطالة 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(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+1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بالوسط القروي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الحضري (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+</w:t>
      </w:r>
      <w:r w:rsidRPr="00486AE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نقطة).</w:t>
      </w:r>
    </w:p>
    <w:p w:rsidR="00FE4171" w:rsidRPr="00CA2562" w:rsidRDefault="00FE4171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4"/>
          <w:szCs w:val="24"/>
          <w:rtl/>
          <w:lang w:eastAsia="fr-FR" w:bidi="ar-MA"/>
        </w:rPr>
      </w:pPr>
      <w:r w:rsidRPr="003B5873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 xml:space="preserve">مبيان </w:t>
      </w:r>
      <w:r w:rsidRPr="003B5873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5</w:t>
      </w:r>
      <w:r w:rsidRPr="003B5873">
        <w:rPr>
          <w:rFonts w:asciiTheme="majorBidi" w:eastAsia="Times New Roman" w:hAnsiTheme="majorBidi" w:cstheme="majorBidi"/>
          <w:b/>
          <w:bCs/>
          <w:sz w:val="24"/>
          <w:szCs w:val="24"/>
          <w:rtl/>
          <w:lang w:eastAsia="fr-FR"/>
        </w:rPr>
        <w:t>:</w:t>
      </w:r>
      <w:r w:rsidRPr="003B5873">
        <w:rPr>
          <w:rFonts w:asciiTheme="majorBidi" w:eastAsia="Times New Roman" w:hAnsiTheme="majorBidi" w:cstheme="majorBidi" w:hint="cs"/>
          <w:b/>
          <w:bCs/>
          <w:sz w:val="24"/>
          <w:szCs w:val="24"/>
          <w:rtl/>
          <w:lang w:eastAsia="fr-FR"/>
        </w:rPr>
        <w:t xml:space="preserve"> تطور معدل البطالة </w:t>
      </w:r>
      <w:r w:rsidRPr="003B5873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منذ سنة 2017 </w:t>
      </w:r>
      <w:r w:rsidRPr="003B5873">
        <w:rPr>
          <w:rFonts w:asciiTheme="majorBidi" w:hAnsiTheme="majorBidi" w:cstheme="majorBidi"/>
          <w:b/>
          <w:bCs/>
          <w:sz w:val="24"/>
          <w:szCs w:val="24"/>
          <w:rtl/>
        </w:rPr>
        <w:t>(ب %)</w:t>
      </w:r>
    </w:p>
    <w:p w:rsidR="00FE4171" w:rsidRPr="001C6903" w:rsidRDefault="003B5873" w:rsidP="00FE4171">
      <w:pPr>
        <w:autoSpaceDE w:val="0"/>
        <w:autoSpaceDN w:val="0"/>
        <w:bidi/>
        <w:adjustRightInd w:val="0"/>
        <w:spacing w:line="360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3B5873">
        <w:rPr>
          <w:rFonts w:asciiTheme="majorBidi" w:eastAsia="Times New Roman" w:hAnsiTheme="majorBidi" w:cs="Times New Roman"/>
          <w:noProof/>
          <w:sz w:val="28"/>
          <w:szCs w:val="28"/>
          <w:rtl/>
          <w:lang w:eastAsia="fr-FR"/>
        </w:rPr>
        <w:drawing>
          <wp:inline distT="0" distB="0" distL="0" distR="0">
            <wp:extent cx="4318212" cy="1765300"/>
            <wp:effectExtent l="0" t="0" r="0" b="0"/>
            <wp:docPr id="1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E4171" w:rsidRPr="001B672F" w:rsidRDefault="00FE4171" w:rsidP="00CD189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وارتفع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البطالة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635C68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CD1890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لدى الرجال</w:t>
      </w:r>
      <w:r w:rsid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>،</w:t>
      </w:r>
      <w:r w:rsidR="00CD1890" w:rsidRPr="00CD1890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و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بــ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1 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CD1890" w:rsidRPr="00194591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لدى </w:t>
      </w:r>
      <w:r w:rsidR="00CD1890" w:rsidRPr="003367F8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النساء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منتقلا من 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C0C7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  <w:r w:rsidR="00CD1890">
        <w:rPr>
          <w:rFonts w:asciiTheme="majorBidi" w:eastAsia="Times New Roman" w:hAnsiTheme="majorBidi" w:cstheme="majorBidi"/>
          <w:sz w:val="26"/>
          <w:szCs w:val="26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ارتفع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هذا ال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معدل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حاملي الشهادات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نقطة،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منتقلا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486AE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>
        <w:rPr>
          <w:rFonts w:asciiTheme="majorBidi" w:eastAsia="Times New Roman" w:hAnsiTheme="majorBidi" w:cs="Times New Roman"/>
          <w:sz w:val="28"/>
          <w:szCs w:val="28"/>
          <w:lang w:eastAsia="fr-FR" w:bidi="tzm-Arab-MA"/>
        </w:rPr>
        <w:t>0,7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نقطة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في صفوف الأشخاص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لذين لا يتوفرون على أي شهادة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 منتقلا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FE4171" w:rsidRPr="001B672F" w:rsidRDefault="00FE4171" w:rsidP="00CD1890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</w:pP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وبالإضافة إلى ذلك، شمل هذ</w:t>
      </w:r>
      <w:r w:rsidR="00CD1890">
        <w:rPr>
          <w:rFonts w:asciiTheme="majorBidi" w:eastAsia="Times New Roman" w:hAnsiTheme="majorBidi" w:cs="Times New Roman" w:hint="cs"/>
          <w:sz w:val="28"/>
          <w:szCs w:val="28"/>
          <w:rtl/>
          <w:lang w:eastAsia="fr-FR" w:bidi="tzm-Arab-MA"/>
        </w:rPr>
        <w:t xml:space="preserve">ا الارتفاع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 xml:space="preserve">جميع الفئات العمرية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حيث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ارتفع معدل البطالة 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 لدى الشباب المتراوحة أعمارهم بين 15 و 24 سنة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،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منتقلا من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25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34 سنة منتقلا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20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لدى ا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المتراوحة أعمارهم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بين3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5 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و4</w:t>
      </w:r>
      <w:r w:rsidR="00CD1890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4 سنة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منتقلا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،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B9796E">
        <w:rPr>
          <w:rFonts w:asciiTheme="majorBidi" w:eastAsia="Times New Roman" w:hAnsiTheme="majorBidi" w:cs="Times New Roman"/>
          <w:sz w:val="28"/>
          <w:szCs w:val="28"/>
          <w:rtl/>
          <w:lang w:eastAsia="fr-FR" w:bidi="tzm-Arab-MA"/>
        </w:rPr>
        <w:t>و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بـ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0,</w:t>
      </w:r>
      <w:r w:rsidR="00CD1890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نقطة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منتقلا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CD1890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لدى ا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لأشخاص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البالغين من العمر 45 سنة فما فوق</w:t>
      </w:r>
      <w:r w:rsidRPr="001B672F">
        <w:rPr>
          <w:rFonts w:asciiTheme="majorBidi" w:eastAsia="Times New Roman" w:hAnsiTheme="majorBidi" w:cstheme="majorBidi"/>
          <w:sz w:val="26"/>
          <w:szCs w:val="26"/>
          <w:rtl/>
          <w:lang w:eastAsia="fr-FR" w:bidi="tzm-Arab-MA"/>
        </w:rPr>
        <w:t>.</w:t>
      </w:r>
    </w:p>
    <w:p w:rsidR="001815AF" w:rsidRDefault="001815AF" w:rsidP="00FE4171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 w:bidi="tzm-Arab-MA"/>
        </w:rPr>
      </w:pPr>
    </w:p>
    <w:p w:rsidR="001815AF" w:rsidRDefault="001815AF" w:rsidP="001815AF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 w:bidi="tzm-Arab-MA"/>
        </w:rPr>
      </w:pPr>
    </w:p>
    <w:p w:rsidR="001815AF" w:rsidRDefault="001815AF" w:rsidP="001815AF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 w:bidi="tzm-Arab-MA"/>
        </w:rPr>
      </w:pPr>
    </w:p>
    <w:p w:rsidR="00FE4171" w:rsidRPr="00AC38D9" w:rsidRDefault="00FE4171" w:rsidP="001815AF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lang w:eastAsia="fr-FR"/>
        </w:rPr>
      </w:pP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lastRenderedPageBreak/>
        <w:t>مبيان 6: تطور معدل البطالة بين سنتي</w:t>
      </w:r>
      <w:r>
        <w:rPr>
          <w:rFonts w:eastAsia="Times New Roman"/>
          <w:b/>
          <w:bCs/>
          <w:sz w:val="24"/>
          <w:szCs w:val="24"/>
          <w:lang w:eastAsia="fr-FR"/>
        </w:rPr>
        <w:t>2022</w:t>
      </w:r>
      <w:r w:rsidR="000C0C79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و</w:t>
      </w:r>
      <w:r w:rsidR="000C0C79"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fr-FR"/>
        </w:rPr>
        <w:t>2023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ل</w:t>
      </w:r>
      <w:r w:rsidRPr="00AC38D9">
        <w:rPr>
          <w:rFonts w:eastAsia="Times New Roman"/>
          <w:b/>
          <w:bCs/>
          <w:sz w:val="24"/>
          <w:szCs w:val="24"/>
          <w:rtl/>
          <w:lang w:eastAsia="fr-FR" w:bidi="tzm-Arab-MA"/>
        </w:rPr>
        <w:t>د</w:t>
      </w:r>
      <w:r>
        <w:rPr>
          <w:rFonts w:eastAsia="Times New Roman" w:hint="cs"/>
          <w:b/>
          <w:bCs/>
          <w:sz w:val="24"/>
          <w:szCs w:val="24"/>
          <w:rtl/>
          <w:lang w:eastAsia="fr-FR" w:bidi="ar-MA"/>
        </w:rPr>
        <w:t>ى</w:t>
      </w:r>
      <w:r w:rsidR="000C0C79">
        <w:rPr>
          <w:rFonts w:eastAsia="Times New Roman"/>
          <w:b/>
          <w:bCs/>
          <w:sz w:val="24"/>
          <w:szCs w:val="24"/>
          <w:lang w:eastAsia="fr-FR" w:bidi="ar-MA"/>
        </w:rPr>
        <w:t xml:space="preserve"> 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بعض الفئات من السكان (</w:t>
      </w:r>
      <w:r w:rsidRPr="00AC38D9">
        <w:rPr>
          <w:rFonts w:eastAsia="Times New Roman"/>
          <w:sz w:val="24"/>
          <w:szCs w:val="24"/>
          <w:rtl/>
          <w:lang w:eastAsia="fr-FR"/>
        </w:rPr>
        <w:t>%</w:t>
      </w:r>
      <w:r w:rsidRPr="00AC38D9">
        <w:rPr>
          <w:rFonts w:eastAsia="Times New Roman"/>
          <w:b/>
          <w:bCs/>
          <w:sz w:val="24"/>
          <w:szCs w:val="24"/>
          <w:rtl/>
          <w:lang w:eastAsia="fr-FR"/>
        </w:rPr>
        <w:t>)</w:t>
      </w:r>
    </w:p>
    <w:p w:rsidR="00FE4171" w:rsidRPr="001C6903" w:rsidRDefault="00FE4171" w:rsidP="00FE4171">
      <w:pPr>
        <w:pStyle w:val="Paragraphedeliste"/>
        <w:bidi/>
        <w:jc w:val="center"/>
        <w:rPr>
          <w:rFonts w:eastAsia="Times New Roman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387619" cy="2235787"/>
            <wp:effectExtent l="0" t="0" r="0" b="0"/>
            <wp:docPr id="7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E4171" w:rsidRPr="005005C9" w:rsidRDefault="00FE4171" w:rsidP="000F2EAE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ar-MA"/>
        </w:rPr>
      </w:pP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علاوة على ذلك، خلال هذه الفترة، تميزت البطالة بزيادة نسبة الأشخاص العاطلين عن العمل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حديثا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. وارتفعت نسبة الأشخاص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عاطلين عن العمل لمدة أقل من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سنة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31,3%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إلى 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33</w:t>
      </w:r>
      <w:r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,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3. وبذلك انخفض متوسط ​​مدة البطالة من 33 شهرا إلى 32 شهرا. </w:t>
      </w:r>
      <w:r w:rsidR="000F2EA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ومن جهة أخرى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، وجد 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>%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27</w:t>
      </w:r>
      <w:r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,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8 من العاطلين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في هذه الوضعية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 بعد انتهاء الدراسة أو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توقف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من</w:t>
      </w:r>
      <w:r w:rsidR="00A775D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ها و%27 بعد الفصل أو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 xml:space="preserve">توقف نشاط 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المؤسسة المشغلة</w:t>
      </w:r>
      <w:r w:rsidRPr="005005C9">
        <w:rPr>
          <w:rFonts w:asciiTheme="majorBidi" w:eastAsia="Times New Roman" w:hAnsiTheme="majorBidi" w:cstheme="majorBidi"/>
          <w:sz w:val="28"/>
          <w:szCs w:val="28"/>
          <w:rtl/>
          <w:lang w:eastAsia="fr-FR" w:bidi="ar-MA"/>
        </w:rPr>
        <w:t>.</w:t>
      </w:r>
    </w:p>
    <w:p w:rsidR="00FE4171" w:rsidRPr="007B0DB8" w:rsidRDefault="00FE4171" w:rsidP="00FE4171">
      <w:pPr>
        <w:bidi/>
        <w:spacing w:before="240" w:after="240" w:line="312" w:lineRule="auto"/>
        <w:jc w:val="both"/>
        <w:rPr>
          <w:rFonts w:asciiTheme="majorBidi" w:eastAsia="Book Antiqua" w:hAnsiTheme="majorBidi" w:cstheme="majorBidi"/>
          <w:b/>
          <w:bCs/>
          <w:color w:val="4F81BD" w:themeColor="accent1"/>
          <w:sz w:val="28"/>
          <w:szCs w:val="28"/>
          <w:rtl/>
          <w:lang w:eastAsia="fr-FR"/>
        </w:rPr>
      </w:pPr>
      <w:r w:rsidRPr="005005C9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rtl/>
          <w:lang w:eastAsia="fr-FR"/>
        </w:rPr>
        <w:t>ارتفاع</w:t>
      </w:r>
      <w:r w:rsidR="003B5873">
        <w:rPr>
          <w:rFonts w:asciiTheme="majorBidi" w:eastAsia="Book Antiqua" w:hAnsiTheme="majorBidi" w:cstheme="majorBidi"/>
          <w:b/>
          <w:bCs/>
          <w:color w:val="548DD4" w:themeColor="text2" w:themeTint="99"/>
          <w:sz w:val="28"/>
          <w:szCs w:val="28"/>
          <w:lang w:eastAsia="fr-FR"/>
        </w:rPr>
        <w:t xml:space="preserve"> </w:t>
      </w:r>
      <w:r w:rsidRPr="007B0DB8">
        <w:rPr>
          <w:rFonts w:asciiTheme="majorBidi" w:eastAsia="Book Antiqua" w:hAnsiTheme="majorBidi" w:cstheme="majorBidi" w:hint="cs"/>
          <w:b/>
          <w:bCs/>
          <w:color w:val="4F81BD" w:themeColor="accent1"/>
          <w:sz w:val="28"/>
          <w:szCs w:val="28"/>
          <w:rtl/>
          <w:lang w:eastAsia="fr-FR"/>
        </w:rPr>
        <w:t>الشغل الناقص</w:t>
      </w:r>
    </w:p>
    <w:p w:rsidR="00FE4171" w:rsidRPr="00E06707" w:rsidRDefault="00FE4171" w:rsidP="000F2EAE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انتقل حجم الشغل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الناقص، خلال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نفس</w:t>
      </w:r>
      <w:r w:rsidR="00A775D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الفترة،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972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1.043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E06707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شخص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من 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520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5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0.000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الحضري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452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.000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83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.000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وسط ال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قر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وي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وهكذا انتقل</w:t>
      </w:r>
      <w:r w:rsidR="00A775D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معدل الشغل الناقص 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0F2EA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إلى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9,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="000F2EAE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على المستوى الوطني، ومن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8,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ب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الوسط الحضري</w:t>
      </w:r>
      <w:r w:rsidR="00A775D9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ومن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0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% 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="000C0C79"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إلى</w:t>
      </w:r>
      <w:r w:rsidR="000C0C79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1,6</w:t>
      </w:r>
      <w:r w:rsidRPr="00E06707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%</w:t>
      </w:r>
      <w:r w:rsidRPr="00E06707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بالوسط القروي.</w:t>
      </w:r>
    </w:p>
    <w:p w:rsidR="00FE4171" w:rsidRPr="001C6903" w:rsidRDefault="00FE4171" w:rsidP="00FE4171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>مبيان 7: تطور معدل الشغل الناقص</w:t>
      </w:r>
      <w:r w:rsidR="000C0C79">
        <w:rPr>
          <w:rFonts w:eastAsia="Times New Roman" w:hint="cs"/>
          <w:b/>
          <w:bCs/>
          <w:sz w:val="24"/>
          <w:szCs w:val="24"/>
          <w:rtl/>
          <w:lang w:eastAsia="fr-FR" w:bidi="tzm-Arab-MA"/>
        </w:rPr>
        <w:t xml:space="preserve"> </w:t>
      </w:r>
      <w:r w:rsidRPr="001C6903">
        <w:rPr>
          <w:rFonts w:eastAsia="Times New Roman"/>
          <w:b/>
          <w:bCs/>
          <w:sz w:val="24"/>
          <w:szCs w:val="24"/>
          <w:rtl/>
          <w:lang w:eastAsia="fr-FR" w:bidi="tzm-Arab-MA"/>
        </w:rPr>
        <w:t>ما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بين سنتي </w:t>
      </w:r>
      <w:r>
        <w:rPr>
          <w:rFonts w:eastAsia="Times New Roman"/>
          <w:b/>
          <w:bCs/>
          <w:sz w:val="24"/>
          <w:szCs w:val="24"/>
          <w:lang w:eastAsia="fr-FR"/>
        </w:rPr>
        <w:t>2022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و</w:t>
      </w:r>
      <w:r>
        <w:rPr>
          <w:rFonts w:eastAsia="Times New Roman"/>
          <w:b/>
          <w:bCs/>
          <w:sz w:val="24"/>
          <w:szCs w:val="24"/>
          <w:lang w:eastAsia="fr-FR"/>
        </w:rPr>
        <w:t>2023</w:t>
      </w:r>
      <w:r w:rsidRPr="001C6903">
        <w:rPr>
          <w:rFonts w:eastAsia="Times New Roman"/>
          <w:b/>
          <w:bCs/>
          <w:sz w:val="24"/>
          <w:szCs w:val="24"/>
          <w:rtl/>
          <w:lang w:eastAsia="fr-FR"/>
        </w:rPr>
        <w:t xml:space="preserve"> حسب وسط الإقامة (%)</w:t>
      </w:r>
    </w:p>
    <w:p w:rsidR="00C55640" w:rsidRDefault="00C55640" w:rsidP="00A775D9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lang w:eastAsia="fr-FR"/>
        </w:rPr>
      </w:pPr>
    </w:p>
    <w:p w:rsidR="00FE4171" w:rsidRPr="001C6903" w:rsidRDefault="00FE4171" w:rsidP="00C55640">
      <w:pPr>
        <w:pStyle w:val="Paragraphedeliste"/>
        <w:bidi/>
        <w:jc w:val="center"/>
        <w:rPr>
          <w:rFonts w:eastAsia="Times New Roman"/>
          <w:b/>
          <w:bCs/>
          <w:sz w:val="24"/>
          <w:szCs w:val="24"/>
          <w:rtl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572000" cy="1865799"/>
            <wp:effectExtent l="0" t="0" r="0" b="0"/>
            <wp:docPr id="9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55640" w:rsidRDefault="00C55640" w:rsidP="00C55640">
      <w:p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C55640" w:rsidRPr="00C55640" w:rsidRDefault="00C55640" w:rsidP="00C55640">
      <w:p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DD4BD9" w:rsidRPr="00FE4171" w:rsidRDefault="00DD4BD9" w:rsidP="00C55640">
      <w:pPr>
        <w:pStyle w:val="Paragraphedeliste"/>
        <w:numPr>
          <w:ilvl w:val="0"/>
          <w:numId w:val="6"/>
        </w:numPr>
        <w:bidi/>
        <w:spacing w:before="240" w:line="276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</w:pPr>
      <w:r w:rsidRPr="00FE4171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lastRenderedPageBreak/>
        <w:t xml:space="preserve">وضعية سوق الشغل على المستوى الجهوي خلال سنة </w:t>
      </w:r>
      <w:r w:rsidR="00FF5EC7" w:rsidRPr="00FE4171"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202</w:t>
      </w:r>
      <w:r w:rsidR="006B50C7" w:rsidRPr="00FE4171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32"/>
          <w:szCs w:val="32"/>
          <w:rtl/>
        </w:rPr>
        <w:t>3</w:t>
      </w:r>
    </w:p>
    <w:p w:rsidR="00DD4BD9" w:rsidRPr="00DF464C" w:rsidRDefault="00DD4BD9" w:rsidP="00E1446B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تضم خمس جهات %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72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,6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من مجموع السكان النشيطين البالغين من العمر 15 سنة فما فوق. تأتي جهة الدار البيضاء-سطات في المرتبة الأولى بنسبة </w:t>
      </w:r>
      <w:r w:rsidR="006B50C7" w:rsidRPr="00DF464C">
        <w:rPr>
          <w:rFonts w:ascii="Book Antiqua" w:hAnsi="Book Antiqua" w:cs="Times New Roman"/>
          <w:sz w:val="24"/>
          <w:szCs w:val="24"/>
        </w:rPr>
        <w:t>22,4%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مجموع النشيطين، تليها الرباط-سلا-القنيطرة (</w:t>
      </w:r>
      <w:r w:rsidR="006B50C7" w:rsidRPr="00DF464C">
        <w:rPr>
          <w:rFonts w:ascii="Book Antiqua" w:hAnsi="Book Antiqua" w:cs="Times New Roman"/>
          <w:sz w:val="24"/>
          <w:szCs w:val="24"/>
        </w:rPr>
        <w:t>13,8%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)، مراكش-آسفي (%</w:t>
      </w:r>
      <w:r w:rsidR="006B50C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</w:t>
      </w:r>
      <w:r w:rsidR="006B50C7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)</w:t>
      </w:r>
      <w:r w:rsidR="006B50C7" w:rsidRPr="00DF464C">
        <w:rPr>
          <w:rFonts w:asciiTheme="majorBidi" w:eastAsia="Times New Roman" w:hAnsiTheme="majorBidi" w:cstheme="majorBidi" w:hint="eastAsia"/>
          <w:sz w:val="28"/>
          <w:szCs w:val="28"/>
          <w:rtl/>
          <w:lang w:eastAsia="fr-FR" w:bidi="tzm-Arab-MA"/>
        </w:rPr>
        <w:t>،</w:t>
      </w:r>
      <w:r w:rsidR="00E1446B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طنجة-تطوان-الحسيمة (</w:t>
      </w:r>
      <w:r w:rsidR="006B50C7" w:rsidRPr="00DF464C">
        <w:rPr>
          <w:rFonts w:ascii="Book Antiqua" w:hAnsi="Book Antiqua" w:cs="Times New Roman"/>
          <w:sz w:val="24"/>
          <w:szCs w:val="24"/>
        </w:rPr>
        <w:t>11,8%</w:t>
      </w:r>
      <w:r w:rsidR="00197FE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)</w:t>
      </w:r>
      <w:r w:rsidR="00197FE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فاس-مكناس (%11,6).</w:t>
      </w:r>
    </w:p>
    <w:p w:rsidR="00DD4BD9" w:rsidRPr="00DF464C" w:rsidRDefault="00DD4BD9" w:rsidP="00CD5296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سجلت 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خمس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جهات معدلات نشاط أعلى من المتوسط ​​الوطني (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43,6%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)، وهي طنجة-تطوان-الحسيمة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(48,7%)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الدار البيضاء-سطات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(46,1%)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جهات الجنوب 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(45,3%)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وكل من جهةمراكش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-آسفي</w:t>
      </w:r>
      <w:r w:rsidR="009A0794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وجهة الرباط-سلا-القنيطرة</w:t>
      </w:r>
      <w:r w:rsidR="009A0794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(44,0%)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. بالمقابل سجلت أدنى المعدلات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="00CD529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الجهة الشرقية </w:t>
      </w:r>
      <w:r w:rsidR="00CD529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(40,1%)</w:t>
      </w:r>
      <w:r w:rsidR="00CD529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وجهة بني ملال-خنيفرة</w:t>
      </w:r>
      <w:r w:rsidR="00CD529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(40%) </w:t>
      </w:r>
      <w:r w:rsidR="00CD529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و</w:t>
      </w:r>
      <w:r w:rsidR="00CD5296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جه</w:t>
      </w:r>
      <w:r w:rsidR="00CD529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ة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سوس-ماسة </w:t>
      </w:r>
      <w:r w:rsidR="00CD5296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(39%)</w:t>
      </w:r>
      <w:r w:rsidR="00CD529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.</w:t>
      </w:r>
    </w:p>
    <w:p w:rsidR="00DD4BD9" w:rsidRPr="000D05D3" w:rsidRDefault="00DD4BD9" w:rsidP="002E74A3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 w:rsidRPr="000D05D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8</w:t>
      </w: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: معدل النشاط حسب الجهة ووسط الإقامة في </w:t>
      </w:r>
      <w:r w:rsidR="00FF5EC7"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202</w:t>
      </w:r>
      <w:r w:rsidR="002E74A3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0D05D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</w:t>
      </w:r>
    </w:p>
    <w:p w:rsidR="00DD4BD9" w:rsidRPr="001C6903" w:rsidRDefault="00E32951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626045" cy="415036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4BD9" w:rsidRPr="001C6903" w:rsidRDefault="00DD4BD9" w:rsidP="00DD4BD9">
      <w:pPr>
        <w:bidi/>
        <w:rPr>
          <w:rFonts w:asciiTheme="majorBidi" w:eastAsia="Times New Roman" w:hAnsiTheme="majorBidi" w:cstheme="majorBidi"/>
          <w:b/>
          <w:bCs/>
          <w:sz w:val="24"/>
          <w:szCs w:val="24"/>
          <w:rtl/>
        </w:rPr>
      </w:pPr>
    </w:p>
    <w:p w:rsidR="00DD4BD9" w:rsidRPr="00DF464C" w:rsidRDefault="007B0F87" w:rsidP="007B0F87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r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من جهة أخرى، تضم خمس جهات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F62E45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>سبعة عاطلين</w:t>
      </w:r>
      <w:r>
        <w:rPr>
          <w:rFonts w:asciiTheme="majorBidi" w:eastAsia="Times New Roman" w:hAnsiTheme="majorBidi" w:cstheme="majorBidi"/>
          <w:sz w:val="28"/>
          <w:szCs w:val="28"/>
          <w:lang w:eastAsia="fr-FR" w:bidi="ar-MA"/>
        </w:rPr>
        <w:t xml:space="preserve">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من كل عشرة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(</w:t>
      </w:r>
      <w:r w:rsidR="002C2571" w:rsidRPr="00DF464C">
        <w:rPr>
          <w:rFonts w:ascii="Book Antiqua" w:hAnsi="Book Antiqua" w:cs="Times New Roman"/>
          <w:sz w:val="24"/>
          <w:szCs w:val="24"/>
        </w:rPr>
        <w:t>69,8%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 على المستوى الوطني؛ تأتي جهة الدار البيضاء-سطات في المرتبة الأولى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25,8%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تليهافاس- مكناس </w:t>
      </w:r>
      <w:r w:rsidR="002C2571" w:rsidRPr="00DF464C">
        <w:rPr>
          <w:rFonts w:ascii="Book Antiqua" w:hAnsi="Book Antiqua" w:cs="Times New Roman"/>
          <w:sz w:val="24"/>
          <w:szCs w:val="24"/>
        </w:rPr>
        <w:t>(12,7%)</w:t>
      </w:r>
      <w:r w:rsidR="00F62E45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ar-MA"/>
        </w:rPr>
        <w:t xml:space="preserve"> و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الرباط-سلا-القنيطرة</w:t>
      </w:r>
      <w:r w:rsidR="002C2571" w:rsidRPr="00DF464C">
        <w:rPr>
          <w:rFonts w:ascii="Book Antiqua" w:hAnsi="Book Antiqua" w:cs="Times New Roman"/>
          <w:sz w:val="24"/>
          <w:szCs w:val="24"/>
        </w:rPr>
        <w:t>(12,3%)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،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الجهة الشرقية </w:t>
      </w:r>
      <w:r w:rsidRPr="00DF464C">
        <w:rPr>
          <w:rFonts w:ascii="Book Antiqua" w:hAnsi="Book Antiqua" w:cs="Times New Roman"/>
          <w:sz w:val="24"/>
          <w:szCs w:val="24"/>
        </w:rPr>
        <w:t>(9,</w:t>
      </w:r>
      <w:r>
        <w:rPr>
          <w:rFonts w:ascii="Book Antiqua" w:hAnsi="Book Antiqua" w:cs="Times New Roman"/>
          <w:sz w:val="24"/>
          <w:szCs w:val="24"/>
        </w:rPr>
        <w:t>7</w:t>
      </w:r>
      <w:r w:rsidRPr="00DF464C">
        <w:rPr>
          <w:rFonts w:ascii="Book Antiqua" w:hAnsi="Book Antiqua" w:cs="Times New Roman"/>
          <w:sz w:val="24"/>
          <w:szCs w:val="24"/>
        </w:rPr>
        <w:t>%)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، </w:t>
      </w:r>
      <w:r w:rsidR="00F62E45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ثم</w:t>
      </w:r>
      <w:r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 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طنجة-تطوان-الحسيمة بنسبة </w:t>
      </w:r>
      <w:r w:rsidR="002C2571" w:rsidRPr="00DF464C">
        <w:rPr>
          <w:rFonts w:ascii="Book Antiqua" w:hAnsi="Book Antiqua" w:cs="Times New Roman"/>
          <w:sz w:val="24"/>
          <w:szCs w:val="24"/>
        </w:rPr>
        <w:t>(9,2%)</w:t>
      </w:r>
      <w:r w:rsidR="00DD4BD9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</w:t>
      </w:r>
    </w:p>
    <w:p w:rsidR="007B0F87" w:rsidRDefault="00DD4BD9" w:rsidP="000C0C79">
      <w:pPr>
        <w:autoSpaceDE w:val="0"/>
        <w:autoSpaceDN w:val="0"/>
        <w:bidi/>
        <w:adjustRightInd w:val="0"/>
        <w:spacing w:line="36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</w:pP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lastRenderedPageBreak/>
        <w:t xml:space="preserve">وسجلت أعلى معدلات البطالة </w:t>
      </w:r>
      <w:r w:rsidR="0085176E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ب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الجهات الجنوبية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(20,3%)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والجهة الشرقية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(19,6%)</w:t>
      </w:r>
      <w:r w:rsidR="007B0F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،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وبحدة أقل، تتجاوزجهت</w:t>
      </w:r>
      <w:r w:rsidR="007B0F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ن المعدل الوطني</w:t>
      </w:r>
      <w:r w:rsidR="00D95BD6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 xml:space="preserve"> (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13%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). يتعلق الأمربجهة الدارالبيضاء-سطات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 xml:space="preserve">(15%)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وفاس- مكناس </w:t>
      </w:r>
      <w:r w:rsidR="005B5707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(14,2%)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. بالمقابل، سجلت جهت</w:t>
      </w:r>
      <w:r w:rsidR="007B0F87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ا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مراكش-آسفي </w:t>
      </w:r>
      <w:r w:rsidR="00060642" w:rsidRPr="00DF464C">
        <w:rPr>
          <w:rFonts w:asciiTheme="majorBidi" w:eastAsia="Times New Roman" w:hAnsiTheme="majorBidi" w:cstheme="majorBidi" w:hint="cs"/>
          <w:sz w:val="28"/>
          <w:szCs w:val="28"/>
          <w:rtl/>
          <w:lang w:eastAsia="fr-FR" w:bidi="tzm-Arab-MA"/>
        </w:rPr>
        <w:t>و</w:t>
      </w:r>
      <w:r w:rsidR="00060642"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طنجة-تطوان-الحسيمة 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أدنى المعدلات بنسبة 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7,7%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>و</w:t>
      </w:r>
      <w:r w:rsidR="00CF2709"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10,1%</w:t>
      </w:r>
      <w:r w:rsidRPr="00DF464C"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  <w:t xml:space="preserve"> على التوالي</w:t>
      </w:r>
      <w:r w:rsidRPr="00DF464C">
        <w:rPr>
          <w:rFonts w:asciiTheme="majorBidi" w:eastAsia="Times New Roman" w:hAnsiTheme="majorBidi" w:cstheme="majorBidi"/>
          <w:sz w:val="28"/>
          <w:szCs w:val="28"/>
          <w:lang w:eastAsia="fr-FR" w:bidi="tzm-Arab-MA"/>
        </w:rPr>
        <w:t>.</w:t>
      </w:r>
    </w:p>
    <w:p w:rsidR="007B0F87" w:rsidRDefault="007B0F87" w:rsidP="007B0F87">
      <w:pPr>
        <w:spacing w:after="200" w:line="276" w:lineRule="auto"/>
        <w:rPr>
          <w:rFonts w:asciiTheme="majorBidi" w:eastAsia="Times New Roman" w:hAnsiTheme="majorBidi" w:cstheme="majorBidi"/>
          <w:sz w:val="28"/>
          <w:szCs w:val="28"/>
          <w:rtl/>
          <w:lang w:eastAsia="fr-FR" w:bidi="tzm-Arab-MA"/>
        </w:rPr>
      </w:pPr>
      <w:bookmarkStart w:id="0" w:name="_GoBack"/>
      <w:bookmarkEnd w:id="0"/>
    </w:p>
    <w:p w:rsidR="00DD4BD9" w:rsidRPr="001C6903" w:rsidRDefault="00DD4BD9" w:rsidP="007B0F87">
      <w:pPr>
        <w:spacing w:after="200" w:line="276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مبيان</w:t>
      </w:r>
      <w:r w:rsidR="00AC38D9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 xml:space="preserve"> 9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: معدل البطالة حسب الجه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  <w:lang w:bidi="tzm-Arab-MA"/>
        </w:rPr>
        <w:t>ات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ووسط الإقامة لسنة </w:t>
      </w:r>
      <w:r w:rsidR="00FF5EC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>202</w:t>
      </w:r>
      <w:r w:rsidR="00BC3B0F">
        <w:rPr>
          <w:rFonts w:asciiTheme="majorBidi" w:eastAsia="Times New Roman" w:hAnsiTheme="majorBidi" w:cstheme="majorBidi" w:hint="cs"/>
          <w:b/>
          <w:bCs/>
          <w:sz w:val="24"/>
          <w:szCs w:val="24"/>
          <w:rtl/>
        </w:rPr>
        <w:t>3</w:t>
      </w:r>
      <w:r w:rsidRPr="001C6903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(%)</w:t>
      </w:r>
    </w:p>
    <w:p w:rsidR="00DD4BD9" w:rsidRPr="001C6903" w:rsidRDefault="009B20B0" w:rsidP="00DD4BD9">
      <w:pPr>
        <w:bidi/>
        <w:jc w:val="center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5207635" cy="4198289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D4BD9" w:rsidRPr="001C6903" w:rsidRDefault="00DD4BD9" w:rsidP="00DD4BD9">
      <w:pPr>
        <w:bidi/>
        <w:spacing w:before="240" w:line="276" w:lineRule="auto"/>
        <w:rPr>
          <w:rFonts w:asciiTheme="majorBidi" w:eastAsiaTheme="majorEastAsia" w:hAnsiTheme="majorBidi" w:cstheme="majorBidi"/>
          <w:b/>
          <w:bCs/>
          <w:color w:val="244061" w:themeColor="accent1" w:themeShade="80"/>
          <w:spacing w:val="-10"/>
          <w:kern w:val="28"/>
          <w:sz w:val="32"/>
          <w:szCs w:val="32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DD4BD9" w:rsidRPr="001C6903" w:rsidRDefault="00DD4BD9" w:rsidP="00DD4BD9">
      <w:pPr>
        <w:pStyle w:val="Paragraphedeliste"/>
        <w:bidi/>
        <w:spacing w:before="240" w:line="276" w:lineRule="auto"/>
        <w:ind w:left="1080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</w:p>
    <w:p w:rsidR="001B672F" w:rsidRDefault="001B672F">
      <w:pPr>
        <w:spacing w:after="200" w:line="276" w:lineRule="auto"/>
        <w:rPr>
          <w:rFonts w:asciiTheme="majorBidi" w:hAnsiTheme="majorBidi" w:cstheme="majorBidi"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</w:p>
    <w:p w:rsidR="00392F8B" w:rsidRDefault="001B672F" w:rsidP="001B672F">
      <w:pPr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0"/>
        <w:gridCol w:w="916"/>
        <w:gridCol w:w="919"/>
        <w:gridCol w:w="1067"/>
        <w:gridCol w:w="918"/>
        <w:gridCol w:w="918"/>
        <w:gridCol w:w="3414"/>
      </w:tblGrid>
      <w:tr w:rsidR="00072945" w:rsidRPr="007B0333" w:rsidTr="0024596C">
        <w:trPr>
          <w:trHeight w:val="284"/>
        </w:trPr>
        <w:tc>
          <w:tcPr>
            <w:tcW w:w="1572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24596C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2023</w:t>
            </w:r>
          </w:p>
        </w:tc>
        <w:tc>
          <w:tcPr>
            <w:tcW w:w="1575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</w:t>
            </w:r>
            <w:r w:rsidR="0024596C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853" w:type="pct"/>
            <w:vMerge w:val="restart"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072945" w:rsidRPr="007B0333" w:rsidTr="0024596C">
        <w:trPr>
          <w:trHeight w:val="284"/>
        </w:trPr>
        <w:tc>
          <w:tcPr>
            <w:tcW w:w="576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497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579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المجمـوع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قـروي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حضري</w:t>
            </w:r>
          </w:p>
        </w:tc>
        <w:tc>
          <w:tcPr>
            <w:tcW w:w="1853" w:type="pct"/>
            <w:vMerge/>
            <w:shd w:val="clear" w:color="auto" w:fill="auto"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072945" w:rsidRPr="007B0333" w:rsidTr="00072945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7B0333" w:rsidRDefault="008E53FB" w:rsidP="008E53F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النشـاط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9C4A6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12 171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4 441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7 731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12 191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4 599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7 591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9C4A69" w:rsidRPr="007B0333" w:rsidRDefault="009C4A69" w:rsidP="009C4A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(بالآلاف)</w:t>
            </w:r>
          </w:p>
        </w:tc>
      </w:tr>
      <w:tr w:rsidR="009C4A6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22,1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20,7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22,9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22,6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22,9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6D3971" w:rsidRDefault="009C4A69" w:rsidP="009C4A6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</w:pPr>
            <w:r w:rsidRPr="006D3971">
              <w:rPr>
                <w:rFonts w:ascii="Garamond" w:eastAsia="Times New Roman" w:hAnsi="Garamond" w:cs="Calibri"/>
                <w:color w:val="010205"/>
                <w:sz w:val="20"/>
                <w:szCs w:val="20"/>
                <w:lang w:eastAsia="fr-FR"/>
              </w:rPr>
              <w:t>22,5</w:t>
            </w:r>
          </w:p>
        </w:tc>
        <w:tc>
          <w:tcPr>
            <w:tcW w:w="1853" w:type="pct"/>
            <w:shd w:val="clear" w:color="auto" w:fill="auto"/>
            <w:noWrap/>
            <w:vAlign w:val="center"/>
            <w:hideMark/>
          </w:tcPr>
          <w:p w:rsidR="009C4A69" w:rsidRPr="007B0333" w:rsidRDefault="009C4A69" w:rsidP="009C4A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نسبـة الإنـاث ضمـن السكـان النشيطيـن (%)</w:t>
            </w:r>
          </w:p>
        </w:tc>
      </w:tr>
      <w:tr w:rsidR="009C4A6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43,6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47,3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41,8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44,3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49,1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9C4A69" w:rsidRPr="009C4A69" w:rsidRDefault="009C4A69" w:rsidP="009C4A69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9C4A69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41,9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9C4A69" w:rsidRPr="007B0333" w:rsidRDefault="009C4A69" w:rsidP="009C4A6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النشـاط (%)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الجنس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69,0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73,6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66,5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69,6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74,4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67,0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19,0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18,5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السن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22,6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20,7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22,8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26,5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24 – 15سنـة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60,0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60,1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60,7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59,6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34 – 25سنـة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58,1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62,1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56,3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59,4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64,3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57,1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44 – 35سنـة</w:t>
            </w:r>
          </w:p>
        </w:tc>
      </w:tr>
      <w:tr w:rsidR="003E5CF1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39,5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48,6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35,1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51,0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3E5CF1" w:rsidRPr="003E5CF1" w:rsidRDefault="003E5CF1" w:rsidP="003E5CF1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3E5CF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3E5CF1" w:rsidRPr="007B0333" w:rsidRDefault="003E5CF1" w:rsidP="003E5CF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45سنـة فأكثـر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  حسب الشهادة</w:t>
            </w:r>
          </w:p>
        </w:tc>
      </w:tr>
      <w:tr w:rsidR="00116BA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40,9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49,3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34,0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42,3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51,5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34,6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116BA9" w:rsidRPr="007B0333" w:rsidRDefault="00116BA9" w:rsidP="00116B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116BA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46,2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43,3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47,0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44,2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16BA9" w:rsidRPr="00116BA9" w:rsidRDefault="00116BA9" w:rsidP="00116BA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116BA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116BA9" w:rsidRPr="007B0333" w:rsidRDefault="00116BA9" w:rsidP="00116B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حاصـل علـى شهـادة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7B0333" w:rsidRDefault="008E53FB" w:rsidP="008E53F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 xml:space="preserve">التشغيل 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(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</w:rPr>
              <w:t xml:space="preserve"> 15</w:t>
            </w:r>
            <w:r w:rsidRPr="00C961B0">
              <w:rPr>
                <w:rFonts w:ascii="Book Antiqua" w:hAnsi="Book Antiqua"/>
                <w:b/>
                <w:bCs/>
                <w:color w:val="1F497D"/>
                <w:rtl/>
              </w:rPr>
              <w:t>سنـة فأكثـر</w:t>
            </w:r>
            <w:r w:rsidRPr="00C961B0">
              <w:rPr>
                <w:rFonts w:ascii="Book Antiqua" w:hAnsi="Book Antiqua" w:cs="Browallia New"/>
                <w:b/>
                <w:bCs/>
                <w:color w:val="1F497D"/>
                <w:rtl/>
              </w:rPr>
              <w:t>)</w:t>
            </w:r>
          </w:p>
        </w:tc>
      </w:tr>
      <w:tr w:rsidR="001A5243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10 591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4 160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6 431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10 749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4 359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6 390</w:t>
            </w:r>
          </w:p>
        </w:tc>
        <w:tc>
          <w:tcPr>
            <w:tcW w:w="1853" w:type="pct"/>
            <w:shd w:val="clear" w:color="auto" w:fill="auto"/>
            <w:noWrap/>
            <w:vAlign w:val="center"/>
            <w:hideMark/>
          </w:tcPr>
          <w:p w:rsidR="001A5243" w:rsidRPr="007B0333" w:rsidRDefault="001A5243" w:rsidP="001A52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المشتغلـون (بالآلاف)</w:t>
            </w:r>
          </w:p>
        </w:tc>
      </w:tr>
      <w:tr w:rsidR="001A5243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38,0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44,3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34,8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39,1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46,5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1A5243" w:rsidRPr="001A5243" w:rsidRDefault="001A5243" w:rsidP="001A5243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1A5243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35,3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1A5243" w:rsidRPr="007B0333" w:rsidRDefault="001A5243" w:rsidP="001A524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معدل الشغل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حسب الجنس</w:t>
            </w:r>
          </w:p>
        </w:tc>
      </w:tr>
      <w:tr w:rsidR="00E405F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61,1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68,8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56,9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62,4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70,3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58,2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E405F9" w:rsidRPr="007B0333" w:rsidRDefault="00E405F9" w:rsidP="00E405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E405F9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15,5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13,9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21,9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E405F9" w:rsidRPr="00E405F9" w:rsidRDefault="00E405F9" w:rsidP="00E405F9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405F9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E405F9" w:rsidRPr="007B0333" w:rsidRDefault="00E405F9" w:rsidP="00E405F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8E53FB" w:rsidP="008E53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حسب قطاعات النشاط الاقتصادي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27,8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64,0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4,4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29,3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65,8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4,4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الفلاحة والغابة والصيد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16,8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12,0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16,9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الصناعة بما فيها الصناعة التقليدية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11,6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9,7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البناء والأشغال العمومية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48,3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66,5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47,4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19,6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66,4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الخدمات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89,0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75,4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97,8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87,2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72,2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97,5</w:t>
            </w:r>
          </w:p>
        </w:tc>
        <w:tc>
          <w:tcPr>
            <w:tcW w:w="1853" w:type="pct"/>
            <w:shd w:val="clear" w:color="auto" w:fill="auto"/>
            <w:noWrap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الشغل المؤدى عنه ضمـن الشغـل الكلي، منها :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66,2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72,7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60,3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46,8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67,2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العمل المستأجر</w:t>
            </w:r>
          </w:p>
        </w:tc>
      </w:tr>
      <w:tr w:rsidR="00CC11A5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33,8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47,0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27,3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39,7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53,2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CC11A5" w:rsidRPr="00CC11A5" w:rsidRDefault="00CC11A5" w:rsidP="00CC11A5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CC11A5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32,8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CC11A5" w:rsidRPr="007B0333" w:rsidRDefault="00CC11A5" w:rsidP="00CC11A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.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الشغل الذاتي</w:t>
            </w:r>
          </w:p>
        </w:tc>
      </w:tr>
      <w:tr w:rsidR="008E53FB" w:rsidRPr="007B0333" w:rsidTr="000C39E1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8E53FB" w:rsidRPr="007B0333" w:rsidRDefault="008E53FB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CD0F17">
              <w:rPr>
                <w:rFonts w:ascii="Arial" w:hAnsi="Arial" w:cs="Arial"/>
                <w:b/>
                <w:bCs/>
                <w:color w:val="1F497D"/>
                <w:rtl/>
              </w:rPr>
              <w:t>الشغل الناقص</w:t>
            </w:r>
          </w:p>
        </w:tc>
      </w:tr>
      <w:tr w:rsidR="000A07AC" w:rsidRPr="007B0333" w:rsidTr="00FE4171">
        <w:trPr>
          <w:trHeight w:val="28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1 043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483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560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972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452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520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AC" w:rsidRPr="007B0333" w:rsidRDefault="000A07AC" w:rsidP="000A07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   السكان النشيطون المشتغلون في حالة شغل ناقص (بالآلاف)</w:t>
            </w:r>
          </w:p>
        </w:tc>
      </w:tr>
      <w:tr w:rsidR="000A07AC" w:rsidRPr="007B0333" w:rsidTr="00FE4171">
        <w:trPr>
          <w:trHeight w:val="28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9,8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11,6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8,7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9,0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10,4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07AC" w:rsidRPr="002119FD" w:rsidRDefault="000A07AC" w:rsidP="000A07AC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8,1</w:t>
            </w: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7AC" w:rsidRPr="007B0333" w:rsidRDefault="000A07AC" w:rsidP="000A07A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  معدل الشغل الناقص (%) </w:t>
            </w:r>
          </w:p>
        </w:tc>
      </w:tr>
      <w:tr w:rsidR="00D95BD6" w:rsidRPr="007B0333" w:rsidTr="00EA3324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D95BD6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 xml:space="preserve">      حسب نوع الشغل الناقص</w:t>
            </w:r>
          </w:p>
        </w:tc>
      </w:tr>
      <w:tr w:rsidR="00B320B3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4,8</w:t>
            </w:r>
          </w:p>
        </w:tc>
        <w:tc>
          <w:tcPr>
            <w:tcW w:w="497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6,2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4,0</w:t>
            </w:r>
          </w:p>
        </w:tc>
        <w:tc>
          <w:tcPr>
            <w:tcW w:w="579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4,1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5,1</w:t>
            </w:r>
          </w:p>
        </w:tc>
        <w:tc>
          <w:tcPr>
            <w:tcW w:w="498" w:type="pct"/>
            <w:shd w:val="clear" w:color="auto" w:fill="auto"/>
            <w:noWrap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3,3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B320B3" w:rsidRPr="007B0333" w:rsidRDefault="00B320B3" w:rsidP="00B320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الشغل الناقص المرتبط بساعات العمل</w:t>
            </w:r>
          </w:p>
        </w:tc>
      </w:tr>
      <w:tr w:rsidR="00B320B3" w:rsidRPr="007B0333" w:rsidTr="00FE4171">
        <w:trPr>
          <w:trHeight w:val="284"/>
        </w:trPr>
        <w:tc>
          <w:tcPr>
            <w:tcW w:w="576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5,4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4,8</w:t>
            </w:r>
          </w:p>
        </w:tc>
        <w:tc>
          <w:tcPr>
            <w:tcW w:w="579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498" w:type="pct"/>
            <w:shd w:val="clear" w:color="auto" w:fill="auto"/>
            <w:noWrap/>
            <w:vAlign w:val="bottom"/>
            <w:hideMark/>
          </w:tcPr>
          <w:p w:rsidR="00B320B3" w:rsidRPr="00B320B3" w:rsidRDefault="00B320B3" w:rsidP="00B320B3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320B3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4,8</w:t>
            </w:r>
          </w:p>
        </w:tc>
        <w:tc>
          <w:tcPr>
            <w:tcW w:w="1853" w:type="pct"/>
            <w:shd w:val="clear" w:color="auto" w:fill="auto"/>
            <w:vAlign w:val="center"/>
            <w:hideMark/>
          </w:tcPr>
          <w:p w:rsidR="00B320B3" w:rsidRPr="007B0333" w:rsidRDefault="00B320B3" w:rsidP="00B320B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905DFA" w:rsidRDefault="00905DFA" w:rsidP="001B672F">
      <w:pPr>
        <w:jc w:val="center"/>
        <w:rPr>
          <w:rFonts w:asciiTheme="majorBidi" w:hAnsiTheme="majorBidi" w:cstheme="majorBidi"/>
          <w:lang w:bidi="tzm-Arab-MA"/>
        </w:rPr>
      </w:pPr>
    </w:p>
    <w:p w:rsidR="00905DFA" w:rsidRDefault="00905DFA" w:rsidP="00BE49B5">
      <w:pPr>
        <w:spacing w:after="200" w:line="276" w:lineRule="auto"/>
        <w:rPr>
          <w:rFonts w:ascii="Book Antiqua" w:hAnsi="Book Antiqua"/>
          <w:b/>
          <w:bCs/>
          <w:color w:val="002060"/>
          <w:sz w:val="28"/>
          <w:szCs w:val="28"/>
          <w:rtl/>
          <w:lang w:bidi="tzm-Arab-MA"/>
        </w:rPr>
      </w:pPr>
      <w:r>
        <w:rPr>
          <w:rFonts w:asciiTheme="majorBidi" w:hAnsiTheme="majorBidi" w:cstheme="majorBidi"/>
          <w:lang w:bidi="tzm-Arab-MA"/>
        </w:rPr>
        <w:br w:type="page"/>
      </w:r>
      <w:r w:rsidRPr="007827E6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1: المؤشـرات السنوية للنشـاط والشغل والبطالـة حسـب وسـط الإقامـة</w:t>
      </w:r>
      <w:r>
        <w:rPr>
          <w:rFonts w:ascii="Book Antiqua" w:hAnsi="Book Antiqua" w:hint="cs"/>
          <w:b/>
          <w:bCs/>
          <w:color w:val="002060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65"/>
        <w:gridCol w:w="919"/>
        <w:gridCol w:w="925"/>
        <w:gridCol w:w="1069"/>
        <w:gridCol w:w="921"/>
        <w:gridCol w:w="921"/>
        <w:gridCol w:w="3392"/>
      </w:tblGrid>
      <w:tr w:rsidR="00072945" w:rsidRPr="007B0333" w:rsidTr="009974BF">
        <w:trPr>
          <w:trHeight w:val="284"/>
        </w:trPr>
        <w:tc>
          <w:tcPr>
            <w:tcW w:w="1579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8609B4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2023</w:t>
            </w:r>
          </w:p>
        </w:tc>
        <w:tc>
          <w:tcPr>
            <w:tcW w:w="1580" w:type="pct"/>
            <w:gridSpan w:val="3"/>
            <w:shd w:val="clear" w:color="auto" w:fill="auto"/>
            <w:noWrap/>
            <w:vAlign w:val="center"/>
            <w:hideMark/>
          </w:tcPr>
          <w:p w:rsidR="00072945" w:rsidRPr="007B0333" w:rsidRDefault="008609B4" w:rsidP="0007294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  <w:t>2022</w:t>
            </w:r>
          </w:p>
        </w:tc>
        <w:tc>
          <w:tcPr>
            <w:tcW w:w="1841" w:type="pct"/>
            <w:vMerge w:val="restar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974BF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9974BF" w:rsidRPr="00162254" w:rsidRDefault="009974BF" w:rsidP="001E3A9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841" w:type="pct"/>
            <w:vMerge/>
            <w:shd w:val="clear" w:color="auto" w:fill="auto"/>
            <w:noWrap/>
            <w:vAlign w:val="center"/>
            <w:hideMark/>
          </w:tcPr>
          <w:p w:rsidR="009974BF" w:rsidRPr="007B0333" w:rsidRDefault="009974BF" w:rsidP="0007294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</w:p>
        </w:tc>
      </w:tr>
      <w:tr w:rsidR="00072945" w:rsidRPr="00D95BD6" w:rsidTr="00072945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D95BD6" w:rsidRDefault="008E53FB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C961B0">
              <w:rPr>
                <w:rFonts w:ascii="Arial" w:hAnsi="Arial" w:cs="Arial" w:hint="cs"/>
                <w:b/>
                <w:bCs/>
                <w:color w:val="1F497D"/>
                <w:rtl/>
              </w:rPr>
              <w:t>البطالـة</w:t>
            </w:r>
          </w:p>
        </w:tc>
      </w:tr>
      <w:tr w:rsidR="002119FD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1 580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280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1 300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1 442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 xml:space="preserve"> 241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2119FD" w:rsidRDefault="002119FD" w:rsidP="002119FD">
            <w:pPr>
              <w:spacing w:after="0" w:line="240" w:lineRule="auto"/>
              <w:ind w:firstLineChars="100" w:firstLine="201"/>
              <w:jc w:val="center"/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</w:pPr>
            <w:r w:rsidRPr="002119FD">
              <w:rPr>
                <w:rFonts w:ascii="Garamond" w:eastAsia="Times New Roman" w:hAnsi="Garamond" w:cs="Calibri"/>
                <w:b/>
                <w:bCs/>
                <w:color w:val="010205"/>
                <w:sz w:val="20"/>
                <w:szCs w:val="20"/>
                <w:lang w:eastAsia="fr-FR"/>
              </w:rPr>
              <w:t>1 201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2119FD" w:rsidRPr="007B0333" w:rsidRDefault="002119FD" w:rsidP="002119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السكـان النشيطـون العاطلـون (بالآلاف)</w:t>
            </w:r>
          </w:p>
        </w:tc>
      </w:tr>
      <w:tr w:rsidR="002119FD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31,1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18,1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34,0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32,9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17,9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35,9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2119FD" w:rsidRPr="007B0333" w:rsidRDefault="002119FD" w:rsidP="002119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نسبة الإنـاث ضمـن السكان النشيطين العاطلين (%)</w:t>
            </w:r>
          </w:p>
        </w:tc>
      </w:tr>
      <w:tr w:rsidR="002119FD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13,0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6,3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16,8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11,8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2119FD" w:rsidRPr="00BC3F6C" w:rsidRDefault="002119FD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15,8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2119FD" w:rsidRPr="007B0333" w:rsidRDefault="002119FD" w:rsidP="002119F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معـدل البطالـة (%</w:t>
            </w:r>
            <w:r w:rsidRPr="007B03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) </w:t>
            </w:r>
          </w:p>
        </w:tc>
      </w:tr>
      <w:tr w:rsidR="00072945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072945" w:rsidRPr="007B0333" w:rsidRDefault="00072945" w:rsidP="000729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الجنس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11,5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14,4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10,3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5,6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13,1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ذكـور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18,3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5,5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25,0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17,2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4,1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25,2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إنـاث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السن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35,8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20,6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48,3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32,7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16,5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46,7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24 – 15  سنـة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20,6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8,4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26,1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24,8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34 – 25  سنـة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7,4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3,1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9,5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6,4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8,4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44 – 35  سنـة</w:t>
            </w:r>
          </w:p>
        </w:tc>
      </w:tr>
      <w:tr w:rsidR="00BC3F6C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1,9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5,0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3,3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1,5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BC3F6C" w:rsidRPr="00BC3F6C" w:rsidRDefault="00BC3F6C" w:rsidP="00BC3F6C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BC3F6C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4,6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BC3F6C" w:rsidRPr="007B0333" w:rsidRDefault="00BC3F6C" w:rsidP="00BC3F6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   45  سنـة فأكثـر</w:t>
            </w:r>
          </w:p>
        </w:tc>
      </w:tr>
      <w:tr w:rsidR="00072945" w:rsidRPr="007B0333" w:rsidTr="00D95BD6">
        <w:trPr>
          <w:trHeight w:val="284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072945" w:rsidRPr="008E53FB" w:rsidRDefault="00D95BD6" w:rsidP="00D95B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E53FB">
              <w:rPr>
                <w:rFonts w:ascii="Calibri" w:eastAsia="Times New Roman" w:hAnsi="Calibri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حسب الشهادة</w:t>
            </w:r>
          </w:p>
        </w:tc>
      </w:tr>
      <w:tr w:rsidR="00EE0332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4,9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2,7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7,6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4,2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6,8</w:t>
            </w:r>
          </w:p>
        </w:tc>
        <w:tc>
          <w:tcPr>
            <w:tcW w:w="1841" w:type="pct"/>
            <w:shd w:val="clear" w:color="auto" w:fill="auto"/>
            <w:noWrap/>
            <w:vAlign w:val="center"/>
            <w:hideMark/>
          </w:tcPr>
          <w:p w:rsidR="00EE0332" w:rsidRPr="007B0333" w:rsidRDefault="00EE0332" w:rsidP="00EE033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بـدون شهـادة</w:t>
            </w:r>
          </w:p>
        </w:tc>
      </w:tr>
      <w:tr w:rsidR="00EE0332" w:rsidRPr="007B0333" w:rsidTr="009974BF">
        <w:trPr>
          <w:trHeight w:val="284"/>
        </w:trPr>
        <w:tc>
          <w:tcPr>
            <w:tcW w:w="578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19,7</w:t>
            </w:r>
          </w:p>
        </w:tc>
        <w:tc>
          <w:tcPr>
            <w:tcW w:w="499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14,2</w:t>
            </w:r>
          </w:p>
        </w:tc>
        <w:tc>
          <w:tcPr>
            <w:tcW w:w="502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21,2</w:t>
            </w:r>
          </w:p>
        </w:tc>
        <w:tc>
          <w:tcPr>
            <w:tcW w:w="58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18,6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12,2</w:t>
            </w:r>
          </w:p>
        </w:tc>
        <w:tc>
          <w:tcPr>
            <w:tcW w:w="500" w:type="pct"/>
            <w:shd w:val="clear" w:color="auto" w:fill="auto"/>
            <w:noWrap/>
            <w:hideMark/>
          </w:tcPr>
          <w:p w:rsidR="00EE0332" w:rsidRPr="00EE0332" w:rsidRDefault="00EE0332" w:rsidP="00EE0332">
            <w:pPr>
              <w:spacing w:after="0" w:line="240" w:lineRule="auto"/>
              <w:ind w:firstLineChars="100" w:firstLine="2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</w:pPr>
            <w:r w:rsidRPr="00EE0332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fr-FR"/>
              </w:rPr>
              <w:t>20,4</w:t>
            </w:r>
          </w:p>
        </w:tc>
        <w:tc>
          <w:tcPr>
            <w:tcW w:w="1841" w:type="pct"/>
            <w:shd w:val="clear" w:color="auto" w:fill="auto"/>
            <w:vAlign w:val="center"/>
            <w:hideMark/>
          </w:tcPr>
          <w:p w:rsidR="00EE0332" w:rsidRPr="007B0333" w:rsidRDefault="00EE0332" w:rsidP="00EE033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7B0333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حاصـل علـى شهـادة </w:t>
            </w:r>
          </w:p>
        </w:tc>
      </w:tr>
    </w:tbl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bookmarkStart w:id="1" w:name="_Hlk62757310"/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7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bookmarkEnd w:id="1"/>
    <w:p w:rsidR="00905DFA" w:rsidRPr="003D2EFB" w:rsidRDefault="00905DFA" w:rsidP="00905DFA">
      <w:pPr>
        <w:pStyle w:val="Paragraphedeliste"/>
        <w:numPr>
          <w:ilvl w:val="0"/>
          <w:numId w:val="3"/>
        </w:numPr>
        <w:bidi/>
        <w:spacing w:before="240" w:after="0" w:line="276" w:lineRule="auto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905DFA" w:rsidRPr="003D2EFB" w:rsidRDefault="00905DFA" w:rsidP="00905DFA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905DFA" w:rsidRDefault="00905DFA" w:rsidP="00905DFA">
      <w:pPr>
        <w:rPr>
          <w:rFonts w:ascii="Book Antiqua" w:hAnsi="Book Antiqua"/>
          <w:b/>
          <w:bCs/>
          <w:color w:val="002060"/>
          <w:sz w:val="28"/>
          <w:szCs w:val="28"/>
          <w:rtl/>
        </w:rPr>
      </w:pPr>
      <w:r>
        <w:rPr>
          <w:rFonts w:ascii="Book Antiqua" w:hAnsi="Book Antiqua"/>
          <w:b/>
          <w:bCs/>
          <w:color w:val="002060"/>
          <w:sz w:val="28"/>
          <w:szCs w:val="28"/>
          <w:rtl/>
        </w:rPr>
        <w:br w:type="page"/>
      </w:r>
    </w:p>
    <w:p w:rsidR="00905DFA" w:rsidRPr="00162254" w:rsidRDefault="00905DFA" w:rsidP="00905DFA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</w:rPr>
      </w:pPr>
      <w:r w:rsidRPr="00162254">
        <w:rPr>
          <w:rFonts w:ascii="Book Antiqua" w:hAnsi="Book Antiqua"/>
          <w:b/>
          <w:bCs/>
          <w:color w:val="002060"/>
          <w:sz w:val="28"/>
          <w:szCs w:val="28"/>
          <w:rtl/>
        </w:rPr>
        <w:lastRenderedPageBreak/>
        <w:t>الجدول 2: معـدل النشـاط، الشغل، والبطالـة حسـب الجهات ووسـط الإقامـة (%)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58"/>
        <w:gridCol w:w="870"/>
        <w:gridCol w:w="873"/>
        <w:gridCol w:w="1052"/>
        <w:gridCol w:w="870"/>
        <w:gridCol w:w="871"/>
        <w:gridCol w:w="3618"/>
      </w:tblGrid>
      <w:tr w:rsidR="00162254" w:rsidRPr="00162254" w:rsidTr="002043F7">
        <w:trPr>
          <w:trHeight w:val="315"/>
        </w:trPr>
        <w:tc>
          <w:tcPr>
            <w:tcW w:w="1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8609B4" w:rsidP="001622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2023</w:t>
            </w:r>
          </w:p>
        </w:tc>
        <w:tc>
          <w:tcPr>
            <w:tcW w:w="15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8609B4" w:rsidP="0016225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2022</w:t>
            </w:r>
          </w:p>
        </w:tc>
        <w:tc>
          <w:tcPr>
            <w:tcW w:w="19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المـؤشـــــرات</w:t>
            </w:r>
          </w:p>
        </w:tc>
      </w:tr>
      <w:tr w:rsidR="00162254" w:rsidRPr="00162254" w:rsidTr="002043F7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المجمـوع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قـروي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eastAsia="fr-FR"/>
              </w:rPr>
              <w:t>حضري</w:t>
            </w:r>
          </w:p>
        </w:tc>
        <w:tc>
          <w:tcPr>
            <w:tcW w:w="19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54" w:rsidRPr="00162254" w:rsidRDefault="00162254" w:rsidP="00162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162254" w:rsidRPr="00162254" w:rsidTr="00162254">
        <w:trPr>
          <w:trHeight w:val="3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معـدل النشـاط ( 15سنـة فأكثـر)</w:t>
            </w:r>
          </w:p>
        </w:tc>
      </w:tr>
      <w:tr w:rsidR="002043F7" w:rsidRPr="00162254" w:rsidTr="003B5B47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55,7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58,2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3B5B4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45,6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50,6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52,9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37,6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39,7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51,6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42,8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2043F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43,6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47,3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49,1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43F7" w:rsidRPr="002043F7" w:rsidRDefault="002043F7" w:rsidP="002043F7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043F7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3F7" w:rsidRPr="00162254" w:rsidRDefault="002043F7" w:rsidP="002043F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162254" w:rsidRPr="00162254" w:rsidTr="0016225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rtl/>
                <w:lang w:eastAsia="fr-FR"/>
              </w:rPr>
              <w:t>معدل الشغل ( 15سنـة فأكثـر)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56,2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30,6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32,9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43,9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38,9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48,5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29,2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45,5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49,7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53,4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40,6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44,1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36,6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41,9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36,5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31,7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37,0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39,8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32,5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34,4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34,2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36,1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47,9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35,5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46,3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33,0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A012D6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38,0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44,3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34,8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39,1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46,5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2D6" w:rsidRPr="00A012D6" w:rsidRDefault="00A012D6" w:rsidP="00A012D6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012D6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35,3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2D6" w:rsidRPr="00162254" w:rsidRDefault="00A012D6" w:rsidP="00A012D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  <w:tr w:rsidR="00162254" w:rsidRPr="00162254" w:rsidTr="00162254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2254" w:rsidRPr="00162254" w:rsidRDefault="00162254" w:rsidP="001622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/>
                <w:b/>
                <w:bCs/>
                <w:color w:val="548DD4"/>
                <w:sz w:val="20"/>
                <w:szCs w:val="20"/>
                <w:rtl/>
                <w:lang w:eastAsia="fr-FR"/>
              </w:rPr>
              <w:t xml:space="preserve">معـدل البطالـة 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14,1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 xml:space="preserve">طنجة- تطوان- الحسيمة 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21,3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19,4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جهـــــــــة الشـــــــــرق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19,3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18,7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فـــــــــاس-مكــــــناس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11,6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14,5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الربــاط- ســلا-القنيطـــرة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15,3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بني مــلال-خنيفـــــــــرة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17,8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16,7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الدار البيضاء -ســــطات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12,2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3,2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مـــراكش – اسفــي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11,9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18,0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درعــــة – تافيلالــت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13,5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15,5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13,9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ســــوس – مــــاسة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20,3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11,0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20,1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542217" w:rsidRDefault="00542217" w:rsidP="00542217">
            <w:pPr>
              <w:spacing w:after="0" w:line="240" w:lineRule="auto"/>
              <w:ind w:firstLineChars="100" w:firstLine="180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</w:pPr>
            <w:r w:rsidRPr="00542217">
              <w:rPr>
                <w:rFonts w:ascii="Garamond" w:eastAsia="Times New Roman" w:hAnsi="Garamond" w:cs="Calibri"/>
                <w:color w:val="000000"/>
                <w:sz w:val="18"/>
                <w:szCs w:val="18"/>
                <w:lang w:eastAsia="fr-FR"/>
              </w:rPr>
              <w:t>22,9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  <w:lang w:eastAsia="fr-FR"/>
              </w:rPr>
              <w:t>جهات الجنوب</w:t>
            </w:r>
          </w:p>
        </w:tc>
      </w:tr>
      <w:tr w:rsidR="00542217" w:rsidRPr="00162254" w:rsidTr="00FE4171">
        <w:trPr>
          <w:trHeight w:val="315"/>
        </w:trPr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13,0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16,8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11,8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2217" w:rsidRPr="00635C68" w:rsidRDefault="00542217" w:rsidP="00635C68">
            <w:pPr>
              <w:spacing w:after="0" w:line="240" w:lineRule="auto"/>
              <w:ind w:firstLineChars="100" w:firstLine="181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35C68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fr-FR"/>
              </w:rPr>
              <w:t>15,8</w:t>
            </w:r>
          </w:p>
        </w:tc>
        <w:tc>
          <w:tcPr>
            <w:tcW w:w="1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217" w:rsidRPr="00162254" w:rsidRDefault="00542217" w:rsidP="005422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6225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fr-FR"/>
              </w:rPr>
              <w:t>المجموع</w:t>
            </w:r>
          </w:p>
        </w:tc>
      </w:tr>
    </w:tbl>
    <w:p w:rsidR="00905DFA" w:rsidRPr="00BE49B5" w:rsidRDefault="00114B48" w:rsidP="00114B48">
      <w:pPr>
        <w:bidi/>
        <w:spacing w:before="240" w:after="0" w:line="276" w:lineRule="auto"/>
        <w:rPr>
          <w:rFonts w:asciiTheme="majorBidi" w:hAnsiTheme="majorBidi" w:cstheme="majorBidi"/>
          <w:b/>
          <w:bCs/>
          <w:sz w:val="18"/>
          <w:szCs w:val="18"/>
          <w:rtl/>
          <w:lang w:bidi="ar-MA"/>
        </w:rPr>
      </w:pPr>
      <w:r w:rsidRPr="00BE49B5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905DFA" w:rsidRPr="00BE49B5" w:rsidSect="006130A4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2D2" w:rsidRDefault="007F52D2" w:rsidP="00DD4BD9">
      <w:pPr>
        <w:spacing w:after="0" w:line="240" w:lineRule="auto"/>
      </w:pPr>
      <w:r>
        <w:separator/>
      </w:r>
    </w:p>
  </w:endnote>
  <w:endnote w:type="continuationSeparator" w:id="1">
    <w:p w:rsidR="007F52D2" w:rsidRDefault="007F52D2" w:rsidP="00DD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71079"/>
      <w:docPartObj>
        <w:docPartGallery w:val="Page Numbers (Bottom of Page)"/>
        <w:docPartUnique/>
      </w:docPartObj>
    </w:sdtPr>
    <w:sdtContent>
      <w:p w:rsidR="001E3A93" w:rsidRDefault="000B2F10">
        <w:pPr>
          <w:pStyle w:val="Pieddepage"/>
          <w:jc w:val="center"/>
        </w:pPr>
        <w:fldSimple w:instr=" PAGE   \* MERGEFORMAT ">
          <w:r w:rsidR="003F5E1C">
            <w:rPr>
              <w:noProof/>
            </w:rPr>
            <w:t>4</w:t>
          </w:r>
        </w:fldSimple>
      </w:p>
    </w:sdtContent>
  </w:sdt>
  <w:p w:rsidR="001E3A93" w:rsidRDefault="001E3A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2D2" w:rsidRDefault="007F52D2" w:rsidP="00DD4BD9">
      <w:pPr>
        <w:spacing w:after="0" w:line="240" w:lineRule="auto"/>
      </w:pPr>
      <w:r>
        <w:separator/>
      </w:r>
    </w:p>
  </w:footnote>
  <w:footnote w:type="continuationSeparator" w:id="1">
    <w:p w:rsidR="007F52D2" w:rsidRDefault="007F52D2" w:rsidP="00DD4BD9">
      <w:pPr>
        <w:spacing w:after="0" w:line="240" w:lineRule="auto"/>
      </w:pPr>
      <w:r>
        <w:continuationSeparator/>
      </w:r>
    </w:p>
  </w:footnote>
  <w:footnote w:id="2">
    <w:p w:rsidR="001E3A93" w:rsidRDefault="001E3A93" w:rsidP="00FE4171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>
        <w:rPr>
          <w:rFonts w:asciiTheme="minorBidi" w:hAnsiTheme="minorBidi" w:hint="cs"/>
          <w:sz w:val="16"/>
          <w:szCs w:val="16"/>
          <w:rtl/>
          <w:lang w:bidi="ar-MA"/>
        </w:rPr>
        <w:t xml:space="preserve"> أو غير مصرحة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93" w:rsidRDefault="001E3A93" w:rsidP="006130A4">
    <w:pPr>
      <w:pStyle w:val="En-tte"/>
      <w:jc w:val="center"/>
    </w:pPr>
    <w:r w:rsidRPr="006130A4">
      <w:rPr>
        <w:noProof/>
        <w:lang w:eastAsia="fr-FR"/>
      </w:rPr>
      <w:drawing>
        <wp:inline distT="0" distB="0" distL="0" distR="0">
          <wp:extent cx="1530350" cy="1104900"/>
          <wp:effectExtent l="19050" t="0" r="0" b="0"/>
          <wp:docPr id="3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798" cy="1108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08B1"/>
    <w:multiLevelType w:val="hybridMultilevel"/>
    <w:tmpl w:val="103C4540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F531EDF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184412BC"/>
    <w:multiLevelType w:val="hybridMultilevel"/>
    <w:tmpl w:val="1D047496"/>
    <w:lvl w:ilvl="0" w:tplc="040C000F">
      <w:start w:val="1"/>
      <w:numFmt w:val="decimal"/>
      <w:lvlText w:val="%1."/>
      <w:lvlJc w:val="left"/>
      <w:pPr>
        <w:ind w:left="870" w:hanging="360"/>
      </w:p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C4D4F"/>
    <w:multiLevelType w:val="hybridMultilevel"/>
    <w:tmpl w:val="D98C6F9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4B6D5D88"/>
    <w:multiLevelType w:val="hybridMultilevel"/>
    <w:tmpl w:val="6B5E776E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BD9"/>
    <w:rsid w:val="00042830"/>
    <w:rsid w:val="00060642"/>
    <w:rsid w:val="000609BD"/>
    <w:rsid w:val="00063CFE"/>
    <w:rsid w:val="00067B95"/>
    <w:rsid w:val="00072945"/>
    <w:rsid w:val="00082D15"/>
    <w:rsid w:val="000928A0"/>
    <w:rsid w:val="000A07AC"/>
    <w:rsid w:val="000A7473"/>
    <w:rsid w:val="000B1DAF"/>
    <w:rsid w:val="000B2F10"/>
    <w:rsid w:val="000C0C79"/>
    <w:rsid w:val="000C39E1"/>
    <w:rsid w:val="000C6C0E"/>
    <w:rsid w:val="000D05D3"/>
    <w:rsid w:val="000D37D6"/>
    <w:rsid w:val="000D5C93"/>
    <w:rsid w:val="000D7763"/>
    <w:rsid w:val="000E24CD"/>
    <w:rsid w:val="000E4715"/>
    <w:rsid w:val="000E7C88"/>
    <w:rsid w:val="000F2EAE"/>
    <w:rsid w:val="00114B48"/>
    <w:rsid w:val="00116BA9"/>
    <w:rsid w:val="00130755"/>
    <w:rsid w:val="00131CC7"/>
    <w:rsid w:val="00144404"/>
    <w:rsid w:val="00162254"/>
    <w:rsid w:val="001629F8"/>
    <w:rsid w:val="00167CDE"/>
    <w:rsid w:val="001815AF"/>
    <w:rsid w:val="00197FE6"/>
    <w:rsid w:val="001A5243"/>
    <w:rsid w:val="001B672F"/>
    <w:rsid w:val="001C6903"/>
    <w:rsid w:val="001D664B"/>
    <w:rsid w:val="001E3A93"/>
    <w:rsid w:val="001F11F2"/>
    <w:rsid w:val="0020085F"/>
    <w:rsid w:val="002043F7"/>
    <w:rsid w:val="002119FD"/>
    <w:rsid w:val="00214AF1"/>
    <w:rsid w:val="00214C86"/>
    <w:rsid w:val="00217711"/>
    <w:rsid w:val="00223AE1"/>
    <w:rsid w:val="0024596C"/>
    <w:rsid w:val="00253339"/>
    <w:rsid w:val="00285142"/>
    <w:rsid w:val="002B1577"/>
    <w:rsid w:val="002C2571"/>
    <w:rsid w:val="002D5890"/>
    <w:rsid w:val="002E74A3"/>
    <w:rsid w:val="003169DC"/>
    <w:rsid w:val="003409A4"/>
    <w:rsid w:val="00346225"/>
    <w:rsid w:val="00364956"/>
    <w:rsid w:val="00366D49"/>
    <w:rsid w:val="00371B40"/>
    <w:rsid w:val="00372AEF"/>
    <w:rsid w:val="0037684C"/>
    <w:rsid w:val="00392F8B"/>
    <w:rsid w:val="003A13B7"/>
    <w:rsid w:val="003A2693"/>
    <w:rsid w:val="003B0C5C"/>
    <w:rsid w:val="003B1033"/>
    <w:rsid w:val="003B19D2"/>
    <w:rsid w:val="003B5873"/>
    <w:rsid w:val="003B5B47"/>
    <w:rsid w:val="003C30A9"/>
    <w:rsid w:val="003C5777"/>
    <w:rsid w:val="003C71BB"/>
    <w:rsid w:val="003E5CF1"/>
    <w:rsid w:val="003F5E1C"/>
    <w:rsid w:val="00405B9F"/>
    <w:rsid w:val="004730B4"/>
    <w:rsid w:val="00486617"/>
    <w:rsid w:val="00486AE7"/>
    <w:rsid w:val="004A59FB"/>
    <w:rsid w:val="004D348A"/>
    <w:rsid w:val="004D5F6C"/>
    <w:rsid w:val="004E4C07"/>
    <w:rsid w:val="005058BE"/>
    <w:rsid w:val="00513A23"/>
    <w:rsid w:val="00517C45"/>
    <w:rsid w:val="00525F47"/>
    <w:rsid w:val="005264D7"/>
    <w:rsid w:val="00542217"/>
    <w:rsid w:val="0056003B"/>
    <w:rsid w:val="0059623B"/>
    <w:rsid w:val="005A2D36"/>
    <w:rsid w:val="005B5707"/>
    <w:rsid w:val="005D4A5E"/>
    <w:rsid w:val="005F44CD"/>
    <w:rsid w:val="00605680"/>
    <w:rsid w:val="00613070"/>
    <w:rsid w:val="006130A4"/>
    <w:rsid w:val="00634697"/>
    <w:rsid w:val="00635C68"/>
    <w:rsid w:val="00651198"/>
    <w:rsid w:val="00673068"/>
    <w:rsid w:val="006A0D77"/>
    <w:rsid w:val="006B50C7"/>
    <w:rsid w:val="006C23C4"/>
    <w:rsid w:val="006C4DC8"/>
    <w:rsid w:val="006D3971"/>
    <w:rsid w:val="006D4D78"/>
    <w:rsid w:val="006E60EC"/>
    <w:rsid w:val="006F5FB8"/>
    <w:rsid w:val="00723816"/>
    <w:rsid w:val="00732C1E"/>
    <w:rsid w:val="0075580D"/>
    <w:rsid w:val="007575E8"/>
    <w:rsid w:val="007600FF"/>
    <w:rsid w:val="007742A4"/>
    <w:rsid w:val="00780C6D"/>
    <w:rsid w:val="007833FA"/>
    <w:rsid w:val="00791B21"/>
    <w:rsid w:val="007B0DB8"/>
    <w:rsid w:val="007B0F87"/>
    <w:rsid w:val="007B5100"/>
    <w:rsid w:val="007F52D2"/>
    <w:rsid w:val="007F5612"/>
    <w:rsid w:val="008025DD"/>
    <w:rsid w:val="008037ED"/>
    <w:rsid w:val="0082123E"/>
    <w:rsid w:val="00837DFD"/>
    <w:rsid w:val="00844584"/>
    <w:rsid w:val="0085176E"/>
    <w:rsid w:val="008609B4"/>
    <w:rsid w:val="0086712D"/>
    <w:rsid w:val="00871AEC"/>
    <w:rsid w:val="0087441E"/>
    <w:rsid w:val="008840FD"/>
    <w:rsid w:val="008A165F"/>
    <w:rsid w:val="008A7D07"/>
    <w:rsid w:val="008B223A"/>
    <w:rsid w:val="008B55A7"/>
    <w:rsid w:val="008B59C4"/>
    <w:rsid w:val="008C1534"/>
    <w:rsid w:val="008D50D1"/>
    <w:rsid w:val="008E53FB"/>
    <w:rsid w:val="00904481"/>
    <w:rsid w:val="0090543D"/>
    <w:rsid w:val="00905DFA"/>
    <w:rsid w:val="00966503"/>
    <w:rsid w:val="00974151"/>
    <w:rsid w:val="00976776"/>
    <w:rsid w:val="009974BF"/>
    <w:rsid w:val="009A0794"/>
    <w:rsid w:val="009B20B0"/>
    <w:rsid w:val="009B39A2"/>
    <w:rsid w:val="009C4A69"/>
    <w:rsid w:val="009E7C2F"/>
    <w:rsid w:val="00A012D6"/>
    <w:rsid w:val="00A05D1C"/>
    <w:rsid w:val="00A1757A"/>
    <w:rsid w:val="00A344BF"/>
    <w:rsid w:val="00A36962"/>
    <w:rsid w:val="00A5052D"/>
    <w:rsid w:val="00A52C6A"/>
    <w:rsid w:val="00A73502"/>
    <w:rsid w:val="00A73729"/>
    <w:rsid w:val="00A775D9"/>
    <w:rsid w:val="00A87AC8"/>
    <w:rsid w:val="00AA0975"/>
    <w:rsid w:val="00AC339C"/>
    <w:rsid w:val="00AC38D9"/>
    <w:rsid w:val="00AC5601"/>
    <w:rsid w:val="00AC6DD8"/>
    <w:rsid w:val="00AD7485"/>
    <w:rsid w:val="00AF6792"/>
    <w:rsid w:val="00B12E3C"/>
    <w:rsid w:val="00B21C24"/>
    <w:rsid w:val="00B320B3"/>
    <w:rsid w:val="00B73438"/>
    <w:rsid w:val="00B919A1"/>
    <w:rsid w:val="00B9411C"/>
    <w:rsid w:val="00BA342C"/>
    <w:rsid w:val="00BA4FAE"/>
    <w:rsid w:val="00BC3B0F"/>
    <w:rsid w:val="00BC3F6C"/>
    <w:rsid w:val="00BC4B2B"/>
    <w:rsid w:val="00BE49B5"/>
    <w:rsid w:val="00BE5B79"/>
    <w:rsid w:val="00C00A66"/>
    <w:rsid w:val="00C40DF5"/>
    <w:rsid w:val="00C41632"/>
    <w:rsid w:val="00C55640"/>
    <w:rsid w:val="00C64E27"/>
    <w:rsid w:val="00C6759A"/>
    <w:rsid w:val="00C75D5E"/>
    <w:rsid w:val="00C87AE0"/>
    <w:rsid w:val="00C94E6A"/>
    <w:rsid w:val="00CA0AD2"/>
    <w:rsid w:val="00CA2562"/>
    <w:rsid w:val="00CB35CB"/>
    <w:rsid w:val="00CB56ED"/>
    <w:rsid w:val="00CC11A5"/>
    <w:rsid w:val="00CC78DE"/>
    <w:rsid w:val="00CD1890"/>
    <w:rsid w:val="00CD269D"/>
    <w:rsid w:val="00CD4A82"/>
    <w:rsid w:val="00CD5296"/>
    <w:rsid w:val="00CF2709"/>
    <w:rsid w:val="00D050F1"/>
    <w:rsid w:val="00D05FBC"/>
    <w:rsid w:val="00D26DA0"/>
    <w:rsid w:val="00D370A6"/>
    <w:rsid w:val="00D54A66"/>
    <w:rsid w:val="00D577BC"/>
    <w:rsid w:val="00D615F1"/>
    <w:rsid w:val="00D80F5B"/>
    <w:rsid w:val="00D8113C"/>
    <w:rsid w:val="00D86E1F"/>
    <w:rsid w:val="00D908AE"/>
    <w:rsid w:val="00D95BD6"/>
    <w:rsid w:val="00DC68C1"/>
    <w:rsid w:val="00DD4BD9"/>
    <w:rsid w:val="00DF08AA"/>
    <w:rsid w:val="00DF1C2B"/>
    <w:rsid w:val="00DF464C"/>
    <w:rsid w:val="00E06707"/>
    <w:rsid w:val="00E127E4"/>
    <w:rsid w:val="00E1446B"/>
    <w:rsid w:val="00E315A6"/>
    <w:rsid w:val="00E32951"/>
    <w:rsid w:val="00E405F9"/>
    <w:rsid w:val="00E42875"/>
    <w:rsid w:val="00E61BEE"/>
    <w:rsid w:val="00E844F6"/>
    <w:rsid w:val="00EA3324"/>
    <w:rsid w:val="00EA5F67"/>
    <w:rsid w:val="00EB25F2"/>
    <w:rsid w:val="00EB7E46"/>
    <w:rsid w:val="00ED1753"/>
    <w:rsid w:val="00EE0332"/>
    <w:rsid w:val="00F02DEE"/>
    <w:rsid w:val="00F303E6"/>
    <w:rsid w:val="00F332AA"/>
    <w:rsid w:val="00F51EBC"/>
    <w:rsid w:val="00F62E45"/>
    <w:rsid w:val="00F720B2"/>
    <w:rsid w:val="00F72C10"/>
    <w:rsid w:val="00FA7CDA"/>
    <w:rsid w:val="00FB010B"/>
    <w:rsid w:val="00FB0644"/>
    <w:rsid w:val="00FC3E3F"/>
    <w:rsid w:val="00FE4171"/>
    <w:rsid w:val="00FF5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BD9"/>
    <w:pPr>
      <w:spacing w:after="160" w:line="259" w:lineRule="auto"/>
    </w:p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575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D4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BD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D4BD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D4BD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D4BD9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D4BD9"/>
    <w:pPr>
      <w:spacing w:line="256" w:lineRule="auto"/>
      <w:ind w:left="720"/>
      <w:contextualSpacing/>
    </w:pPr>
    <w:rPr>
      <w:rFonts w:asciiTheme="majorBidi" w:hAnsiTheme="majorBidi" w:cstheme="majorBidi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5DFA"/>
  </w:style>
  <w:style w:type="paragraph" w:styleId="Pieddepage">
    <w:name w:val="footer"/>
    <w:basedOn w:val="Normal"/>
    <w:link w:val="PieddepageCar"/>
    <w:uiPriority w:val="99"/>
    <w:unhideWhenUsed/>
    <w:rsid w:val="00905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5DFA"/>
  </w:style>
  <w:style w:type="paragraph" w:styleId="PrformatHTML">
    <w:name w:val="HTML Preformatted"/>
    <w:basedOn w:val="Normal"/>
    <w:link w:val="PrformatHTMLCar"/>
    <w:uiPriority w:val="99"/>
    <w:unhideWhenUsed/>
    <w:rsid w:val="00CA0A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A0AD2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130755"/>
    <w:pPr>
      <w:spacing w:after="0" w:line="240" w:lineRule="auto"/>
    </w:pPr>
  </w:style>
  <w:style w:type="paragraph" w:customStyle="1" w:styleId="MMTopic2">
    <w:name w:val="MM Topic 2"/>
    <w:basedOn w:val="Titre2"/>
    <w:link w:val="MMTopic2Car"/>
    <w:rsid w:val="007575E8"/>
    <w:pPr>
      <w:spacing w:before="40" w:line="254" w:lineRule="auto"/>
    </w:pPr>
    <w:rPr>
      <w:rFonts w:cs="Calibri Light"/>
      <w:b w:val="0"/>
      <w:bCs w:val="0"/>
      <w:color w:val="365F91" w:themeColor="accent1" w:themeShade="BF"/>
      <w:lang w:val="en-US"/>
    </w:rPr>
  </w:style>
  <w:style w:type="character" w:customStyle="1" w:styleId="MMTopic2Car">
    <w:name w:val="MM Topic 2 Car"/>
    <w:basedOn w:val="Policepardfaut"/>
    <w:link w:val="MMTopic2"/>
    <w:locked/>
    <w:rsid w:val="007575E8"/>
    <w:rPr>
      <w:rFonts w:asciiTheme="majorHAnsi" w:eastAsiaTheme="majorEastAsia" w:hAnsiTheme="majorHAnsi" w:cs="Calibri Light"/>
      <w:color w:val="365F91" w:themeColor="accent1" w:themeShade="BF"/>
      <w:sz w:val="26"/>
      <w:szCs w:val="26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7575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note%20annuelle%202023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note%20annuelle%202023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Ann&#233;e%202024\R&#233;sultats%202023%20T4\2023%20-%20Note%20sur%20les%20chiffres%20cl&#233;s%20-%20Tabulation%20%231%20-DEE18024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elkachach\Desktop\Labour%20Force%20survey%20Division\Notes%20d'information\graphiques%20note%20annuelle%202023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ouazzani\Downloads\2023%20-%20Note%20sur%20les%20chiffres%20cl&#233;s%20-%20Annexe%20-DEE1801202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mel\ENE\NoteMarcheTravail\2022\Annuelle\Graphique_Chomage_20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Kamel\ENE\NoteMarcheTravail\2022\Annuelle\Graphique_Chomage_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3\Note%20sur%20la%20situation%20MT%20en%202023\Tableaux\2023%20-%20Note%20sur%20les%20chiffres%20cl&#233;s%20-%20Annexe%20-DEE1801202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Taches%20DEE\Publications%20DEE\Publications%20Annuelles\Notes%20Annuelles\Notes%202023\Note%20sur%20la%20situation%20MT%20en%202023\Tableaux\2023%20-%20Note%20sur%20les%20chiffres%20cl&#233;s%20-%20Annexe%20-DEE1801202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'Graphiques Version arabe'!$A$5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arabe'!$B$5:$H$5</c:f>
              <c:numCache>
                <c:formatCode>General</c:formatCode>
                <c:ptCount val="7"/>
                <c:pt idx="0">
                  <c:v>42.4</c:v>
                </c:pt>
                <c:pt idx="1">
                  <c:v>42</c:v>
                </c:pt>
                <c:pt idx="2">
                  <c:v>42.3</c:v>
                </c:pt>
                <c:pt idx="3">
                  <c:v>41.9</c:v>
                </c:pt>
                <c:pt idx="4">
                  <c:v>42.3</c:v>
                </c:pt>
                <c:pt idx="5">
                  <c:v>41.9</c:v>
                </c:pt>
                <c:pt idx="6">
                  <c:v>41.8</c:v>
                </c:pt>
              </c:numCache>
            </c:numRef>
          </c:val>
        </c:ser>
        <c:ser>
          <c:idx val="1"/>
          <c:order val="1"/>
          <c:tx>
            <c:strRef>
              <c:f>'Graphiques Version arabe'!$A$6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arabe'!$B$6:$H$6</c:f>
              <c:numCache>
                <c:formatCode>General</c:formatCode>
                <c:ptCount val="7"/>
                <c:pt idx="0">
                  <c:v>54.1</c:v>
                </c:pt>
                <c:pt idx="1">
                  <c:v>53.2</c:v>
                </c:pt>
                <c:pt idx="2">
                  <c:v>52.2</c:v>
                </c:pt>
                <c:pt idx="3">
                  <c:v>50</c:v>
                </c:pt>
                <c:pt idx="4">
                  <c:v>50.9</c:v>
                </c:pt>
                <c:pt idx="5">
                  <c:v>49.1</c:v>
                </c:pt>
                <c:pt idx="6">
                  <c:v>47.3</c:v>
                </c:pt>
              </c:numCache>
            </c:numRef>
          </c:val>
        </c:ser>
        <c:ser>
          <c:idx val="2"/>
          <c:order val="2"/>
          <c:tx>
            <c:strRef>
              <c:f>'Graphiques Version arabe'!$A$7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arabe'!$B$4:$H$4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arabe'!$B$7:$H$7</c:f>
              <c:numCache>
                <c:formatCode>General</c:formatCode>
                <c:ptCount val="7"/>
                <c:pt idx="0">
                  <c:v>46.7</c:v>
                </c:pt>
                <c:pt idx="1">
                  <c:v>46</c:v>
                </c:pt>
                <c:pt idx="2">
                  <c:v>45.8</c:v>
                </c:pt>
                <c:pt idx="3">
                  <c:v>44.8</c:v>
                </c:pt>
                <c:pt idx="4">
                  <c:v>45.3</c:v>
                </c:pt>
                <c:pt idx="5">
                  <c:v>44.3</c:v>
                </c:pt>
                <c:pt idx="6">
                  <c:v>43.6</c:v>
                </c:pt>
              </c:numCache>
            </c:numRef>
          </c:val>
        </c:ser>
        <c:dLbls>
          <c:showVal val="1"/>
        </c:dLbls>
        <c:marker val="1"/>
        <c:axId val="69947776"/>
        <c:axId val="69952640"/>
      </c:lineChart>
      <c:catAx>
        <c:axId val="699477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69952640"/>
        <c:crosses val="autoZero"/>
        <c:auto val="1"/>
        <c:lblAlgn val="ctr"/>
        <c:lblOffset val="100"/>
      </c:catAx>
      <c:valAx>
        <c:axId val="69952640"/>
        <c:scaling>
          <c:orientation val="minMax"/>
          <c:min val="40"/>
        </c:scaling>
        <c:delete val="1"/>
        <c:axPos val="l"/>
        <c:numFmt formatCode="General" sourceLinked="1"/>
        <c:tickLblPos val="nextTo"/>
        <c:crossAx val="69947776"/>
        <c:crosses val="autoZero"/>
        <c:crossBetween val="between"/>
      </c:valAx>
      <c:spPr>
        <a:noFill/>
        <a:ln>
          <a:noFill/>
        </a:ln>
      </c:spPr>
    </c:plotArea>
    <c:legend>
      <c:legendPos val="b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lineChart>
        <c:grouping val="standard"/>
        <c:ser>
          <c:idx val="0"/>
          <c:order val="0"/>
          <c:tx>
            <c:strRef>
              <c:f>'Graphiques Version arabe'!$A$16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arabe'!$B$15:$H$15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arabe'!$B$16:$H$16</c:f>
              <c:numCache>
                <c:formatCode>General</c:formatCode>
                <c:ptCount val="7"/>
                <c:pt idx="0">
                  <c:v>36.1</c:v>
                </c:pt>
                <c:pt idx="1">
                  <c:v>36.200000000000003</c:v>
                </c:pt>
                <c:pt idx="2">
                  <c:v>36.9</c:v>
                </c:pt>
                <c:pt idx="3">
                  <c:v>35.300000000000004</c:v>
                </c:pt>
                <c:pt idx="4">
                  <c:v>35.1</c:v>
                </c:pt>
                <c:pt idx="5">
                  <c:v>35.300000000000004</c:v>
                </c:pt>
                <c:pt idx="6">
                  <c:v>34.800000000000004</c:v>
                </c:pt>
              </c:numCache>
            </c:numRef>
          </c:val>
        </c:ser>
        <c:ser>
          <c:idx val="1"/>
          <c:order val="1"/>
          <c:tx>
            <c:strRef>
              <c:f>'Graphiques Version arabe'!$A$17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arabe'!$B$15:$H$15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arabe'!$B$17:$H$17</c:f>
              <c:numCache>
                <c:formatCode>General</c:formatCode>
                <c:ptCount val="7"/>
                <c:pt idx="0">
                  <c:v>52</c:v>
                </c:pt>
                <c:pt idx="1">
                  <c:v>51.3</c:v>
                </c:pt>
                <c:pt idx="2">
                  <c:v>50.3</c:v>
                </c:pt>
                <c:pt idx="3">
                  <c:v>47</c:v>
                </c:pt>
                <c:pt idx="4">
                  <c:v>48.4</c:v>
                </c:pt>
                <c:pt idx="5">
                  <c:v>46.5</c:v>
                </c:pt>
                <c:pt idx="6">
                  <c:v>44.3</c:v>
                </c:pt>
              </c:numCache>
            </c:numRef>
          </c:val>
        </c:ser>
        <c:ser>
          <c:idx val="2"/>
          <c:order val="2"/>
          <c:tx>
            <c:strRef>
              <c:f>'Graphiques Version arabe'!$A$18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t"/>
            <c:showVal val="1"/>
          </c:dLbls>
          <c:cat>
            <c:numRef>
              <c:f>'Graphiques Version arabe'!$B$15:$H$15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</c:numCache>
            </c:numRef>
          </c:cat>
          <c:val>
            <c:numRef>
              <c:f>'Graphiques Version arabe'!$B$18:$H$18</c:f>
              <c:numCache>
                <c:formatCode>General</c:formatCode>
                <c:ptCount val="7"/>
                <c:pt idx="0">
                  <c:v>41.4</c:v>
                </c:pt>
                <c:pt idx="1">
                  <c:v>41.7</c:v>
                </c:pt>
                <c:pt idx="2">
                  <c:v>41.6</c:v>
                </c:pt>
                <c:pt idx="3">
                  <c:v>39.4</c:v>
                </c:pt>
                <c:pt idx="4">
                  <c:v>39.700000000000003</c:v>
                </c:pt>
                <c:pt idx="5">
                  <c:v>39.1</c:v>
                </c:pt>
                <c:pt idx="6">
                  <c:v>38</c:v>
                </c:pt>
              </c:numCache>
            </c:numRef>
          </c:val>
        </c:ser>
        <c:dLbls>
          <c:showVal val="1"/>
        </c:dLbls>
        <c:marker val="1"/>
        <c:axId val="126181760"/>
        <c:axId val="126401536"/>
      </c:lineChart>
      <c:catAx>
        <c:axId val="1261817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800" b="1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26401536"/>
        <c:crosses val="autoZero"/>
        <c:auto val="1"/>
        <c:lblAlgn val="ctr"/>
        <c:lblOffset val="100"/>
      </c:catAx>
      <c:valAx>
        <c:axId val="126401536"/>
        <c:scaling>
          <c:orientation val="minMax"/>
          <c:min val="30"/>
        </c:scaling>
        <c:delete val="1"/>
        <c:axPos val="l"/>
        <c:numFmt formatCode="General" sourceLinked="1"/>
        <c:tickLblPos val="nextTo"/>
        <c:crossAx val="126181760"/>
        <c:crosses val="autoZero"/>
        <c:crossBetween val="between"/>
      </c:valAx>
      <c:spPr>
        <a:noFill/>
        <a:ln>
          <a:noFill/>
        </a:ln>
      </c:spPr>
    </c:plotArea>
    <c:legend>
      <c:legendPos val="b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Feuil1!$B$7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showVal val="1"/>
          </c:dLbls>
          <c:cat>
            <c:strRef>
              <c:f>Feuil1!$C$6:$E$6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Feuil1!$C$7:$E$7</c:f>
              <c:numCache>
                <c:formatCode>_-* #,##0\ _€_-;\-* #,##0\ _€_-;_-* "-"??\ _€_-;_-@_-</c:formatCode>
                <c:ptCount val="3"/>
                <c:pt idx="0">
                  <c:v>59000</c:v>
                </c:pt>
                <c:pt idx="1">
                  <c:v>-9000</c:v>
                </c:pt>
                <c:pt idx="2">
                  <c:v>50000</c:v>
                </c:pt>
              </c:numCache>
            </c:numRef>
          </c:val>
        </c:ser>
        <c:ser>
          <c:idx val="1"/>
          <c:order val="1"/>
          <c:tx>
            <c:strRef>
              <c:f>Feuil1!$B$8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showVal val="1"/>
          </c:dLbls>
          <c:cat>
            <c:strRef>
              <c:f>Feuil1!$C$6:$E$6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Feuil1!$C$8:$E$8</c:f>
              <c:numCache>
                <c:formatCode>_-* #,##0\ _€_-;\-* #,##0\ _€_-;_-* "-"??\ _€_-;_-@_-</c:formatCode>
                <c:ptCount val="3"/>
                <c:pt idx="0">
                  <c:v>-19000</c:v>
                </c:pt>
                <c:pt idx="1">
                  <c:v>-190000</c:v>
                </c:pt>
                <c:pt idx="2">
                  <c:v>-209000</c:v>
                </c:pt>
              </c:numCache>
            </c:numRef>
          </c:val>
        </c:ser>
        <c:ser>
          <c:idx val="2"/>
          <c:order val="2"/>
          <c:tx>
            <c:strRef>
              <c:f>Feuil1!$B$9</c:f>
              <c:strCache>
                <c:ptCount val="1"/>
                <c:pt idx="0">
                  <c:v>المجموع</c:v>
                </c:pt>
              </c:strCache>
            </c:strRef>
          </c:tx>
          <c:dLbls>
            <c:showVal val="1"/>
          </c:dLbls>
          <c:cat>
            <c:strRef>
              <c:f>Feuil1!$C$6:$E$6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Feuil1!$C$9:$E$9</c:f>
              <c:numCache>
                <c:formatCode>_-* #,##0\ _€_-;\-* #,##0\ _€_-;_-* "-"??\ _€_-;_-@_-</c:formatCode>
                <c:ptCount val="3"/>
                <c:pt idx="0">
                  <c:v>41000</c:v>
                </c:pt>
                <c:pt idx="1">
                  <c:v>-198000</c:v>
                </c:pt>
                <c:pt idx="2">
                  <c:v>-157000</c:v>
                </c:pt>
              </c:numCache>
            </c:numRef>
          </c:val>
        </c:ser>
        <c:gapWidth val="75"/>
        <c:overlap val="-25"/>
        <c:axId val="126850944"/>
        <c:axId val="126852480"/>
      </c:barChart>
      <c:catAx>
        <c:axId val="126850944"/>
        <c:scaling>
          <c:orientation val="minMax"/>
        </c:scaling>
        <c:axPos val="b"/>
        <c:majorTickMark val="none"/>
        <c:tickLblPos val="high"/>
        <c:crossAx val="126852480"/>
        <c:crosses val="autoZero"/>
        <c:auto val="1"/>
        <c:lblAlgn val="ctr"/>
        <c:lblOffset val="100"/>
      </c:catAx>
      <c:valAx>
        <c:axId val="126852480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none"/>
        <c:tickLblPos val="nextTo"/>
        <c:crossAx val="12685094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'Graphiques Version arabe'!$B$38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</c:spP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Version arabe'!$A$39:$A$43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'Graphiques Version arabe'!$B$39:$B$43</c:f>
              <c:numCache>
                <c:formatCode>_-* #,##0\ _€_-;\-* #,##0\ _€_-;_-* "-"??\ _€_-;_-@_-</c:formatCode>
                <c:ptCount val="5"/>
                <c:pt idx="0">
                  <c:v>-202000</c:v>
                </c:pt>
                <c:pt idx="1">
                  <c:v>7000</c:v>
                </c:pt>
                <c:pt idx="2">
                  <c:v>19000</c:v>
                </c:pt>
                <c:pt idx="3">
                  <c:v>15000</c:v>
                </c:pt>
                <c:pt idx="4">
                  <c:v>-157000</c:v>
                </c:pt>
              </c:numCache>
            </c:numRef>
          </c:val>
        </c:ser>
        <c:ser>
          <c:idx val="1"/>
          <c:order val="1"/>
          <c:tx>
            <c:strRef>
              <c:f>'Graphiques Version arabe'!$C$38</c:f>
              <c:strCache>
                <c:ptCount val="1"/>
                <c:pt idx="0">
                  <c:v>الحضري</c:v>
                </c:pt>
              </c:strCache>
            </c:strRef>
          </c:tx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Version arabe'!$A$39:$A$43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'Graphiques Version arabe'!$C$39:$C$43</c:f>
              <c:numCache>
                <c:formatCode>_-* #,##0\ _€_-;\-* #,##0\ _€_-;_-* "-"??\ _€_-;_-@_-</c:formatCode>
                <c:ptCount val="5"/>
                <c:pt idx="0">
                  <c:v>5000</c:v>
                </c:pt>
                <c:pt idx="1">
                  <c:v>4000</c:v>
                </c:pt>
                <c:pt idx="2">
                  <c:v>-5000</c:v>
                </c:pt>
                <c:pt idx="3">
                  <c:v>33000</c:v>
                </c:pt>
                <c:pt idx="4">
                  <c:v>41000</c:v>
                </c:pt>
              </c:numCache>
            </c:numRef>
          </c:val>
        </c:ser>
        <c:ser>
          <c:idx val="2"/>
          <c:order val="2"/>
          <c:tx>
            <c:strRef>
              <c:f>'Graphiques Version arabe'!$D$38</c:f>
              <c:strCache>
                <c:ptCount val="1"/>
                <c:pt idx="0">
                  <c:v>القروي</c:v>
                </c:pt>
              </c:strCache>
            </c:strRef>
          </c:tx>
          <c:spPr>
            <a:solidFill>
              <a:srgbClr val="1F497D">
                <a:lumMod val="60000"/>
                <a:lumOff val="40000"/>
              </a:srgbClr>
            </a:solidFill>
          </c:spPr>
          <c:dLbls>
            <c:txPr>
              <a:bodyPr/>
              <a:lstStyle/>
              <a:p>
                <a:pPr>
                  <a:defRPr sz="700">
                    <a:latin typeface="Times New Roman" pitchFamily="18" charset="0"/>
                    <a:cs typeface="Times New Roman" pitchFamily="18" charset="0"/>
                  </a:defRPr>
                </a:pPr>
                <a:endParaRPr lang="fr-FR"/>
              </a:p>
            </c:txPr>
            <c:dLblPos val="outEnd"/>
            <c:showVal val="1"/>
          </c:dLbls>
          <c:cat>
            <c:strRef>
              <c:f>'Graphiques Version arabe'!$A$39:$A$43</c:f>
              <c:strCache>
                <c:ptCount val="5"/>
                <c:pt idx="0">
                  <c:v>الفلاحة والغابات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'Graphiques Version arabe'!$D$39:$D$43</c:f>
              <c:numCache>
                <c:formatCode>_-* #,##0\ _€_-;\-* #,##0\ _€_-;_-* "-"??\ _€_-;_-@_-</c:formatCode>
                <c:ptCount val="5"/>
                <c:pt idx="0">
                  <c:v>-207000</c:v>
                </c:pt>
                <c:pt idx="1">
                  <c:v>3000</c:v>
                </c:pt>
                <c:pt idx="2">
                  <c:v>24000</c:v>
                </c:pt>
                <c:pt idx="3">
                  <c:v>-18000</c:v>
                </c:pt>
                <c:pt idx="4">
                  <c:v>-198000</c:v>
                </c:pt>
              </c:numCache>
            </c:numRef>
          </c:val>
        </c:ser>
        <c:dLbls>
          <c:showVal val="1"/>
        </c:dLbls>
        <c:axId val="127350272"/>
        <c:axId val="127351808"/>
      </c:barChart>
      <c:catAx>
        <c:axId val="127350272"/>
        <c:scaling>
          <c:orientation val="minMax"/>
        </c:scaling>
        <c:axPos val="b"/>
        <c:tickLblPos val="low"/>
        <c:txPr>
          <a:bodyPr/>
          <a:lstStyle/>
          <a:p>
            <a:pPr>
              <a:defRPr sz="900" b="1">
                <a:latin typeface="Times New Roman" pitchFamily="18" charset="0"/>
                <a:cs typeface="Times New Roman" pitchFamily="18" charset="0"/>
              </a:defRPr>
            </a:pPr>
            <a:endParaRPr lang="fr-FR"/>
          </a:p>
        </c:txPr>
        <c:crossAx val="127351808"/>
        <c:crosses val="autoZero"/>
        <c:auto val="1"/>
        <c:lblAlgn val="ctr"/>
        <c:lblOffset val="1000"/>
      </c:catAx>
      <c:valAx>
        <c:axId val="127351808"/>
        <c:scaling>
          <c:orientation val="minMax"/>
          <c:max val="60000"/>
          <c:min val="-207000"/>
        </c:scaling>
        <c:delete val="1"/>
        <c:axPos val="l"/>
        <c:numFmt formatCode="_-* #,##0\ _€_-;\-* #,##0\ _€_-;_-* &quot;-&quot;??\ _€_-;_-@_-" sourceLinked="1"/>
        <c:tickLblPos val="nextTo"/>
        <c:crossAx val="127350272"/>
        <c:crosses val="autoZero"/>
        <c:crossBetween val="between"/>
        <c:majorUnit val="50000"/>
        <c:minorUnit val="1000"/>
      </c:valAx>
      <c:spPr>
        <a:noFill/>
        <a:ln>
          <a:noFill/>
        </a:ln>
      </c:spPr>
    </c:plotArea>
    <c:legend>
      <c:legendPos val="t"/>
      <c:txPr>
        <a:bodyPr/>
        <a:lstStyle/>
        <a:p>
          <a:pPr>
            <a:defRPr sz="900"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noFill/>
    <a:ln>
      <a:noFill/>
    </a:ln>
  </c:sp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Feuil1!$B$8</c:f>
              <c:strCache>
                <c:ptCount val="1"/>
                <c:pt idx="0">
                  <c:v>الحضري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ctr"/>
            <c:showVal val="1"/>
          </c:dLbls>
          <c:cat>
            <c:strRef>
              <c:f>Feuil1!$A$9:$A$15</c:f>
              <c:strCach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strCache>
            </c:strRef>
          </c:cat>
          <c:val>
            <c:numRef>
              <c:f>Feuil1!$B$9:$B$15</c:f>
              <c:numCache>
                <c:formatCode>#,##0.0</c:formatCode>
                <c:ptCount val="7"/>
                <c:pt idx="0">
                  <c:v>16.809695998096618</c:v>
                </c:pt>
                <c:pt idx="1">
                  <c:v>15.8</c:v>
                </c:pt>
                <c:pt idx="2">
                  <c:v>16.899999999999999</c:v>
                </c:pt>
                <c:pt idx="3">
                  <c:v>15.8</c:v>
                </c:pt>
                <c:pt idx="4">
                  <c:v>12.9</c:v>
                </c:pt>
                <c:pt idx="5">
                  <c:v>13.8</c:v>
                </c:pt>
                <c:pt idx="6">
                  <c:v>14.7</c:v>
                </c:pt>
              </c:numCache>
            </c:numRef>
          </c:val>
        </c:ser>
        <c:ser>
          <c:idx val="1"/>
          <c:order val="1"/>
          <c:tx>
            <c:strRef>
              <c:f>Feuil1!$C$8</c:f>
              <c:strCache>
                <c:ptCount val="1"/>
                <c:pt idx="0">
                  <c:v>القروي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ctr"/>
            <c:showVal val="1"/>
          </c:dLbls>
          <c:cat>
            <c:strRef>
              <c:f>Feuil1!$A$9:$A$15</c:f>
              <c:strCach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strCache>
            </c:strRef>
          </c:cat>
          <c:val>
            <c:numRef>
              <c:f>Feuil1!$C$9:$C$15</c:f>
              <c:numCache>
                <c:formatCode>#,##0.0</c:formatCode>
                <c:ptCount val="7"/>
                <c:pt idx="0">
                  <c:v>6.3113292976657158</c:v>
                </c:pt>
                <c:pt idx="1">
                  <c:v>5.2</c:v>
                </c:pt>
                <c:pt idx="2">
                  <c:v>5</c:v>
                </c:pt>
                <c:pt idx="3">
                  <c:v>5.9</c:v>
                </c:pt>
                <c:pt idx="4">
                  <c:v>3.7</c:v>
                </c:pt>
                <c:pt idx="5">
                  <c:v>3.6</c:v>
                </c:pt>
                <c:pt idx="6">
                  <c:v>4</c:v>
                </c:pt>
              </c:numCache>
            </c:numRef>
          </c:val>
        </c:ser>
        <c:ser>
          <c:idx val="2"/>
          <c:order val="2"/>
          <c:tx>
            <c:strRef>
              <c:f>Feuil1!$D$8</c:f>
              <c:strCache>
                <c:ptCount val="1"/>
                <c:pt idx="0">
                  <c:v>الوطني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ctr"/>
            <c:showVal val="1"/>
          </c:dLbls>
          <c:cat>
            <c:strRef>
              <c:f>Feuil1!$A$9:$A$15</c:f>
              <c:strCache>
                <c:ptCount val="7"/>
                <c:pt idx="0">
                  <c:v>2023</c:v>
                </c:pt>
                <c:pt idx="1">
                  <c:v>2022</c:v>
                </c:pt>
                <c:pt idx="2">
                  <c:v>2021</c:v>
                </c:pt>
                <c:pt idx="3">
                  <c:v>2020</c:v>
                </c:pt>
                <c:pt idx="4">
                  <c:v>2019</c:v>
                </c:pt>
                <c:pt idx="5">
                  <c:v>2018</c:v>
                </c:pt>
                <c:pt idx="6">
                  <c:v>2017</c:v>
                </c:pt>
              </c:strCache>
            </c:strRef>
          </c:cat>
          <c:val>
            <c:numRef>
              <c:f>Feuil1!$D$9:$D$15</c:f>
              <c:numCache>
                <c:formatCode>#,##0.0</c:formatCode>
                <c:ptCount val="7"/>
                <c:pt idx="0">
                  <c:v>12.97948632921711</c:v>
                </c:pt>
                <c:pt idx="1">
                  <c:v>11.8</c:v>
                </c:pt>
                <c:pt idx="2">
                  <c:v>12.3</c:v>
                </c:pt>
                <c:pt idx="3">
                  <c:v>11.9</c:v>
                </c:pt>
                <c:pt idx="4">
                  <c:v>9.2000000000000011</c:v>
                </c:pt>
                <c:pt idx="5">
                  <c:v>9.5</c:v>
                </c:pt>
                <c:pt idx="6">
                  <c:v>10.200000000000001</c:v>
                </c:pt>
              </c:numCache>
            </c:numRef>
          </c:val>
        </c:ser>
        <c:dLbls>
          <c:showVal val="1"/>
        </c:dLbls>
        <c:marker val="1"/>
        <c:axId val="129225088"/>
        <c:axId val="129226624"/>
      </c:lineChart>
      <c:catAx>
        <c:axId val="129225088"/>
        <c:scaling>
          <c:orientation val="maxMin"/>
        </c:scaling>
        <c:axPos val="b"/>
        <c:tickLblPos val="nextTo"/>
        <c:spPr>
          <a:ln w="6350">
            <a:noFill/>
          </a:ln>
        </c:spPr>
        <c:txPr>
          <a:bodyPr/>
          <a:lstStyle/>
          <a:p>
            <a:pPr>
              <a:defRPr sz="900" b="1"/>
            </a:pPr>
            <a:endParaRPr lang="fr-FR"/>
          </a:p>
        </c:txPr>
        <c:crossAx val="129226624"/>
        <c:crosses val="autoZero"/>
        <c:auto val="1"/>
        <c:lblAlgn val="ctr"/>
        <c:lblOffset val="100"/>
      </c:catAx>
      <c:valAx>
        <c:axId val="129226624"/>
        <c:scaling>
          <c:orientation val="minMax"/>
        </c:scaling>
        <c:delete val="1"/>
        <c:axPos val="r"/>
        <c:numFmt formatCode="#,##0.0" sourceLinked="1"/>
        <c:tickLblPos val="nextTo"/>
        <c:crossAx val="129225088"/>
        <c:crosses val="autoZero"/>
        <c:crossBetween val="between"/>
      </c:valAx>
    </c:plotArea>
    <c:legend>
      <c:legendPos val="b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fr-FR"/>
        </a:p>
      </c:txPr>
    </c:legend>
    <c:plotVisOnly val="1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Feuil1!$D$50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Feuil1!$D$51:$D$58</c:f>
              <c:numCache>
                <c:formatCode>0.0</c:formatCode>
                <c:ptCount val="8"/>
                <c:pt idx="0">
                  <c:v>15.8253620084378</c:v>
                </c:pt>
                <c:pt idx="1">
                  <c:v>5.2304955007036824</c:v>
                </c:pt>
                <c:pt idx="2">
                  <c:v>10.264565814841674</c:v>
                </c:pt>
                <c:pt idx="3">
                  <c:v>17.168833140951079</c:v>
                </c:pt>
                <c:pt idx="4">
                  <c:v>32.654309181684894</c:v>
                </c:pt>
                <c:pt idx="5">
                  <c:v>4.2203605611621935</c:v>
                </c:pt>
                <c:pt idx="6">
                  <c:v>18.595868924690816</c:v>
                </c:pt>
                <c:pt idx="7">
                  <c:v>11.828058272390148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43-4972-A30A-E76CBCEF64BD}"/>
            </c:ext>
          </c:extLst>
        </c:ser>
        <c:ser>
          <c:idx val="1"/>
          <c:order val="1"/>
          <c:tx>
            <c:strRef>
              <c:f>Feuil1!$E$50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Feuil1!$C$51:$C$58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 بين 15 و 24 سنة</c:v>
                </c:pt>
                <c:pt idx="5">
                  <c:v>بدون شهادة</c:v>
                </c:pt>
                <c:pt idx="6">
                  <c:v>حاملوا الشهادة</c:v>
                </c:pt>
                <c:pt idx="7">
                  <c:v>وطني</c:v>
                </c:pt>
              </c:strCache>
            </c:strRef>
          </c:cat>
          <c:val>
            <c:numRef>
              <c:f>Feuil1!$E$51:$E$58</c:f>
              <c:numCache>
                <c:formatCode>0.0</c:formatCode>
                <c:ptCount val="8"/>
                <c:pt idx="0">
                  <c:v>16.8</c:v>
                </c:pt>
                <c:pt idx="1">
                  <c:v>6.3</c:v>
                </c:pt>
                <c:pt idx="2">
                  <c:v>11.5</c:v>
                </c:pt>
                <c:pt idx="3">
                  <c:v>18.3</c:v>
                </c:pt>
                <c:pt idx="4">
                  <c:v>35.800000000000004</c:v>
                </c:pt>
                <c:pt idx="5">
                  <c:v>4.9000000000000004</c:v>
                </c:pt>
                <c:pt idx="6">
                  <c:v>19.7</c:v>
                </c:pt>
                <c:pt idx="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643-4972-A30A-E76CBCEF64BD}"/>
            </c:ext>
          </c:extLst>
        </c:ser>
        <c:gapWidth val="219"/>
        <c:overlap val="-27"/>
        <c:axId val="53201152"/>
        <c:axId val="53211136"/>
      </c:barChart>
      <c:catAx>
        <c:axId val="532011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b="1"/>
            </a:pPr>
            <a:endParaRPr lang="fr-FR"/>
          </a:p>
        </c:txPr>
        <c:crossAx val="53211136"/>
        <c:crosses val="autoZero"/>
        <c:auto val="1"/>
        <c:lblAlgn val="ctr"/>
        <c:lblOffset val="100"/>
      </c:catAx>
      <c:valAx>
        <c:axId val="53211136"/>
        <c:scaling>
          <c:orientation val="minMax"/>
        </c:scaling>
        <c:delete val="1"/>
        <c:axPos val="l"/>
        <c:numFmt formatCode="0.0" sourceLinked="1"/>
        <c:majorTickMark val="none"/>
        <c:tickLblPos val="nextTo"/>
        <c:crossAx val="5320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2.5000000000000001E-2"/>
          <c:y val="5.0925925925925923E-2"/>
          <c:w val="0.93888888888889221"/>
          <c:h val="0.66386036223623235"/>
        </c:manualLayout>
      </c:layout>
      <c:barChart>
        <c:barDir val="col"/>
        <c:grouping val="clustered"/>
        <c:ser>
          <c:idx val="0"/>
          <c:order val="0"/>
          <c:tx>
            <c:strRef>
              <c:f>Feuil1!$C$9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Feuil1!$B$10:$B$12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Feuil1!$C$10:$C$12</c:f>
              <c:numCache>
                <c:formatCode>0.0</c:formatCode>
                <c:ptCount val="3"/>
                <c:pt idx="0">
                  <c:v>8.1390319139513991</c:v>
                </c:pt>
                <c:pt idx="1">
                  <c:v>10.367592803389057</c:v>
                </c:pt>
                <c:pt idx="2">
                  <c:v>9.0428209846746999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8E-4307-B3EB-23D309FB90F7}"/>
            </c:ext>
          </c:extLst>
        </c:ser>
        <c:ser>
          <c:idx val="1"/>
          <c:order val="1"/>
          <c:tx>
            <c:strRef>
              <c:f>Feuil1!$D$9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Feuil1!$B$10:$B$12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المجموع</c:v>
                </c:pt>
              </c:strCache>
            </c:strRef>
          </c:cat>
          <c:val>
            <c:numRef>
              <c:f>Feuil1!$D$10:$D$12</c:f>
              <c:numCache>
                <c:formatCode>General</c:formatCode>
                <c:ptCount val="3"/>
                <c:pt idx="0">
                  <c:v>8.7000000000000011</c:v>
                </c:pt>
                <c:pt idx="1">
                  <c:v>11.6</c:v>
                </c:pt>
                <c:pt idx="2">
                  <c:v>9.8000000000000007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8E-4307-B3EB-23D309FB90F7}"/>
            </c:ext>
          </c:extLst>
        </c:ser>
        <c:gapWidth val="219"/>
        <c:overlap val="-27"/>
        <c:axId val="57545472"/>
        <c:axId val="57547008"/>
      </c:barChart>
      <c:catAx>
        <c:axId val="575454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547008"/>
        <c:crosses val="autoZero"/>
        <c:auto val="1"/>
        <c:lblAlgn val="ctr"/>
        <c:lblOffset val="100"/>
      </c:catAx>
      <c:valAx>
        <c:axId val="57547008"/>
        <c:scaling>
          <c:orientation val="minMax"/>
        </c:scaling>
        <c:delete val="1"/>
        <c:axPos val="l"/>
        <c:numFmt formatCode="0.0" sourceLinked="1"/>
        <c:majorTickMark val="none"/>
        <c:tickLblPos val="nextTo"/>
        <c:crossAx val="5754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624496937882942"/>
          <c:y val="0.91236247848776597"/>
          <c:w val="0.18751006124234548"/>
          <c:h val="6.72173154771762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Ar!$B$5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Ar!$A$6:$A$16</c:f>
              <c:strCache>
                <c:ptCount val="11"/>
                <c:pt idx="0">
                  <c:v>سوس-ماسة</c:v>
                </c:pt>
                <c:pt idx="1">
                  <c:v>بني ملال-خنيفرة</c:v>
                </c:pt>
                <c:pt idx="2">
                  <c:v>جهة الشرق</c:v>
                </c:pt>
                <c:pt idx="3">
                  <c:v>درعة-تافيلالت</c:v>
                </c:pt>
                <c:pt idx="4">
                  <c:v>فاس-مكناس</c:v>
                </c:pt>
                <c:pt idx="5">
                  <c:v>المجموع</c:v>
                </c:pt>
                <c:pt idx="6">
                  <c:v>مراكش-أسفي</c:v>
                </c:pt>
                <c:pt idx="7">
                  <c:v>الرباط-سلا-القنيطرة</c:v>
                </c:pt>
                <c:pt idx="8">
                  <c:v>جهات الجنوب</c:v>
                </c:pt>
                <c:pt idx="9">
                  <c:v>الدار البيضاء-سطات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Ar!$B$6:$B$16</c:f>
              <c:numCache>
                <c:formatCode>0.0</c:formatCode>
                <c:ptCount val="11"/>
                <c:pt idx="0">
                  <c:v>40.741693085359444</c:v>
                </c:pt>
                <c:pt idx="1">
                  <c:v>35.490374732356642</c:v>
                </c:pt>
                <c:pt idx="2">
                  <c:v>38.930479263769207</c:v>
                </c:pt>
                <c:pt idx="3">
                  <c:v>38.699238750575795</c:v>
                </c:pt>
                <c:pt idx="4">
                  <c:v>39.368016227074513</c:v>
                </c:pt>
                <c:pt idx="5">
                  <c:v>41.796145342363992</c:v>
                </c:pt>
                <c:pt idx="6">
                  <c:v>41.677764371643754</c:v>
                </c:pt>
                <c:pt idx="7">
                  <c:v>42.073951143475981</c:v>
                </c:pt>
                <c:pt idx="8">
                  <c:v>43.449390599667851</c:v>
                </c:pt>
                <c:pt idx="9">
                  <c:v>44.335568174791149</c:v>
                </c:pt>
                <c:pt idx="10">
                  <c:v>44.841809908736138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296-4BBD-AF12-B8FEFBDB776C}"/>
            </c:ext>
          </c:extLst>
        </c:ser>
        <c:ser>
          <c:idx val="1"/>
          <c:order val="1"/>
          <c:tx>
            <c:strRef>
              <c:f>Ar!$C$5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Ar!$A$6:$A$16</c:f>
              <c:strCache>
                <c:ptCount val="11"/>
                <c:pt idx="0">
                  <c:v>سوس-ماسة</c:v>
                </c:pt>
                <c:pt idx="1">
                  <c:v>بني ملال-خنيفرة</c:v>
                </c:pt>
                <c:pt idx="2">
                  <c:v>جهة الشرق</c:v>
                </c:pt>
                <c:pt idx="3">
                  <c:v>درعة-تافيلالت</c:v>
                </c:pt>
                <c:pt idx="4">
                  <c:v>فاس-مكناس</c:v>
                </c:pt>
                <c:pt idx="5">
                  <c:v>المجموع</c:v>
                </c:pt>
                <c:pt idx="6">
                  <c:v>مراكش-أسفي</c:v>
                </c:pt>
                <c:pt idx="7">
                  <c:v>الرباط-سلا-القنيطرة</c:v>
                </c:pt>
                <c:pt idx="8">
                  <c:v>جهات الجنوب</c:v>
                </c:pt>
                <c:pt idx="9">
                  <c:v>الدار البيضاء-سطات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Ar!$C$6:$C$16</c:f>
              <c:numCache>
                <c:formatCode>0.0</c:formatCode>
                <c:ptCount val="11"/>
                <c:pt idx="0">
                  <c:v>35.844639689718747</c:v>
                </c:pt>
                <c:pt idx="1">
                  <c:v>45.398118382019149</c:v>
                </c:pt>
                <c:pt idx="2">
                  <c:v>43.485633963991901</c:v>
                </c:pt>
                <c:pt idx="3">
                  <c:v>43.525511459231105</c:v>
                </c:pt>
                <c:pt idx="4">
                  <c:v>46.476315940152368</c:v>
                </c:pt>
                <c:pt idx="5">
                  <c:v>47.279311737321407</c:v>
                </c:pt>
                <c:pt idx="6">
                  <c:v>45.98231479951793</c:v>
                </c:pt>
                <c:pt idx="7">
                  <c:v>49.935488529145985</c:v>
                </c:pt>
                <c:pt idx="8">
                  <c:v>53.799015176330215</c:v>
                </c:pt>
                <c:pt idx="9">
                  <c:v>52.93912426278694</c:v>
                </c:pt>
                <c:pt idx="10">
                  <c:v>55.656037719145054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296-4BBD-AF12-B8FEFBDB776C}"/>
            </c:ext>
          </c:extLst>
        </c:ser>
        <c:ser>
          <c:idx val="2"/>
          <c:order val="2"/>
          <c:tx>
            <c:strRef>
              <c:f>Ar!$D$5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Ar!$A$6:$A$16</c:f>
              <c:strCache>
                <c:ptCount val="11"/>
                <c:pt idx="0">
                  <c:v>سوس-ماسة</c:v>
                </c:pt>
                <c:pt idx="1">
                  <c:v>بني ملال-خنيفرة</c:v>
                </c:pt>
                <c:pt idx="2">
                  <c:v>جهة الشرق</c:v>
                </c:pt>
                <c:pt idx="3">
                  <c:v>درعة-تافيلالت</c:v>
                </c:pt>
                <c:pt idx="4">
                  <c:v>فاس-مكناس</c:v>
                </c:pt>
                <c:pt idx="5">
                  <c:v>المجموع</c:v>
                </c:pt>
                <c:pt idx="6">
                  <c:v>مراكش-أسفي</c:v>
                </c:pt>
                <c:pt idx="7">
                  <c:v>الرباط-سلا-القنيطرة</c:v>
                </c:pt>
                <c:pt idx="8">
                  <c:v>جهات الجنوب</c:v>
                </c:pt>
                <c:pt idx="9">
                  <c:v>الدار البيضاء-سطات</c:v>
                </c:pt>
                <c:pt idx="10">
                  <c:v>طنجة-تطوان-الحسيمة</c:v>
                </c:pt>
              </c:strCache>
            </c:strRef>
          </c:cat>
          <c:val>
            <c:numRef>
              <c:f>Ar!$D$6:$D$16</c:f>
              <c:numCache>
                <c:formatCode>0.0</c:formatCode>
                <c:ptCount val="11"/>
                <c:pt idx="0">
                  <c:v>38.993633316173785</c:v>
                </c:pt>
                <c:pt idx="1">
                  <c:v>40.009545916267761</c:v>
                </c:pt>
                <c:pt idx="2">
                  <c:v>40.086623423298889</c:v>
                </c:pt>
                <c:pt idx="3">
                  <c:v>41.694052853424608</c:v>
                </c:pt>
                <c:pt idx="4">
                  <c:v>41.753240670598395</c:v>
                </c:pt>
                <c:pt idx="5">
                  <c:v>43.642746765073575</c:v>
                </c:pt>
                <c:pt idx="6">
                  <c:v>43.97611180112353</c:v>
                </c:pt>
                <c:pt idx="7">
                  <c:v>44.036991145865812</c:v>
                </c:pt>
                <c:pt idx="8">
                  <c:v>45.328369626691355</c:v>
                </c:pt>
                <c:pt idx="9">
                  <c:v>46.116111689298194</c:v>
                </c:pt>
                <c:pt idx="10">
                  <c:v>48.652317393690751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96-4BBD-AF12-B8FEFBDB776C}"/>
            </c:ext>
          </c:extLst>
        </c:ser>
        <c:dLbls>
          <c:showVal val="1"/>
        </c:dLbls>
        <c:gapWidth val="182"/>
        <c:axId val="57581952"/>
        <c:axId val="57583488"/>
      </c:barChart>
      <c:catAx>
        <c:axId val="5758195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7583488"/>
        <c:crosses val="autoZero"/>
        <c:auto val="1"/>
        <c:lblAlgn val="ctr"/>
        <c:lblOffset val="100"/>
      </c:catAx>
      <c:valAx>
        <c:axId val="57583488"/>
        <c:scaling>
          <c:orientation val="minMax"/>
        </c:scaling>
        <c:delete val="1"/>
        <c:axPos val="b"/>
        <c:numFmt formatCode="0.0" sourceLinked="1"/>
        <c:majorTickMark val="none"/>
        <c:tickLblPos val="nextTo"/>
        <c:crossAx val="57581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Ar!$B$30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Ar!$A$31:$A$41</c:f>
              <c:strCache>
                <c:ptCount val="11"/>
                <c:pt idx="0">
                  <c:v>مراكش-أسفي</c:v>
                </c:pt>
                <c:pt idx="1">
                  <c:v>طنجة-تطوان-الحسيمة</c:v>
                </c:pt>
                <c:pt idx="2">
                  <c:v>الرباط-سلا-القنيطرة</c:v>
                </c:pt>
                <c:pt idx="3">
                  <c:v>درعة-تافيلالت</c:v>
                </c:pt>
                <c:pt idx="4">
                  <c:v>بني ملال-خنيفرة</c:v>
                </c:pt>
                <c:pt idx="5">
                  <c:v>المجموع</c:v>
                </c:pt>
                <c:pt idx="6">
                  <c:v>سوس-ماسة</c:v>
                </c:pt>
                <c:pt idx="7">
                  <c:v>فاس-مكناس</c:v>
                </c:pt>
                <c:pt idx="8">
                  <c:v>الدار البيضاء-سطات</c:v>
                </c:pt>
                <c:pt idx="9">
                  <c:v>جهة الشرق</c:v>
                </c:pt>
                <c:pt idx="10">
                  <c:v>جهات الجنوب</c:v>
                </c:pt>
              </c:strCache>
            </c:strRef>
          </c:cat>
          <c:val>
            <c:numRef>
              <c:f>Ar!$B$31:$B$41</c:f>
              <c:numCache>
                <c:formatCode>0.0</c:formatCode>
                <c:ptCount val="11"/>
                <c:pt idx="0">
                  <c:v>12.213359528691244</c:v>
                </c:pt>
                <c:pt idx="1">
                  <c:v>14.125475132812198</c:v>
                </c:pt>
                <c:pt idx="2">
                  <c:v>14.483643514189584</c:v>
                </c:pt>
                <c:pt idx="3">
                  <c:v>17.982575469651302</c:v>
                </c:pt>
                <c:pt idx="4">
                  <c:v>17.746948967520627</c:v>
                </c:pt>
                <c:pt idx="5">
                  <c:v>16.809695998096622</c:v>
                </c:pt>
                <c:pt idx="6">
                  <c:v>15.494628018504702</c:v>
                </c:pt>
                <c:pt idx="7">
                  <c:v>19.349297896489588</c:v>
                </c:pt>
                <c:pt idx="8">
                  <c:v>17.767875548698143</c:v>
                </c:pt>
                <c:pt idx="9">
                  <c:v>21.347784183603739</c:v>
                </c:pt>
                <c:pt idx="10">
                  <c:v>22.846710936617423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6C-4726-B541-A3B77EF69348}"/>
            </c:ext>
          </c:extLst>
        </c:ser>
        <c:ser>
          <c:idx val="1"/>
          <c:order val="1"/>
          <c:tx>
            <c:strRef>
              <c:f>Ar!$C$30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Ar!$A$31:$A$41</c:f>
              <c:strCache>
                <c:ptCount val="11"/>
                <c:pt idx="0">
                  <c:v>مراكش-أسفي</c:v>
                </c:pt>
                <c:pt idx="1">
                  <c:v>طنجة-تطوان-الحسيمة</c:v>
                </c:pt>
                <c:pt idx="2">
                  <c:v>الرباط-سلا-القنيطرة</c:v>
                </c:pt>
                <c:pt idx="3">
                  <c:v>درعة-تافيلالت</c:v>
                </c:pt>
                <c:pt idx="4">
                  <c:v>بني ملال-خنيفرة</c:v>
                </c:pt>
                <c:pt idx="5">
                  <c:v>المجموع</c:v>
                </c:pt>
                <c:pt idx="6">
                  <c:v>سوس-ماسة</c:v>
                </c:pt>
                <c:pt idx="7">
                  <c:v>فاس-مكناس</c:v>
                </c:pt>
                <c:pt idx="8">
                  <c:v>الدار البيضاء-سطات</c:v>
                </c:pt>
                <c:pt idx="9">
                  <c:v>جهة الشرق</c:v>
                </c:pt>
                <c:pt idx="10">
                  <c:v>جهات الجنوب</c:v>
                </c:pt>
              </c:strCache>
            </c:strRef>
          </c:cat>
          <c:val>
            <c:numRef>
              <c:f>Ar!$C$31:$C$41</c:f>
              <c:numCache>
                <c:formatCode>0.0</c:formatCode>
                <c:ptCount val="11"/>
                <c:pt idx="0">
                  <c:v>4.0535806070881275</c:v>
                </c:pt>
                <c:pt idx="1">
                  <c:v>4.2447181439050787</c:v>
                </c:pt>
                <c:pt idx="2">
                  <c:v>4.2800199564206816</c:v>
                </c:pt>
                <c:pt idx="3">
                  <c:v>8.5870048833573644</c:v>
                </c:pt>
                <c:pt idx="4">
                  <c:v>8.207445940696271</c:v>
                </c:pt>
                <c:pt idx="5">
                  <c:v>6.3113292976657158</c:v>
                </c:pt>
                <c:pt idx="6">
                  <c:v>9.4587607129687257</c:v>
                </c:pt>
                <c:pt idx="7">
                  <c:v>5.4715795716045523</c:v>
                </c:pt>
                <c:pt idx="8">
                  <c:v>6.1129327146146384</c:v>
                </c:pt>
                <c:pt idx="9">
                  <c:v>15.16813470312492</c:v>
                </c:pt>
                <c:pt idx="10">
                  <c:v>11.040515874157284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6C-4726-B541-A3B77EF69348}"/>
            </c:ext>
          </c:extLst>
        </c:ser>
        <c:ser>
          <c:idx val="2"/>
          <c:order val="2"/>
          <c:tx>
            <c:strRef>
              <c:f>Ar!$D$30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Ar!$A$31:$A$41</c:f>
              <c:strCache>
                <c:ptCount val="11"/>
                <c:pt idx="0">
                  <c:v>مراكش-أسفي</c:v>
                </c:pt>
                <c:pt idx="1">
                  <c:v>طنجة-تطوان-الحسيمة</c:v>
                </c:pt>
                <c:pt idx="2">
                  <c:v>الرباط-سلا-القنيطرة</c:v>
                </c:pt>
                <c:pt idx="3">
                  <c:v>درعة-تافيلالت</c:v>
                </c:pt>
                <c:pt idx="4">
                  <c:v>بني ملال-خنيفرة</c:v>
                </c:pt>
                <c:pt idx="5">
                  <c:v>المجموع</c:v>
                </c:pt>
                <c:pt idx="6">
                  <c:v>سوس-ماسة</c:v>
                </c:pt>
                <c:pt idx="7">
                  <c:v>فاس-مكناس</c:v>
                </c:pt>
                <c:pt idx="8">
                  <c:v>الدار البيضاء-سطات</c:v>
                </c:pt>
                <c:pt idx="9">
                  <c:v>جهة الشرق</c:v>
                </c:pt>
                <c:pt idx="10">
                  <c:v>جهات الجنوب</c:v>
                </c:pt>
              </c:strCache>
            </c:strRef>
          </c:cat>
          <c:val>
            <c:numRef>
              <c:f>Ar!$D$31:$D$41</c:f>
              <c:numCache>
                <c:formatCode>0.0</c:formatCode>
                <c:ptCount val="11"/>
                <c:pt idx="0">
                  <c:v>7.6578152314001802</c:v>
                </c:pt>
                <c:pt idx="1">
                  <c:v>10.142695509212976</c:v>
                </c:pt>
                <c:pt idx="2">
                  <c:v>11.594509026174622</c:v>
                </c:pt>
                <c:pt idx="3">
                  <c:v>11.896309295796804</c:v>
                </c:pt>
                <c:pt idx="4">
                  <c:v>12.809711546789552</c:v>
                </c:pt>
                <c:pt idx="5">
                  <c:v>12.979486329217114</c:v>
                </c:pt>
                <c:pt idx="6">
                  <c:v>13.514051445465299</c:v>
                </c:pt>
                <c:pt idx="7">
                  <c:v>14.165797988439104</c:v>
                </c:pt>
                <c:pt idx="8">
                  <c:v>14.998965702332317</c:v>
                </c:pt>
                <c:pt idx="9">
                  <c:v>19.646334813920753</c:v>
                </c:pt>
                <c:pt idx="10">
                  <c:v>20.302743677612213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6C-4726-B541-A3B77EF69348}"/>
            </c:ext>
          </c:extLst>
        </c:ser>
        <c:dLbls>
          <c:showVal val="1"/>
        </c:dLbls>
        <c:gapWidth val="182"/>
        <c:axId val="58204160"/>
        <c:axId val="58205696"/>
      </c:barChart>
      <c:catAx>
        <c:axId val="582041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205696"/>
        <c:crosses val="autoZero"/>
        <c:auto val="1"/>
        <c:lblAlgn val="ctr"/>
        <c:lblOffset val="100"/>
      </c:catAx>
      <c:valAx>
        <c:axId val="58205696"/>
        <c:scaling>
          <c:orientation val="minMax"/>
        </c:scaling>
        <c:delete val="1"/>
        <c:axPos val="b"/>
        <c:numFmt formatCode="0.0" sourceLinked="1"/>
        <c:majorTickMark val="none"/>
        <c:tickLblPos val="nextTo"/>
        <c:crossAx val="58204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1E67C-2584-498D-BB71-8BFF6DA1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1909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Naima Labroude</dc:creator>
  <cp:lastModifiedBy>User</cp:lastModifiedBy>
  <cp:revision>19</cp:revision>
  <cp:lastPrinted>2023-02-01T09:58:00Z</cp:lastPrinted>
  <dcterms:created xsi:type="dcterms:W3CDTF">2024-01-29T08:34:00Z</dcterms:created>
  <dcterms:modified xsi:type="dcterms:W3CDTF">2024-02-01T12:17:00Z</dcterms:modified>
</cp:coreProperties>
</file>