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85" w:rsidRPr="00922E75" w:rsidRDefault="00110185" w:rsidP="00110185">
      <w:pPr>
        <w:pStyle w:val="Titre1"/>
        <w:jc w:val="center"/>
        <w:rPr>
          <w:rFonts w:ascii="Book Antiqua" w:hAnsi="Book Antiqua" w:cstheme="majorBidi"/>
          <w:color w:val="0070C0"/>
          <w:sz w:val="32"/>
          <w:szCs w:val="32"/>
        </w:rPr>
      </w:pPr>
      <w:bookmarkStart w:id="0" w:name="_Toc407368060"/>
      <w:bookmarkStart w:id="1" w:name="_Toc408165950"/>
      <w:bookmarkStart w:id="2" w:name="_Toc416704977"/>
      <w:bookmarkStart w:id="3" w:name="_Toc473202901"/>
      <w:bookmarkStart w:id="4" w:name="_Toc14543891"/>
    </w:p>
    <w:p w:rsidR="00110185" w:rsidRPr="00922E75" w:rsidRDefault="00110185" w:rsidP="00110185">
      <w:pPr>
        <w:pStyle w:val="Titre1"/>
        <w:jc w:val="center"/>
        <w:rPr>
          <w:rFonts w:ascii="Book Antiqua" w:hAnsi="Book Antiqua" w:cstheme="majorBidi"/>
          <w:color w:val="0070C0"/>
          <w:sz w:val="32"/>
          <w:szCs w:val="32"/>
        </w:rPr>
      </w:pPr>
    </w:p>
    <w:p w:rsidR="00110185" w:rsidRPr="00922E75" w:rsidRDefault="00110185" w:rsidP="00110185">
      <w:pPr>
        <w:pStyle w:val="Titre1"/>
        <w:jc w:val="center"/>
        <w:rPr>
          <w:rFonts w:ascii="Book Antiqua" w:hAnsi="Book Antiqua" w:cstheme="majorBidi"/>
          <w:color w:val="0070C0"/>
          <w:sz w:val="32"/>
          <w:szCs w:val="32"/>
        </w:rPr>
      </w:pPr>
    </w:p>
    <w:p w:rsidR="00110185" w:rsidRPr="00922E75" w:rsidRDefault="00110185" w:rsidP="00110185">
      <w:pPr>
        <w:pStyle w:val="Titre1"/>
        <w:jc w:val="center"/>
        <w:rPr>
          <w:rFonts w:ascii="Book Antiqua" w:hAnsi="Book Antiqua" w:cstheme="majorBidi"/>
          <w:color w:val="0070C0"/>
          <w:sz w:val="32"/>
          <w:szCs w:val="32"/>
        </w:rPr>
      </w:pPr>
    </w:p>
    <w:p w:rsidR="00110185" w:rsidRDefault="00110185" w:rsidP="00110185">
      <w:pPr>
        <w:jc w:val="center"/>
        <w:rPr>
          <w:rFonts w:ascii="Book Antiqua" w:hAnsi="Book Antiqua" w:cstheme="majorBidi"/>
          <w:b/>
          <w:bCs/>
          <w:color w:val="0070C0"/>
          <w:sz w:val="32"/>
          <w:szCs w:val="32"/>
          <w:lang w:bidi="tzm-Arab-MA"/>
        </w:rPr>
      </w:pPr>
      <w:r>
        <w:rPr>
          <w:rFonts w:ascii="Book Antiqua" w:hAnsi="Book Antiqua" w:cstheme="majorBidi"/>
          <w:b/>
          <w:bCs/>
          <w:color w:val="0070C0"/>
          <w:sz w:val="32"/>
          <w:szCs w:val="32"/>
          <w:lang w:bidi="tzm-Arab-MA"/>
        </w:rPr>
        <w:t>Note d’information du Haut-commissariat au Plan</w:t>
      </w:r>
    </w:p>
    <w:p w:rsidR="00110185" w:rsidRPr="00922E75" w:rsidRDefault="00110185" w:rsidP="00110185">
      <w:pPr>
        <w:jc w:val="center"/>
        <w:rPr>
          <w:rFonts w:ascii="Book Antiqua" w:hAnsi="Book Antiqua" w:cstheme="majorBidi"/>
          <w:b/>
          <w:bCs/>
          <w:color w:val="0070C0"/>
          <w:sz w:val="32"/>
          <w:szCs w:val="32"/>
          <w:lang w:bidi="tzm-Arab-MA"/>
        </w:rPr>
      </w:pPr>
      <w:r>
        <w:rPr>
          <w:rFonts w:ascii="Book Antiqua" w:hAnsi="Book Antiqua" w:cstheme="majorBidi"/>
          <w:b/>
          <w:bCs/>
          <w:color w:val="0070C0"/>
          <w:sz w:val="32"/>
          <w:szCs w:val="32"/>
          <w:lang w:bidi="tzm-Arab-MA"/>
        </w:rPr>
        <w:t>relative aux principales caractéristiques de la population active et ses composantes en 2023</w:t>
      </w:r>
    </w:p>
    <w:p w:rsidR="00110185" w:rsidRPr="00922E75" w:rsidRDefault="00110185" w:rsidP="00110185">
      <w:pPr>
        <w:jc w:val="center"/>
        <w:rPr>
          <w:rFonts w:ascii="Book Antiqua" w:hAnsi="Book Antiqua" w:cstheme="majorBidi"/>
          <w:b/>
          <w:bCs/>
          <w:color w:val="0070C0"/>
          <w:sz w:val="28"/>
          <w:szCs w:val="28"/>
        </w:rPr>
      </w:pPr>
    </w:p>
    <w:p w:rsidR="00CB7DB8" w:rsidRPr="00922E75" w:rsidRDefault="00CB7DB8" w:rsidP="00CB7DB8">
      <w:pPr>
        <w:jc w:val="center"/>
        <w:rPr>
          <w:rFonts w:ascii="Book Antiqua" w:hAnsi="Book Antiqua" w:cstheme="majorBidi"/>
        </w:rPr>
      </w:pPr>
    </w:p>
    <w:p w:rsidR="00110185" w:rsidRDefault="00110185" w:rsidP="00A64C8A">
      <w:pPr>
        <w:jc w:val="both"/>
        <w:rPr>
          <w:rFonts w:ascii="Book Antiqua" w:hAnsi="Book Antiqua"/>
        </w:rPr>
      </w:pPr>
      <w:r w:rsidRPr="00C710B3">
        <w:rPr>
          <w:rFonts w:ascii="Book Antiqua" w:hAnsi="Book Antiqua"/>
        </w:rPr>
        <w:t>A la suite de la dernière publication du Haut</w:t>
      </w:r>
      <w:r w:rsidR="00B02584">
        <w:rPr>
          <w:rFonts w:ascii="Book Antiqua" w:hAnsi="Book Antiqua"/>
        </w:rPr>
        <w:t>-c</w:t>
      </w:r>
      <w:r w:rsidRPr="00C710B3">
        <w:rPr>
          <w:rFonts w:ascii="Book Antiqua" w:hAnsi="Book Antiqua"/>
        </w:rPr>
        <w:t>ommissariat au Plan sur la situation du marché du travail en 2023, la présente note dresse un portrait des caractéristiques et des principales tendances de la population active et ses composantes</w:t>
      </w:r>
      <w:r w:rsidR="00B02584">
        <w:rPr>
          <w:rFonts w:ascii="Book Antiqua" w:hAnsi="Book Antiqua"/>
        </w:rPr>
        <w:t xml:space="preserve"> </w:t>
      </w:r>
      <w:r w:rsidRPr="00C710B3">
        <w:rPr>
          <w:rFonts w:ascii="Book Antiqua" w:hAnsi="Book Antiqua"/>
        </w:rPr>
        <w:t xml:space="preserve">(les personnes </w:t>
      </w:r>
      <w:r w:rsidRPr="00922E75">
        <w:rPr>
          <w:rFonts w:ascii="Book Antiqua" w:hAnsi="Book Antiqua"/>
        </w:rPr>
        <w:t xml:space="preserve">pourvues d’un </w:t>
      </w:r>
      <w:r w:rsidRPr="00C710B3">
        <w:rPr>
          <w:rFonts w:ascii="Book Antiqua" w:hAnsi="Book Antiqua"/>
        </w:rPr>
        <w:t xml:space="preserve">emploi et celles en </w:t>
      </w:r>
      <w:r w:rsidRPr="00922E75">
        <w:rPr>
          <w:rFonts w:ascii="Book Antiqua" w:hAnsi="Book Antiqua"/>
        </w:rPr>
        <w:t xml:space="preserve">situation </w:t>
      </w:r>
      <w:r>
        <w:rPr>
          <w:rFonts w:ascii="Book Antiqua" w:hAnsi="Book Antiqua"/>
        </w:rPr>
        <w:t xml:space="preserve">de </w:t>
      </w:r>
      <w:r w:rsidRPr="00C710B3">
        <w:rPr>
          <w:rFonts w:ascii="Book Antiqua" w:hAnsi="Book Antiqua"/>
        </w:rPr>
        <w:t xml:space="preserve">chômage). </w:t>
      </w:r>
    </w:p>
    <w:p w:rsidR="00110185" w:rsidRPr="00C710B3" w:rsidRDefault="00110185" w:rsidP="00110185">
      <w:pPr>
        <w:jc w:val="both"/>
        <w:rPr>
          <w:rFonts w:ascii="Book Antiqua" w:hAnsi="Book Antiqua"/>
        </w:rPr>
      </w:pPr>
    </w:p>
    <w:p w:rsidR="00110185" w:rsidRPr="00922E75" w:rsidRDefault="00110185" w:rsidP="00110185">
      <w:pPr>
        <w:pStyle w:val="Titre1"/>
        <w:numPr>
          <w:ilvl w:val="0"/>
          <w:numId w:val="2"/>
        </w:numPr>
        <w:rPr>
          <w:rFonts w:ascii="Book Antiqua" w:hAnsi="Book Antiqua" w:cstheme="majorBidi"/>
          <w:color w:val="0070C0"/>
          <w:sz w:val="28"/>
          <w:szCs w:val="28"/>
        </w:rPr>
      </w:pPr>
      <w:r>
        <w:rPr>
          <w:rFonts w:ascii="Book Antiqua" w:hAnsi="Book Antiqua" w:cstheme="majorBidi"/>
          <w:color w:val="0070C0"/>
          <w:sz w:val="28"/>
          <w:szCs w:val="28"/>
        </w:rPr>
        <w:t xml:space="preserve">Principales </w:t>
      </w:r>
      <w:r w:rsidRPr="00922E75">
        <w:rPr>
          <w:rFonts w:ascii="Book Antiqua" w:hAnsi="Book Antiqua" w:cstheme="majorBidi"/>
          <w:color w:val="0070C0"/>
          <w:sz w:val="28"/>
          <w:szCs w:val="28"/>
        </w:rPr>
        <w:t>caractéristiques</w:t>
      </w:r>
      <w:r>
        <w:rPr>
          <w:rFonts w:ascii="Book Antiqua" w:hAnsi="Book Antiqua" w:cstheme="majorBidi"/>
          <w:color w:val="0070C0"/>
          <w:sz w:val="28"/>
          <w:szCs w:val="28"/>
        </w:rPr>
        <w:t xml:space="preserve"> de la p</w:t>
      </w:r>
      <w:r w:rsidRPr="00922E75">
        <w:rPr>
          <w:rFonts w:ascii="Book Antiqua" w:hAnsi="Book Antiqua" w:cstheme="majorBidi"/>
          <w:color w:val="0070C0"/>
          <w:sz w:val="28"/>
          <w:szCs w:val="28"/>
        </w:rPr>
        <w:t>opulation</w:t>
      </w:r>
      <w:r>
        <w:rPr>
          <w:rFonts w:ascii="Book Antiqua" w:hAnsi="Book Antiqua" w:cstheme="majorBidi"/>
          <w:color w:val="0070C0"/>
          <w:sz w:val="28"/>
          <w:szCs w:val="28"/>
        </w:rPr>
        <w:t xml:space="preserve"> </w:t>
      </w:r>
      <w:r w:rsidRPr="00922E75">
        <w:rPr>
          <w:rFonts w:ascii="Book Antiqua" w:hAnsi="Book Antiqua" w:cstheme="majorBidi"/>
          <w:color w:val="0070C0"/>
          <w:sz w:val="28"/>
          <w:szCs w:val="28"/>
        </w:rPr>
        <w:t xml:space="preserve">active  </w:t>
      </w:r>
      <w:bookmarkEnd w:id="0"/>
      <w:bookmarkEnd w:id="1"/>
      <w:bookmarkEnd w:id="2"/>
      <w:bookmarkEnd w:id="3"/>
      <w:bookmarkEnd w:id="4"/>
    </w:p>
    <w:p w:rsidR="00110185" w:rsidRDefault="00110185" w:rsidP="00110185">
      <w:pPr>
        <w:pStyle w:val="Titre1"/>
        <w:ind w:left="1080"/>
        <w:rPr>
          <w:rFonts w:ascii="Book Antiqua" w:hAnsi="Book Antiqua"/>
        </w:rPr>
      </w:pPr>
    </w:p>
    <w:p w:rsidR="00110185" w:rsidRPr="00922E75" w:rsidRDefault="00110185" w:rsidP="00110185">
      <w:pPr>
        <w:jc w:val="both"/>
        <w:rPr>
          <w:rFonts w:ascii="Book Antiqua" w:hAnsi="Book Antiqua"/>
        </w:rPr>
      </w:pPr>
      <w:r w:rsidRPr="00922E75">
        <w:rPr>
          <w:rFonts w:ascii="Book Antiqua" w:hAnsi="Book Antiqua"/>
        </w:rPr>
        <w:t>En 2023,</w:t>
      </w:r>
      <w:r w:rsidR="00BF33F1">
        <w:rPr>
          <w:rFonts w:ascii="Book Antiqua" w:hAnsi="Book Antiqua"/>
        </w:rPr>
        <w:t xml:space="preserve"> </w:t>
      </w:r>
      <w:r w:rsidRPr="00922E75">
        <w:rPr>
          <w:rFonts w:ascii="Book Antiqua" w:hAnsi="Book Antiqua"/>
        </w:rPr>
        <w:t>la population en âge d'activité (15 ans et plus) a atteint 27.888.000 pers</w:t>
      </w:r>
      <w:r>
        <w:rPr>
          <w:rFonts w:ascii="Book Antiqua" w:hAnsi="Book Antiqua"/>
        </w:rPr>
        <w:t>onnes, 12.171.000 sont des active</w:t>
      </w:r>
      <w:r w:rsidRPr="00922E75">
        <w:rPr>
          <w:rFonts w:ascii="Book Antiqua" w:hAnsi="Book Antiqua"/>
        </w:rPr>
        <w:t xml:space="preserve">s (10.591.000 pourvues d’un emploi et 1.580.000 en situation de chômage) et 15.717.000 sont en dehors du marché de travail. </w:t>
      </w:r>
    </w:p>
    <w:p w:rsidR="00110185" w:rsidRPr="00922E75" w:rsidRDefault="00110185" w:rsidP="00110185">
      <w:pPr>
        <w:spacing w:line="312" w:lineRule="auto"/>
        <w:jc w:val="both"/>
        <w:rPr>
          <w:rFonts w:ascii="Book Antiqua" w:hAnsi="Book Antiqua"/>
        </w:rPr>
      </w:pPr>
    </w:p>
    <w:p w:rsidR="00110185" w:rsidRPr="00642D0E" w:rsidRDefault="00110185" w:rsidP="00CC69CE">
      <w:pPr>
        <w:jc w:val="both"/>
        <w:rPr>
          <w:rFonts w:ascii="Book Antiqua" w:hAnsi="Book Antiqua"/>
        </w:rPr>
      </w:pPr>
      <w:r w:rsidRPr="00642D0E">
        <w:rPr>
          <w:rFonts w:ascii="Book Antiqua" w:hAnsi="Book Antiqua"/>
        </w:rPr>
        <w:t>Entre 202</w:t>
      </w:r>
      <w:r w:rsidR="00CC69CE">
        <w:rPr>
          <w:rFonts w:ascii="Book Antiqua" w:hAnsi="Book Antiqua"/>
        </w:rPr>
        <w:t xml:space="preserve">2 et 2023, le volume des actifs </w:t>
      </w:r>
      <w:r w:rsidRPr="00642D0E">
        <w:rPr>
          <w:rFonts w:ascii="Book Antiqua" w:hAnsi="Book Antiqua"/>
        </w:rPr>
        <w:t xml:space="preserve">a diminué de 0,2%, </w:t>
      </w:r>
      <w:r w:rsidRPr="00D21938">
        <w:rPr>
          <w:rFonts w:ascii="Book Antiqua" w:hAnsi="Book Antiqua"/>
        </w:rPr>
        <w:t>résultat d’une augmentation de 1,8% en milieu urbain et d’une baisse de 3,5% en milieu rural</w:t>
      </w:r>
      <w:r w:rsidRPr="00642D0E">
        <w:rPr>
          <w:rFonts w:ascii="Book Antiqua" w:hAnsi="Book Antiqua"/>
        </w:rPr>
        <w:t>. Cette baisse, combinée à l'augmentation de la population en âge d’activité (15 ans et plus), estimée à 1,4%, a entraîné une diminution du taux d’activité de 0,7 point entre 2022 et 2023, pour atteindre 43,6%.</w:t>
      </w:r>
    </w:p>
    <w:p w:rsidR="00110185" w:rsidRPr="00642D0E" w:rsidRDefault="00110185" w:rsidP="00110185">
      <w:pPr>
        <w:jc w:val="both"/>
        <w:rPr>
          <w:rFonts w:ascii="Book Antiqua" w:hAnsi="Book Antiqua"/>
        </w:rPr>
      </w:pPr>
    </w:p>
    <w:p w:rsidR="00110185" w:rsidRPr="00922E75" w:rsidRDefault="002E5FAA" w:rsidP="002E5FAA">
      <w:pPr>
        <w:jc w:val="both"/>
        <w:rPr>
          <w:rFonts w:ascii="Book Antiqua" w:hAnsi="Book Antiqua"/>
        </w:rPr>
      </w:pPr>
      <w:r w:rsidRPr="001A79C8">
        <w:rPr>
          <w:rFonts w:ascii="Book Antiqua" w:hAnsi="Book Antiqua"/>
        </w:rPr>
        <w:t xml:space="preserve">La baisse du </w:t>
      </w:r>
      <w:r w:rsidR="00110185" w:rsidRPr="001A79C8">
        <w:rPr>
          <w:rFonts w:ascii="Book Antiqua" w:hAnsi="Book Antiqua"/>
        </w:rPr>
        <w:t>taux d’activité</w:t>
      </w:r>
      <w:r w:rsidRPr="001A79C8">
        <w:rPr>
          <w:rFonts w:ascii="Book Antiqua" w:hAnsi="Book Antiqua"/>
        </w:rPr>
        <w:t xml:space="preserve"> a été </w:t>
      </w:r>
      <w:r w:rsidR="00110185" w:rsidRPr="001A79C8">
        <w:rPr>
          <w:rFonts w:ascii="Book Antiqua" w:hAnsi="Book Antiqua"/>
        </w:rPr>
        <w:t>plus marquée en zones rurales (-1,8 point) qu'</w:t>
      </w:r>
      <w:r w:rsidR="00B02584" w:rsidRPr="001A79C8">
        <w:rPr>
          <w:rFonts w:ascii="Book Antiqua" w:hAnsi="Book Antiqua"/>
        </w:rPr>
        <w:t xml:space="preserve">en zones </w:t>
      </w:r>
      <w:r w:rsidR="00110185" w:rsidRPr="001A79C8">
        <w:rPr>
          <w:rFonts w:ascii="Book Antiqua" w:hAnsi="Book Antiqua"/>
        </w:rPr>
        <w:t>urbaines (-0,1</w:t>
      </w:r>
      <w:r w:rsidR="00CC69CE" w:rsidRPr="001A79C8">
        <w:rPr>
          <w:rFonts w:ascii="Book Antiqua" w:hAnsi="Book Antiqua"/>
        </w:rPr>
        <w:t xml:space="preserve"> point), passant respectivement, entre 2022 et 2023, </w:t>
      </w:r>
      <w:r w:rsidR="00110185" w:rsidRPr="001A79C8">
        <w:rPr>
          <w:rFonts w:ascii="Book Antiqua" w:hAnsi="Book Antiqua"/>
        </w:rPr>
        <w:t>de 49,</w:t>
      </w:r>
      <w:r w:rsidR="00CC69CE" w:rsidRPr="001A79C8">
        <w:rPr>
          <w:rFonts w:ascii="Book Antiqua" w:hAnsi="Book Antiqua"/>
        </w:rPr>
        <w:t xml:space="preserve">1% à 47,3% et de 41,9% à 41,8%. </w:t>
      </w:r>
      <w:r w:rsidR="00110185" w:rsidRPr="001A79C8">
        <w:rPr>
          <w:rFonts w:ascii="Book Antiqua" w:hAnsi="Book Antiqua"/>
        </w:rPr>
        <w:t>Les femmes sont plus touchées par cette baisse que les hommes, avec un recul de 0,8 point et un taux d'activité de 19%</w:t>
      </w:r>
      <w:r w:rsidR="00CC69CE" w:rsidRPr="001A79C8">
        <w:rPr>
          <w:rFonts w:ascii="Book Antiqua" w:hAnsi="Book Antiqua"/>
        </w:rPr>
        <w:t xml:space="preserve"> en 2023</w:t>
      </w:r>
      <w:r w:rsidR="00110185" w:rsidRPr="001A79C8">
        <w:rPr>
          <w:rFonts w:ascii="Book Antiqua" w:hAnsi="Book Antiqua"/>
        </w:rPr>
        <w:t>, contre une baisse de 0,6 point pour les hommes (69%).</w:t>
      </w:r>
    </w:p>
    <w:p w:rsidR="00110185" w:rsidRDefault="00110185" w:rsidP="00110185">
      <w:pPr>
        <w:spacing w:after="200" w:line="276" w:lineRule="auto"/>
        <w:rPr>
          <w:rFonts w:ascii="Book Antiqua" w:eastAsia="Book Antiqua" w:hAnsi="Book Antiqua" w:cs="Book Antiqua"/>
          <w:b/>
          <w:sz w:val="20"/>
          <w:szCs w:val="20"/>
        </w:rPr>
      </w:pPr>
    </w:p>
    <w:p w:rsidR="00110185" w:rsidRPr="00C466D0" w:rsidRDefault="00110185" w:rsidP="00110185">
      <w:pPr>
        <w:spacing w:after="200" w:line="276" w:lineRule="auto"/>
        <w:jc w:val="center"/>
        <w:rPr>
          <w:rFonts w:ascii="Book Antiqua" w:eastAsia="Book Antiqua" w:hAnsi="Book Antiqua" w:cs="Book Antiqua"/>
          <w:b/>
          <w:color w:val="1F497D" w:themeColor="text2"/>
          <w:sz w:val="20"/>
          <w:szCs w:val="20"/>
        </w:rPr>
      </w:pPr>
      <w:r>
        <w:rPr>
          <w:rFonts w:ascii="Book Antiqua" w:eastAsia="Book Antiqua" w:hAnsi="Book Antiqua" w:cs="Book Antiqua"/>
          <w:b/>
          <w:sz w:val="20"/>
          <w:szCs w:val="20"/>
        </w:rPr>
        <w:br w:type="page"/>
      </w:r>
      <w:r w:rsidRPr="00C466D0">
        <w:rPr>
          <w:rFonts w:ascii="Book Antiqua" w:eastAsia="Book Antiqua" w:hAnsi="Book Antiqua" w:cs="Book Antiqua"/>
          <w:b/>
          <w:color w:val="1F497D" w:themeColor="text2"/>
          <w:sz w:val="22"/>
          <w:szCs w:val="22"/>
        </w:rPr>
        <w:lastRenderedPageBreak/>
        <w:t>Graphique 1 : Evolution du taux d’activité</w:t>
      </w:r>
      <w:r w:rsidR="002E5FAA">
        <w:rPr>
          <w:rFonts w:ascii="Book Antiqua" w:eastAsia="Book Antiqua" w:hAnsi="Book Antiqua" w:cs="Book Antiqua"/>
          <w:b/>
          <w:color w:val="1F497D" w:themeColor="text2"/>
          <w:sz w:val="22"/>
          <w:szCs w:val="22"/>
        </w:rPr>
        <w:t xml:space="preserve"> selon le milieu de résidence</w:t>
      </w:r>
      <w:r w:rsidRPr="00C466D0">
        <w:rPr>
          <w:rFonts w:ascii="Book Antiqua" w:eastAsia="Book Antiqua" w:hAnsi="Book Antiqua" w:cs="Book Antiqua"/>
          <w:b/>
          <w:color w:val="1F497D" w:themeColor="text2"/>
          <w:sz w:val="22"/>
          <w:szCs w:val="22"/>
        </w:rPr>
        <w:t xml:space="preserve"> depuis l’année 2017 (en %)</w:t>
      </w:r>
    </w:p>
    <w:p w:rsidR="00110185" w:rsidRPr="00922E75" w:rsidRDefault="00110185" w:rsidP="00110185">
      <w:pPr>
        <w:spacing w:before="240" w:after="240" w:line="312" w:lineRule="auto"/>
        <w:jc w:val="center"/>
        <w:rPr>
          <w:rFonts w:ascii="Book Antiqua" w:eastAsia="Book Antiqua" w:hAnsi="Book Antiqua" w:cs="Book Antiqua"/>
          <w:b/>
          <w:bCs/>
          <w:color w:val="548DD4" w:themeColor="text2" w:themeTint="99"/>
          <w:sz w:val="26"/>
          <w:szCs w:val="26"/>
        </w:rPr>
      </w:pPr>
      <w:r w:rsidRPr="00922E75">
        <w:rPr>
          <w:rFonts w:ascii="Book Antiqua" w:eastAsia="Book Antiqua" w:hAnsi="Book Antiqua" w:cs="Book Antiqua"/>
          <w:b/>
          <w:bCs/>
          <w:noProof/>
          <w:color w:val="548DD4" w:themeColor="text2" w:themeTint="99"/>
          <w:sz w:val="26"/>
          <w:szCs w:val="26"/>
        </w:rPr>
        <w:drawing>
          <wp:inline distT="0" distB="0" distL="0" distR="0">
            <wp:extent cx="5502303" cy="2369488"/>
            <wp:effectExtent l="0" t="0" r="0" b="0"/>
            <wp:docPr id="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10185" w:rsidRDefault="00110185" w:rsidP="00CC69CE">
      <w:pPr>
        <w:autoSpaceDE w:val="0"/>
        <w:autoSpaceDN w:val="0"/>
        <w:adjustRightInd w:val="0"/>
        <w:jc w:val="both"/>
        <w:rPr>
          <w:rFonts w:ascii="Book Antiqua" w:hAnsi="Book Antiqua"/>
        </w:rPr>
      </w:pPr>
      <w:r>
        <w:rPr>
          <w:rFonts w:ascii="Book Antiqua" w:hAnsi="Book Antiqua"/>
        </w:rPr>
        <w:t xml:space="preserve">L'analyse du profil des actifs </w:t>
      </w:r>
      <w:r w:rsidRPr="00922E75">
        <w:rPr>
          <w:rFonts w:ascii="Book Antiqua" w:hAnsi="Book Antiqua"/>
        </w:rPr>
        <w:t xml:space="preserve">révèle </w:t>
      </w:r>
      <w:r>
        <w:rPr>
          <w:rFonts w:ascii="Book Antiqua" w:hAnsi="Book Antiqua"/>
        </w:rPr>
        <w:t xml:space="preserve">que cette population est </w:t>
      </w:r>
      <w:r w:rsidRPr="00922E75">
        <w:rPr>
          <w:rFonts w:ascii="Book Antiqua" w:hAnsi="Book Antiqua"/>
        </w:rPr>
        <w:t>:</w:t>
      </w:r>
    </w:p>
    <w:p w:rsidR="00110185" w:rsidRPr="00922E75" w:rsidRDefault="00110185" w:rsidP="00110185">
      <w:pPr>
        <w:autoSpaceDE w:val="0"/>
        <w:autoSpaceDN w:val="0"/>
        <w:adjustRightInd w:val="0"/>
        <w:jc w:val="both"/>
        <w:rPr>
          <w:rFonts w:ascii="Book Antiqua" w:hAnsi="Book Antiqua"/>
        </w:rPr>
      </w:pPr>
    </w:p>
    <w:p w:rsidR="00110185" w:rsidRPr="001A79C8" w:rsidRDefault="00110185" w:rsidP="00110185">
      <w:pPr>
        <w:pStyle w:val="Paragraphedeliste"/>
        <w:numPr>
          <w:ilvl w:val="0"/>
          <w:numId w:val="1"/>
        </w:numPr>
        <w:spacing w:after="0" w:line="240" w:lineRule="auto"/>
        <w:jc w:val="both"/>
        <w:rPr>
          <w:rFonts w:ascii="Book Antiqua" w:eastAsia="Times New Roman" w:hAnsi="Book Antiqua" w:cs="Times New Roman"/>
          <w:sz w:val="24"/>
          <w:szCs w:val="24"/>
          <w:lang w:eastAsia="fr-FR"/>
        </w:rPr>
      </w:pPr>
      <w:r w:rsidRPr="001A79C8">
        <w:rPr>
          <w:rFonts w:ascii="Book Antiqua" w:eastAsia="Times New Roman" w:hAnsi="Book Antiqua" w:cs="Times New Roman"/>
          <w:sz w:val="24"/>
          <w:szCs w:val="24"/>
          <w:lang w:eastAsia="fr-FR"/>
        </w:rPr>
        <w:t>de plus en plus urbanisée, avec environ 63,5% des actifs résidant dans les villes</w:t>
      </w:r>
      <w:r w:rsidR="00CC69CE" w:rsidRPr="001A79C8">
        <w:rPr>
          <w:rFonts w:ascii="Book Antiqua" w:hAnsi="Book Antiqua"/>
        </w:rPr>
        <w:t xml:space="preserve">  en 2023</w:t>
      </w:r>
      <w:r w:rsidRPr="001A79C8">
        <w:rPr>
          <w:rFonts w:ascii="Book Antiqua" w:eastAsia="Times New Roman" w:hAnsi="Book Antiqua" w:cs="Times New Roman"/>
          <w:sz w:val="24"/>
          <w:szCs w:val="24"/>
          <w:lang w:eastAsia="fr-FR"/>
        </w:rPr>
        <w:t xml:space="preserve">. </w:t>
      </w:r>
    </w:p>
    <w:p w:rsidR="00713AE6" w:rsidRPr="001A79C8" w:rsidRDefault="00713AE6" w:rsidP="00713AE6">
      <w:pPr>
        <w:pStyle w:val="Paragraphedeliste"/>
        <w:spacing w:after="0" w:line="240" w:lineRule="auto"/>
        <w:jc w:val="both"/>
        <w:rPr>
          <w:rFonts w:ascii="Book Antiqua" w:eastAsia="Times New Roman" w:hAnsi="Book Antiqua" w:cs="Times New Roman"/>
          <w:sz w:val="24"/>
          <w:szCs w:val="24"/>
          <w:lang w:eastAsia="fr-FR"/>
        </w:rPr>
      </w:pPr>
    </w:p>
    <w:p w:rsidR="00110185" w:rsidRPr="001A79C8" w:rsidRDefault="00110185" w:rsidP="00713AE6">
      <w:pPr>
        <w:pStyle w:val="Paragraphedeliste"/>
        <w:numPr>
          <w:ilvl w:val="0"/>
          <w:numId w:val="1"/>
        </w:numPr>
        <w:spacing w:after="0" w:line="240" w:lineRule="auto"/>
        <w:jc w:val="both"/>
        <w:rPr>
          <w:rFonts w:ascii="Book Antiqua" w:eastAsia="Times New Roman" w:hAnsi="Book Antiqua" w:cs="Times New Roman"/>
          <w:sz w:val="24"/>
          <w:szCs w:val="24"/>
          <w:lang w:eastAsia="fr-FR"/>
        </w:rPr>
      </w:pPr>
      <w:r w:rsidRPr="001A79C8">
        <w:rPr>
          <w:rFonts w:ascii="Book Antiqua" w:eastAsia="Times New Roman" w:hAnsi="Book Antiqua" w:cs="Times New Roman"/>
          <w:sz w:val="24"/>
          <w:szCs w:val="24"/>
          <w:lang w:eastAsia="fr-FR"/>
        </w:rPr>
        <w:t>de moins en moins féminisée</w:t>
      </w:r>
      <w:r w:rsidR="00713AE6" w:rsidRPr="001A79C8">
        <w:rPr>
          <w:rFonts w:ascii="Book Antiqua" w:eastAsia="Times New Roman" w:hAnsi="Book Antiqua" w:cs="Times New Roman"/>
          <w:sz w:val="24"/>
          <w:szCs w:val="24"/>
          <w:lang w:eastAsia="fr-FR"/>
        </w:rPr>
        <w:t>,</w:t>
      </w:r>
      <w:r w:rsidRPr="001A79C8">
        <w:rPr>
          <w:rFonts w:ascii="Book Antiqua" w:eastAsia="Times New Roman" w:hAnsi="Book Antiqua" w:cs="Times New Roman"/>
          <w:sz w:val="24"/>
          <w:szCs w:val="24"/>
          <w:lang w:eastAsia="fr-FR"/>
        </w:rPr>
        <w:t xml:space="preserve"> avec un taux de féminité passant de 22,6% en 2022 à 22,1% en 2023. </w:t>
      </w:r>
      <w:r w:rsidR="00713AE6" w:rsidRPr="001A79C8">
        <w:rPr>
          <w:rFonts w:ascii="Book Antiqua" w:eastAsia="Times New Roman" w:hAnsi="Book Antiqua" w:cs="Times New Roman"/>
          <w:sz w:val="24"/>
          <w:szCs w:val="24"/>
          <w:lang w:eastAsia="fr-FR"/>
        </w:rPr>
        <w:t xml:space="preserve">Ce constat est plus </w:t>
      </w:r>
      <w:r w:rsidRPr="001A79C8">
        <w:rPr>
          <w:rFonts w:ascii="Book Antiqua" w:eastAsia="Times New Roman" w:hAnsi="Book Antiqua" w:cs="Times New Roman"/>
          <w:sz w:val="24"/>
          <w:szCs w:val="24"/>
          <w:lang w:eastAsia="fr-FR"/>
        </w:rPr>
        <w:t>marqué en zone</w:t>
      </w:r>
      <w:r w:rsidR="00713AE6" w:rsidRPr="001A79C8">
        <w:rPr>
          <w:rFonts w:ascii="Book Antiqua" w:eastAsia="Times New Roman" w:hAnsi="Book Antiqua" w:cs="Times New Roman"/>
          <w:sz w:val="24"/>
          <w:szCs w:val="24"/>
          <w:lang w:eastAsia="fr-FR"/>
        </w:rPr>
        <w:t>s</w:t>
      </w:r>
      <w:r w:rsidRPr="001A79C8">
        <w:rPr>
          <w:rFonts w:ascii="Book Antiqua" w:eastAsia="Times New Roman" w:hAnsi="Book Antiqua" w:cs="Times New Roman"/>
          <w:sz w:val="24"/>
          <w:szCs w:val="24"/>
          <w:lang w:eastAsia="fr-FR"/>
        </w:rPr>
        <w:t xml:space="preserve"> rurale</w:t>
      </w:r>
      <w:r w:rsidR="00713AE6" w:rsidRPr="001A79C8">
        <w:rPr>
          <w:rFonts w:ascii="Book Antiqua" w:eastAsia="Times New Roman" w:hAnsi="Book Antiqua" w:cs="Times New Roman"/>
          <w:sz w:val="24"/>
          <w:szCs w:val="24"/>
          <w:lang w:eastAsia="fr-FR"/>
        </w:rPr>
        <w:t>s</w:t>
      </w:r>
      <w:r w:rsidRPr="001A79C8">
        <w:rPr>
          <w:rFonts w:ascii="Book Antiqua" w:eastAsia="Times New Roman" w:hAnsi="Book Antiqua" w:cs="Times New Roman"/>
          <w:sz w:val="24"/>
          <w:szCs w:val="24"/>
          <w:lang w:eastAsia="fr-FR"/>
        </w:rPr>
        <w:t xml:space="preserve"> (de 22,9% à 20,7%)</w:t>
      </w:r>
      <w:r w:rsidRPr="001A79C8">
        <w:rPr>
          <w:rFonts w:ascii="Arial" w:hAnsi="Arial"/>
          <w:color w:val="1F1F1F"/>
          <w:shd w:val="clear" w:color="auto" w:fill="FFFFFF"/>
        </w:rPr>
        <w:t>.</w:t>
      </w:r>
    </w:p>
    <w:p w:rsidR="00713AE6" w:rsidRPr="001A79C8" w:rsidRDefault="00713AE6" w:rsidP="00713AE6">
      <w:pPr>
        <w:pStyle w:val="Paragraphedeliste"/>
        <w:rPr>
          <w:rFonts w:ascii="Book Antiqua" w:eastAsia="Times New Roman" w:hAnsi="Book Antiqua" w:cs="Times New Roman"/>
          <w:sz w:val="24"/>
          <w:szCs w:val="24"/>
          <w:lang w:eastAsia="fr-FR"/>
        </w:rPr>
      </w:pPr>
    </w:p>
    <w:p w:rsidR="00110185" w:rsidRPr="001A79C8" w:rsidRDefault="00110185" w:rsidP="00110185">
      <w:pPr>
        <w:pStyle w:val="Paragraphedeliste"/>
        <w:numPr>
          <w:ilvl w:val="0"/>
          <w:numId w:val="1"/>
        </w:numPr>
        <w:spacing w:after="0" w:line="240" w:lineRule="auto"/>
        <w:ind w:left="714" w:hanging="357"/>
        <w:jc w:val="both"/>
        <w:rPr>
          <w:rFonts w:ascii="Book Antiqua" w:eastAsia="Times New Roman" w:hAnsi="Book Antiqua" w:cs="Times New Roman"/>
          <w:sz w:val="24"/>
          <w:szCs w:val="24"/>
          <w:lang w:eastAsia="fr-FR"/>
        </w:rPr>
      </w:pPr>
      <w:r w:rsidRPr="001A79C8">
        <w:rPr>
          <w:rFonts w:ascii="Book Antiqua" w:eastAsia="Times New Roman" w:hAnsi="Book Antiqua" w:cs="Times New Roman"/>
          <w:sz w:val="24"/>
          <w:szCs w:val="24"/>
          <w:lang w:eastAsia="fr-FR"/>
        </w:rPr>
        <w:t xml:space="preserve">jeune : les moins de 35 ans représentent 39,6% du total des actifs </w:t>
      </w:r>
      <w:r w:rsidR="00CC69CE" w:rsidRPr="001A79C8">
        <w:rPr>
          <w:rFonts w:ascii="Book Antiqua" w:eastAsia="Times New Roman" w:hAnsi="Book Antiqua" w:cs="Times New Roman"/>
          <w:sz w:val="24"/>
          <w:szCs w:val="24"/>
          <w:lang w:eastAsia="fr-FR"/>
        </w:rPr>
        <w:t xml:space="preserve">en 2023 </w:t>
      </w:r>
      <w:r w:rsidRPr="001A79C8">
        <w:rPr>
          <w:rFonts w:ascii="Book Antiqua" w:eastAsia="Times New Roman" w:hAnsi="Book Antiqua" w:cs="Times New Roman"/>
          <w:sz w:val="24"/>
          <w:szCs w:val="24"/>
          <w:lang w:eastAsia="fr-FR"/>
        </w:rPr>
        <w:t>(40,5% en zones urbaines et 38,2% en zones rurales) contre 8,9% chez les actifs âgés de 60 ans et plus (13% pour les ru</w:t>
      </w:r>
      <w:r w:rsidR="00713AE6" w:rsidRPr="001A79C8">
        <w:rPr>
          <w:rFonts w:ascii="Book Antiqua" w:eastAsia="Times New Roman" w:hAnsi="Book Antiqua" w:cs="Times New Roman"/>
          <w:sz w:val="24"/>
          <w:szCs w:val="24"/>
          <w:lang w:eastAsia="fr-FR"/>
        </w:rPr>
        <w:t>raux et 6,5% pour les citadins).</w:t>
      </w:r>
    </w:p>
    <w:p w:rsidR="00713AE6" w:rsidRPr="001A79C8" w:rsidRDefault="00713AE6" w:rsidP="00713AE6">
      <w:pPr>
        <w:pStyle w:val="Paragraphedeliste"/>
        <w:spacing w:after="0" w:line="240" w:lineRule="auto"/>
        <w:ind w:left="714"/>
        <w:jc w:val="both"/>
        <w:rPr>
          <w:rFonts w:ascii="Book Antiqua" w:eastAsia="Times New Roman" w:hAnsi="Book Antiqua" w:cs="Times New Roman"/>
          <w:sz w:val="24"/>
          <w:szCs w:val="24"/>
          <w:lang w:eastAsia="fr-FR"/>
        </w:rPr>
      </w:pPr>
    </w:p>
    <w:p w:rsidR="00110185" w:rsidRPr="001A79C8" w:rsidRDefault="00110185" w:rsidP="00713AE6">
      <w:pPr>
        <w:pStyle w:val="Paragraphedeliste"/>
        <w:numPr>
          <w:ilvl w:val="0"/>
          <w:numId w:val="1"/>
        </w:numPr>
        <w:spacing w:after="0" w:line="240" w:lineRule="auto"/>
        <w:ind w:left="714" w:hanging="357"/>
        <w:jc w:val="both"/>
        <w:rPr>
          <w:rFonts w:ascii="Book Antiqua" w:eastAsia="Times New Roman" w:hAnsi="Book Antiqua" w:cs="Times New Roman"/>
          <w:sz w:val="24"/>
          <w:szCs w:val="24"/>
          <w:lang w:eastAsia="fr-FR"/>
        </w:rPr>
      </w:pPr>
      <w:r w:rsidRPr="001A79C8">
        <w:rPr>
          <w:rFonts w:ascii="Book Antiqua" w:eastAsia="Times New Roman" w:hAnsi="Book Antiqua" w:cs="Times New Roman"/>
          <w:sz w:val="24"/>
          <w:szCs w:val="24"/>
          <w:lang w:eastAsia="fr-FR"/>
        </w:rPr>
        <w:t>de faible qualification, avec près de la moitié des actifs (48,2%) n'ont aucun niveau scolaire ou ont le niveau fondamental</w:t>
      </w:r>
      <w:r w:rsidR="00CC69CE" w:rsidRPr="001A79C8">
        <w:rPr>
          <w:rFonts w:ascii="Book Antiqua" w:eastAsia="Times New Roman" w:hAnsi="Book Antiqua" w:cs="Times New Roman"/>
          <w:sz w:val="24"/>
          <w:szCs w:val="24"/>
          <w:lang w:eastAsia="fr-FR"/>
        </w:rPr>
        <w:t xml:space="preserve"> en 2023</w:t>
      </w:r>
      <w:r w:rsidRPr="001A79C8">
        <w:rPr>
          <w:rFonts w:ascii="Book Antiqua" w:eastAsia="Times New Roman" w:hAnsi="Book Antiqua" w:cs="Times New Roman"/>
          <w:sz w:val="24"/>
          <w:szCs w:val="24"/>
          <w:lang w:eastAsia="fr-FR"/>
        </w:rPr>
        <w:t>.</w:t>
      </w:r>
      <w:r w:rsidR="00713AE6" w:rsidRPr="001A79C8">
        <w:rPr>
          <w:rFonts w:ascii="Book Antiqua" w:eastAsia="Times New Roman" w:hAnsi="Book Antiqua" w:cs="Times New Roman"/>
          <w:sz w:val="24"/>
          <w:szCs w:val="24"/>
          <w:lang w:eastAsia="fr-FR"/>
        </w:rPr>
        <w:t xml:space="preserve"> </w:t>
      </w:r>
      <w:r w:rsidRPr="001A79C8">
        <w:rPr>
          <w:rFonts w:ascii="Book Antiqua" w:eastAsia="Times New Roman" w:hAnsi="Book Antiqua" w:cs="Times New Roman"/>
          <w:sz w:val="24"/>
          <w:szCs w:val="24"/>
          <w:lang w:eastAsia="fr-FR"/>
        </w:rPr>
        <w:t>Cette faible qualification est encore plus prononcé</w:t>
      </w:r>
      <w:r w:rsidR="00713AE6" w:rsidRPr="001A79C8">
        <w:rPr>
          <w:rFonts w:ascii="Book Antiqua" w:eastAsia="Times New Roman" w:hAnsi="Book Antiqua" w:cs="Times New Roman"/>
          <w:sz w:val="24"/>
          <w:szCs w:val="24"/>
          <w:lang w:eastAsia="fr-FR"/>
        </w:rPr>
        <w:t>e</w:t>
      </w:r>
      <w:r w:rsidRPr="001A79C8">
        <w:rPr>
          <w:rFonts w:ascii="Book Antiqua" w:eastAsia="Times New Roman" w:hAnsi="Book Antiqua" w:cs="Times New Roman"/>
          <w:sz w:val="24"/>
          <w:szCs w:val="24"/>
          <w:lang w:eastAsia="fr-FR"/>
        </w:rPr>
        <w:t xml:space="preserve"> en zone</w:t>
      </w:r>
      <w:r w:rsidR="00713AE6" w:rsidRPr="001A79C8">
        <w:rPr>
          <w:rFonts w:ascii="Book Antiqua" w:eastAsia="Times New Roman" w:hAnsi="Book Antiqua" w:cs="Times New Roman"/>
          <w:sz w:val="24"/>
          <w:szCs w:val="24"/>
          <w:lang w:eastAsia="fr-FR"/>
        </w:rPr>
        <w:t>s</w:t>
      </w:r>
      <w:r w:rsidRPr="001A79C8">
        <w:rPr>
          <w:rFonts w:ascii="Book Antiqua" w:eastAsia="Times New Roman" w:hAnsi="Book Antiqua" w:cs="Times New Roman"/>
          <w:sz w:val="24"/>
          <w:szCs w:val="24"/>
          <w:lang w:eastAsia="fr-FR"/>
        </w:rPr>
        <w:t xml:space="preserve"> rurale</w:t>
      </w:r>
      <w:r w:rsidR="00713AE6" w:rsidRPr="001A79C8">
        <w:rPr>
          <w:rFonts w:ascii="Book Antiqua" w:eastAsia="Times New Roman" w:hAnsi="Book Antiqua" w:cs="Times New Roman"/>
          <w:sz w:val="24"/>
          <w:szCs w:val="24"/>
          <w:lang w:eastAsia="fr-FR"/>
        </w:rPr>
        <w:t xml:space="preserve">s </w:t>
      </w:r>
      <w:r w:rsidRPr="001A79C8">
        <w:rPr>
          <w:rFonts w:ascii="Book Antiqua" w:eastAsia="Times New Roman" w:hAnsi="Book Antiqua" w:cs="Times New Roman"/>
          <w:sz w:val="24"/>
          <w:szCs w:val="24"/>
          <w:lang w:eastAsia="fr-FR"/>
        </w:rPr>
        <w:t xml:space="preserve">où </w:t>
      </w:r>
      <w:r w:rsidR="00713AE6" w:rsidRPr="001A79C8">
        <w:rPr>
          <w:rFonts w:ascii="Book Antiqua" w:eastAsia="Times New Roman" w:hAnsi="Book Antiqua" w:cs="Times New Roman"/>
          <w:sz w:val="24"/>
          <w:szCs w:val="24"/>
          <w:lang w:eastAsia="fr-FR"/>
        </w:rPr>
        <w:t xml:space="preserve">elle concerne </w:t>
      </w:r>
      <w:r w:rsidRPr="001A79C8">
        <w:rPr>
          <w:rFonts w:ascii="Book Antiqua" w:eastAsia="Times New Roman" w:hAnsi="Book Antiqua" w:cs="Times New Roman"/>
          <w:sz w:val="24"/>
          <w:szCs w:val="24"/>
          <w:lang w:eastAsia="fr-FR"/>
        </w:rPr>
        <w:t xml:space="preserve">71,6% des actifs </w:t>
      </w:r>
      <w:r w:rsidR="00713AE6" w:rsidRPr="001A79C8">
        <w:rPr>
          <w:rFonts w:ascii="Book Antiqua" w:eastAsia="Times New Roman" w:hAnsi="Book Antiqua" w:cs="Times New Roman"/>
          <w:sz w:val="24"/>
          <w:szCs w:val="24"/>
          <w:lang w:eastAsia="fr-FR"/>
        </w:rPr>
        <w:t>dans ce milieu.</w:t>
      </w:r>
    </w:p>
    <w:p w:rsidR="00110185" w:rsidRDefault="00110185" w:rsidP="00110185">
      <w:pPr>
        <w:pStyle w:val="Paragraphedeliste"/>
        <w:ind w:left="714"/>
        <w:jc w:val="both"/>
        <w:rPr>
          <w:lang w:eastAsia="fr-FR"/>
        </w:rPr>
      </w:pPr>
    </w:p>
    <w:p w:rsidR="00110185" w:rsidRDefault="00110185" w:rsidP="00110185">
      <w:pPr>
        <w:pStyle w:val="Titre1"/>
        <w:numPr>
          <w:ilvl w:val="0"/>
          <w:numId w:val="2"/>
        </w:numPr>
        <w:rPr>
          <w:rFonts w:ascii="Book Antiqua" w:hAnsi="Book Antiqua" w:cstheme="majorBidi"/>
          <w:color w:val="0070C0"/>
          <w:sz w:val="28"/>
          <w:szCs w:val="28"/>
        </w:rPr>
      </w:pPr>
      <w:r>
        <w:rPr>
          <w:rFonts w:ascii="Book Antiqua" w:hAnsi="Book Antiqua" w:cstheme="majorBidi"/>
          <w:color w:val="0070C0"/>
          <w:sz w:val="28"/>
          <w:szCs w:val="28"/>
        </w:rPr>
        <w:t>P</w:t>
      </w:r>
      <w:r w:rsidRPr="00621BC2">
        <w:rPr>
          <w:rFonts w:ascii="Book Antiqua" w:hAnsi="Book Antiqua" w:cstheme="majorBidi"/>
          <w:color w:val="0070C0"/>
          <w:sz w:val="28"/>
          <w:szCs w:val="28"/>
        </w:rPr>
        <w:t>rincipales caractéristiques</w:t>
      </w:r>
      <w:r>
        <w:rPr>
          <w:rFonts w:ascii="Book Antiqua" w:hAnsi="Book Antiqua" w:cstheme="majorBidi"/>
          <w:color w:val="0070C0"/>
          <w:sz w:val="28"/>
          <w:szCs w:val="28"/>
        </w:rPr>
        <w:t xml:space="preserve"> de la p</w:t>
      </w:r>
      <w:bookmarkStart w:id="5" w:name="_GoBack"/>
      <w:bookmarkEnd w:id="5"/>
      <w:r w:rsidRPr="00621BC2">
        <w:rPr>
          <w:rFonts w:ascii="Book Antiqua" w:hAnsi="Book Antiqua" w:cstheme="majorBidi"/>
          <w:color w:val="0070C0"/>
          <w:sz w:val="28"/>
          <w:szCs w:val="28"/>
        </w:rPr>
        <w:t>opulation</w:t>
      </w:r>
      <w:r>
        <w:rPr>
          <w:rFonts w:ascii="Book Antiqua" w:hAnsi="Book Antiqua" w:cstheme="majorBidi"/>
          <w:color w:val="0070C0"/>
          <w:sz w:val="28"/>
          <w:szCs w:val="28"/>
        </w:rPr>
        <w:t xml:space="preserve"> </w:t>
      </w:r>
      <w:r w:rsidRPr="00621BC2">
        <w:rPr>
          <w:rFonts w:ascii="Book Antiqua" w:hAnsi="Book Antiqua" w:cstheme="majorBidi"/>
          <w:color w:val="0070C0"/>
          <w:sz w:val="28"/>
          <w:szCs w:val="28"/>
        </w:rPr>
        <w:t>active occupée</w:t>
      </w:r>
      <w:r>
        <w:rPr>
          <w:rFonts w:ascii="Book Antiqua" w:hAnsi="Book Antiqua" w:cstheme="majorBidi"/>
          <w:color w:val="0070C0"/>
          <w:sz w:val="28"/>
          <w:szCs w:val="28"/>
        </w:rPr>
        <w:t> </w:t>
      </w:r>
    </w:p>
    <w:p w:rsidR="00110185" w:rsidRPr="00621BC2" w:rsidRDefault="00110185" w:rsidP="00110185"/>
    <w:p w:rsidR="00110185" w:rsidRDefault="00CC69CE" w:rsidP="00CC69CE">
      <w:pPr>
        <w:jc w:val="both"/>
        <w:rPr>
          <w:rFonts w:ascii="Book Antiqua" w:hAnsi="Book Antiqua"/>
        </w:rPr>
      </w:pPr>
      <w:r w:rsidRPr="001A79C8">
        <w:rPr>
          <w:rFonts w:ascii="Book Antiqua" w:hAnsi="Book Antiqua"/>
        </w:rPr>
        <w:t>En 2023, s</w:t>
      </w:r>
      <w:r w:rsidR="00110185" w:rsidRPr="001A79C8">
        <w:rPr>
          <w:rFonts w:ascii="Book Antiqua" w:hAnsi="Book Antiqua"/>
        </w:rPr>
        <w:t>ur les 10.591.000 actifs occupés, 39,3% d’entre eux résident en milieu rural et 20,7% sont de sexe féminin. Les jeunes âgés de 15 à 34 ans constituent 34,2% du volume total de l’emploi (8,1% pour les 15 à 24 ans et 26,1% pour les 25 à 34 ans).</w:t>
      </w:r>
    </w:p>
    <w:p w:rsidR="00110185" w:rsidRPr="00922E75" w:rsidRDefault="00110185" w:rsidP="00110185">
      <w:pPr>
        <w:jc w:val="both"/>
        <w:rPr>
          <w:rFonts w:ascii="Book Antiqua" w:hAnsi="Book Antiqua"/>
        </w:rPr>
      </w:pPr>
    </w:p>
    <w:p w:rsidR="00110185" w:rsidRPr="00922E75" w:rsidRDefault="00110185" w:rsidP="00110185">
      <w:pPr>
        <w:jc w:val="both"/>
        <w:rPr>
          <w:rFonts w:ascii="Book Antiqua" w:hAnsi="Book Antiqua"/>
        </w:rPr>
      </w:pPr>
      <w:r w:rsidRPr="00922E75">
        <w:rPr>
          <w:rFonts w:ascii="Book Antiqua" w:hAnsi="Book Antiqua"/>
        </w:rPr>
        <w:t>Le taux d’emploi a atteint 38% au niveau national; 34,8% en milieu urbain et 44,3% en milieu rural; 61,1% parmi les hommes et 15,5% parmi les femmes. Il est de 53,8% pour la tranche d’âge 35-44 ans et de 14,5% pour les 15-24 ans.</w:t>
      </w:r>
    </w:p>
    <w:p w:rsidR="00110185" w:rsidRDefault="00110185" w:rsidP="00110185">
      <w:pPr>
        <w:spacing w:after="200" w:line="276" w:lineRule="auto"/>
        <w:rPr>
          <w:rFonts w:ascii="Book Antiqua" w:eastAsia="Book Antiqua" w:hAnsi="Book Antiqua" w:cs="Book Antiqua"/>
          <w:b/>
          <w:color w:val="4F81BD" w:themeColor="accent1"/>
          <w:sz w:val="20"/>
          <w:szCs w:val="20"/>
        </w:rPr>
      </w:pPr>
    </w:p>
    <w:p w:rsidR="00110185" w:rsidRDefault="00110185" w:rsidP="00110185">
      <w:pPr>
        <w:spacing w:after="200" w:line="276" w:lineRule="auto"/>
        <w:rPr>
          <w:rFonts w:ascii="Book Antiqua" w:eastAsia="Book Antiqua" w:hAnsi="Book Antiqua" w:cs="Book Antiqua"/>
          <w:b/>
          <w:color w:val="4F81BD" w:themeColor="accent1"/>
          <w:sz w:val="22"/>
          <w:szCs w:val="22"/>
        </w:rPr>
      </w:pPr>
      <w:r>
        <w:rPr>
          <w:rFonts w:ascii="Book Antiqua" w:eastAsia="Book Antiqua" w:hAnsi="Book Antiqua" w:cs="Book Antiqua"/>
          <w:b/>
          <w:color w:val="4F81BD" w:themeColor="accent1"/>
          <w:sz w:val="22"/>
          <w:szCs w:val="22"/>
        </w:rPr>
        <w:br w:type="page"/>
      </w:r>
    </w:p>
    <w:p w:rsidR="002E5FAA" w:rsidRDefault="00110185" w:rsidP="00110185">
      <w:pPr>
        <w:spacing w:after="200" w:line="276" w:lineRule="auto"/>
        <w:jc w:val="center"/>
        <w:rPr>
          <w:rFonts w:ascii="Book Antiqua" w:eastAsia="Book Antiqua" w:hAnsi="Book Antiqua" w:cs="Book Antiqua"/>
          <w:b/>
          <w:color w:val="4F81BD" w:themeColor="accent1"/>
          <w:sz w:val="22"/>
          <w:szCs w:val="22"/>
        </w:rPr>
      </w:pPr>
      <w:r w:rsidRPr="00C466D0">
        <w:rPr>
          <w:rFonts w:ascii="Book Antiqua" w:eastAsia="Book Antiqua" w:hAnsi="Book Antiqua" w:cs="Book Antiqua"/>
          <w:b/>
          <w:color w:val="4F81BD" w:themeColor="accent1"/>
          <w:sz w:val="22"/>
          <w:szCs w:val="22"/>
        </w:rPr>
        <w:lastRenderedPageBreak/>
        <w:t>Graphique 2 : Evolution du taux d’emploi</w:t>
      </w:r>
      <w:r w:rsidR="002E5FAA">
        <w:rPr>
          <w:rFonts w:ascii="Book Antiqua" w:eastAsia="Book Antiqua" w:hAnsi="Book Antiqua" w:cs="Book Antiqua"/>
          <w:b/>
          <w:color w:val="4F81BD" w:themeColor="accent1"/>
          <w:sz w:val="22"/>
          <w:szCs w:val="22"/>
        </w:rPr>
        <w:t xml:space="preserve"> selon le milieu de résidence</w:t>
      </w:r>
    </w:p>
    <w:p w:rsidR="00110185" w:rsidRPr="00C466D0" w:rsidRDefault="00110185" w:rsidP="00110185">
      <w:pPr>
        <w:spacing w:after="200" w:line="276" w:lineRule="auto"/>
        <w:jc w:val="center"/>
        <w:rPr>
          <w:rFonts w:ascii="Book Antiqua" w:hAnsi="Book Antiqua"/>
          <w:b/>
          <w:bCs/>
          <w:color w:val="4F81BD" w:themeColor="accent1"/>
          <w:sz w:val="22"/>
          <w:szCs w:val="22"/>
        </w:rPr>
      </w:pPr>
      <w:r w:rsidRPr="00C466D0">
        <w:rPr>
          <w:rFonts w:ascii="Book Antiqua" w:eastAsia="Book Antiqua" w:hAnsi="Book Antiqua" w:cs="Book Antiqua"/>
          <w:b/>
          <w:color w:val="4F81BD" w:themeColor="accent1"/>
          <w:sz w:val="22"/>
          <w:szCs w:val="22"/>
        </w:rPr>
        <w:t xml:space="preserve"> depuis l’année 2017 (en %)</w:t>
      </w:r>
      <w:r w:rsidR="005C5CCF">
        <w:rPr>
          <w:rFonts w:ascii="Book Antiqua" w:eastAsia="Book Antiqua" w:hAnsi="Book Antiqua" w:cs="Book Antiqua"/>
          <w:b/>
          <w:color w:val="4F81BD" w:themeColor="accent1"/>
          <w:sz w:val="22"/>
          <w:szCs w:val="22"/>
        </w:rPr>
        <w:t>.</w:t>
      </w:r>
    </w:p>
    <w:p w:rsidR="00110185" w:rsidRPr="00922E75" w:rsidRDefault="00110185" w:rsidP="00110185">
      <w:pPr>
        <w:spacing w:before="240" w:line="312" w:lineRule="auto"/>
        <w:jc w:val="center"/>
        <w:rPr>
          <w:rFonts w:ascii="Book Antiqua" w:hAnsi="Book Antiqua"/>
        </w:rPr>
      </w:pPr>
      <w:r w:rsidRPr="00922E75">
        <w:rPr>
          <w:rFonts w:ascii="Book Antiqua" w:hAnsi="Book Antiqua"/>
          <w:noProof/>
        </w:rPr>
        <w:drawing>
          <wp:inline distT="0" distB="0" distL="0" distR="0">
            <wp:extent cx="5602942" cy="2205317"/>
            <wp:effectExtent l="0" t="0" r="0" b="0"/>
            <wp:docPr id="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0185" w:rsidRPr="00922E75" w:rsidRDefault="00110185" w:rsidP="00110185">
      <w:pPr>
        <w:spacing w:after="200" w:line="276" w:lineRule="auto"/>
        <w:rPr>
          <w:rFonts w:ascii="Book Antiqua" w:hAnsi="Book Antiqua"/>
          <w:b/>
          <w:bCs/>
          <w:color w:val="1F497D" w:themeColor="text2"/>
        </w:rPr>
      </w:pPr>
      <w:r w:rsidRPr="00922E75">
        <w:rPr>
          <w:rFonts w:ascii="Book Antiqua" w:hAnsi="Book Antiqua"/>
          <w:b/>
          <w:bCs/>
          <w:color w:val="1F497D" w:themeColor="text2"/>
        </w:rPr>
        <w:t xml:space="preserve">Composition sectorielle de la population active occupée </w:t>
      </w:r>
    </w:p>
    <w:p w:rsidR="00110185" w:rsidRDefault="00110185" w:rsidP="002E5FAA">
      <w:pPr>
        <w:jc w:val="both"/>
        <w:rPr>
          <w:rFonts w:ascii="Book Antiqua" w:hAnsi="Book Antiqua"/>
        </w:rPr>
      </w:pPr>
      <w:r w:rsidRPr="00922E75">
        <w:rPr>
          <w:rFonts w:ascii="Book Antiqua" w:hAnsi="Book Antiqua"/>
        </w:rPr>
        <w:t>Le secteur des "services" emploie 5.114.000 personnes</w:t>
      </w:r>
      <w:r w:rsidR="002E5FAA">
        <w:rPr>
          <w:rFonts w:ascii="Book Antiqua" w:hAnsi="Book Antiqua"/>
        </w:rPr>
        <w:t xml:space="preserve"> </w:t>
      </w:r>
      <w:r w:rsidRPr="00922E75">
        <w:rPr>
          <w:rFonts w:ascii="Book Antiqua" w:hAnsi="Book Antiqua"/>
        </w:rPr>
        <w:t>(48,3%), suivi de</w:t>
      </w:r>
      <w:r>
        <w:rPr>
          <w:rFonts w:ascii="Book Antiqua" w:hAnsi="Book Antiqua"/>
        </w:rPr>
        <w:t xml:space="preserve"> celui</w:t>
      </w:r>
      <w:r w:rsidRPr="00922E75">
        <w:rPr>
          <w:rFonts w:ascii="Book Antiqua" w:hAnsi="Book Antiqua"/>
        </w:rPr>
        <w:t xml:space="preserve"> l’"agriculture, forêt et pêche" avec 2.947.000 personnes ou 27,8%, de l’"industrie y compris l’artisanat" (1.296.000 personnes ou 12,2%) et des BTP (1.228.000 personnes ou 11,6%).</w:t>
      </w:r>
      <w:r w:rsidRPr="00922E75">
        <w:rPr>
          <w:rStyle w:val="Appelnotedebasdep"/>
          <w:rFonts w:ascii="Book Antiqua" w:hAnsi="Book Antiqua"/>
        </w:rPr>
        <w:footnoteReference w:id="1"/>
      </w:r>
    </w:p>
    <w:p w:rsidR="00110185" w:rsidRPr="00922E75" w:rsidRDefault="00110185" w:rsidP="00110185">
      <w:pPr>
        <w:jc w:val="both"/>
        <w:rPr>
          <w:rFonts w:ascii="Book Antiqua" w:hAnsi="Book Antiqua"/>
        </w:rPr>
      </w:pPr>
    </w:p>
    <w:p w:rsidR="00110185" w:rsidRDefault="00110185" w:rsidP="00110185">
      <w:pPr>
        <w:jc w:val="both"/>
        <w:rPr>
          <w:rFonts w:ascii="Book Antiqua" w:hAnsi="Book Antiqua"/>
        </w:rPr>
      </w:pPr>
      <w:r w:rsidRPr="00922E75">
        <w:rPr>
          <w:rFonts w:ascii="Book Antiqua" w:hAnsi="Book Antiqua"/>
        </w:rPr>
        <w:t xml:space="preserve">Parmi les 5.114.000 personnes exerçant dans le secteur des "services", 31,3% relèvent de la branche du commerce, 12,7% des services sociaux fournis à la collectivité et 12,1% du transport, entrepôts et communications. </w:t>
      </w:r>
    </w:p>
    <w:p w:rsidR="00110185" w:rsidRPr="00922E75" w:rsidRDefault="00110185" w:rsidP="00110185">
      <w:pPr>
        <w:spacing w:before="240" w:line="312" w:lineRule="auto"/>
        <w:jc w:val="both"/>
        <w:rPr>
          <w:rFonts w:ascii="Book Antiqua" w:hAnsi="Book Antiqua"/>
          <w:b/>
          <w:bCs/>
          <w:color w:val="1F497D" w:themeColor="text2"/>
          <w:sz w:val="22"/>
          <w:szCs w:val="22"/>
        </w:rPr>
      </w:pPr>
    </w:p>
    <w:p w:rsidR="00110185" w:rsidRPr="00C466D0" w:rsidRDefault="00110185" w:rsidP="00110185">
      <w:pPr>
        <w:spacing w:after="200" w:line="276" w:lineRule="auto"/>
        <w:jc w:val="center"/>
        <w:rPr>
          <w:rFonts w:ascii="Book Antiqua" w:eastAsia="Book Antiqua" w:hAnsi="Book Antiqua" w:cs="Book Antiqua"/>
          <w:b/>
          <w:color w:val="4F81BD" w:themeColor="accent1"/>
        </w:rPr>
      </w:pPr>
      <w:r w:rsidRPr="00C466D0">
        <w:rPr>
          <w:rFonts w:ascii="Book Antiqua" w:eastAsia="Book Antiqua" w:hAnsi="Book Antiqua" w:cs="Book Antiqua"/>
          <w:b/>
          <w:color w:val="4F81BD" w:themeColor="accent1"/>
        </w:rPr>
        <w:t>Graphique 3 : Répartition des actifs occupés selon les secteurs d’activité</w:t>
      </w:r>
      <w:r w:rsidR="002E5FAA">
        <w:rPr>
          <w:rFonts w:ascii="Book Antiqua" w:eastAsia="Book Antiqua" w:hAnsi="Book Antiqua" w:cs="Book Antiqua"/>
          <w:b/>
          <w:color w:val="4F81BD" w:themeColor="accent1"/>
        </w:rPr>
        <w:t xml:space="preserve"> (%)</w:t>
      </w:r>
    </w:p>
    <w:p w:rsidR="00110185" w:rsidRPr="00922E75" w:rsidRDefault="00110185" w:rsidP="00110185">
      <w:pPr>
        <w:spacing w:before="120" w:after="120" w:line="312" w:lineRule="auto"/>
        <w:jc w:val="center"/>
        <w:rPr>
          <w:rFonts w:ascii="Book Antiqua" w:hAnsi="Book Antiqua"/>
        </w:rPr>
      </w:pPr>
      <w:r w:rsidRPr="00922E75">
        <w:rPr>
          <w:rFonts w:ascii="Book Antiqua" w:hAnsi="Book Antiqua"/>
          <w:noProof/>
        </w:rPr>
        <w:drawing>
          <wp:inline distT="0" distB="0" distL="0" distR="0">
            <wp:extent cx="4572000" cy="2504660"/>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0185" w:rsidRDefault="00110185" w:rsidP="00110185">
      <w:pPr>
        <w:jc w:val="both"/>
        <w:rPr>
          <w:rFonts w:ascii="Book Antiqua" w:hAnsi="Book Antiqua"/>
        </w:rPr>
      </w:pPr>
      <w:r w:rsidRPr="00922E75">
        <w:rPr>
          <w:rFonts w:ascii="Book Antiqua" w:hAnsi="Book Antiqua"/>
        </w:rPr>
        <w:lastRenderedPageBreak/>
        <w:t xml:space="preserve">Près des deux-tiers (66,5%) des actifs occupés citadins exercent dans le secteur des "services" et 16,8% dans l’"industrie y compris l’artisanat". En milieu rural, 64%des actifs occupés exercent dans le secteur de l’"agriculture, forêt et pêche". </w:t>
      </w:r>
    </w:p>
    <w:p w:rsidR="00110185" w:rsidRPr="00922E75" w:rsidRDefault="00110185" w:rsidP="00110185">
      <w:pPr>
        <w:suppressAutoHyphens/>
        <w:jc w:val="both"/>
        <w:rPr>
          <w:rFonts w:ascii="Book Antiqua" w:hAnsi="Book Antiqua"/>
        </w:rPr>
      </w:pPr>
      <w:r w:rsidRPr="00922E75">
        <w:rPr>
          <w:rFonts w:ascii="Book Antiqua" w:hAnsi="Book Antiqua"/>
        </w:rPr>
        <w:t xml:space="preserve">Les professions les plus exercées sont </w:t>
      </w:r>
      <w:r>
        <w:rPr>
          <w:rFonts w:ascii="Book Antiqua" w:hAnsi="Book Antiqua"/>
        </w:rPr>
        <w:t>celles des</w:t>
      </w:r>
      <w:r w:rsidR="00BF33F1">
        <w:rPr>
          <w:rFonts w:ascii="Book Antiqua" w:hAnsi="Book Antiqua"/>
        </w:rPr>
        <w:t xml:space="preserve"> </w:t>
      </w:r>
      <w:r w:rsidRPr="00922E75">
        <w:rPr>
          <w:rFonts w:ascii="Book Antiqua" w:hAnsi="Book Antiqua"/>
        </w:rPr>
        <w:sym w:font="Symbol" w:char="F0B2"/>
      </w:r>
      <w:r w:rsidRPr="00922E75">
        <w:rPr>
          <w:rFonts w:ascii="Book Antiqua" w:hAnsi="Book Antiqua"/>
        </w:rPr>
        <w:t>artisans et ouvriers qualifiés des métiers artisanaux</w:t>
      </w:r>
      <w:r w:rsidRPr="00922E75">
        <w:rPr>
          <w:rFonts w:ascii="Book Antiqua" w:hAnsi="Book Antiqua"/>
        </w:rPr>
        <w:sym w:font="Symbol" w:char="F0B2"/>
      </w:r>
      <w:r w:rsidRPr="00922E75">
        <w:rPr>
          <w:rFonts w:ascii="Book Antiqua" w:hAnsi="Book Antiqua"/>
        </w:rPr>
        <w:t xml:space="preserve"> avec 18,9% de l'ensemble des actifs occupés, </w:t>
      </w:r>
      <w:r>
        <w:rPr>
          <w:rFonts w:ascii="Book Antiqua" w:hAnsi="Book Antiqua"/>
        </w:rPr>
        <w:t>d</w:t>
      </w:r>
      <w:r w:rsidRPr="00922E75">
        <w:rPr>
          <w:rFonts w:ascii="Book Antiqua" w:hAnsi="Book Antiqua"/>
        </w:rPr>
        <w:t xml:space="preserve">es "manœuvres non agricoles, manutentionnaires, petits métiers" (18,3%) et </w:t>
      </w:r>
      <w:r>
        <w:rPr>
          <w:rFonts w:ascii="Book Antiqua" w:hAnsi="Book Antiqua"/>
        </w:rPr>
        <w:t>d</w:t>
      </w:r>
      <w:r w:rsidRPr="00922E75">
        <w:rPr>
          <w:rFonts w:ascii="Book Antiqua" w:hAnsi="Book Antiqua"/>
        </w:rPr>
        <w:t xml:space="preserve">es "ouvriers et manœuvres de l’agriculture et de la pêche" (17,3%). </w:t>
      </w:r>
    </w:p>
    <w:p w:rsidR="00110185" w:rsidRPr="00922E75" w:rsidRDefault="00110185" w:rsidP="00110185">
      <w:pPr>
        <w:spacing w:before="240" w:line="312" w:lineRule="auto"/>
        <w:jc w:val="both"/>
        <w:rPr>
          <w:rFonts w:ascii="Book Antiqua" w:hAnsi="Book Antiqua"/>
          <w:b/>
          <w:bCs/>
          <w:color w:val="1F497D" w:themeColor="text2"/>
        </w:rPr>
      </w:pPr>
      <w:r w:rsidRPr="00922E75">
        <w:rPr>
          <w:rFonts w:ascii="Book Antiqua" w:hAnsi="Book Antiqua"/>
          <w:b/>
          <w:bCs/>
          <w:color w:val="1F497D" w:themeColor="text2"/>
        </w:rPr>
        <w:t>Les statuts d</w:t>
      </w:r>
      <w:r>
        <w:rPr>
          <w:rFonts w:ascii="Book Antiqua" w:hAnsi="Book Antiqua"/>
          <w:b/>
          <w:bCs/>
          <w:color w:val="1F497D" w:themeColor="text2"/>
        </w:rPr>
        <w:t>u</w:t>
      </w:r>
      <w:r w:rsidRPr="00922E75">
        <w:rPr>
          <w:rFonts w:ascii="Book Antiqua" w:hAnsi="Book Antiqua"/>
          <w:b/>
          <w:bCs/>
          <w:color w:val="1F497D" w:themeColor="text2"/>
        </w:rPr>
        <w:t xml:space="preserve"> salariat et de l’emploi indépendant prédominent </w:t>
      </w:r>
    </w:p>
    <w:p w:rsidR="00110185" w:rsidRDefault="00110185" w:rsidP="00110185">
      <w:pPr>
        <w:jc w:val="both"/>
        <w:rPr>
          <w:rFonts w:ascii="Book Antiqua" w:hAnsi="Book Antiqua"/>
        </w:rPr>
      </w:pPr>
    </w:p>
    <w:p w:rsidR="00110185" w:rsidRDefault="00110185" w:rsidP="00110185">
      <w:pPr>
        <w:jc w:val="both"/>
        <w:rPr>
          <w:rFonts w:ascii="Book Antiqua" w:hAnsi="Book Antiqua"/>
        </w:rPr>
      </w:pPr>
      <w:r w:rsidRPr="00922E75">
        <w:rPr>
          <w:rFonts w:ascii="Book Antiqua" w:hAnsi="Book Antiqua"/>
        </w:rPr>
        <w:t xml:space="preserve">L'emploi salarial touche près de 6 actifs occupés sur 10 (58,9%). Il reste plus fréquent parmi les femmes citadines actives occupées avec 85,9% contre 67,3% parmi leurs homologues hommes. Les indépendants, quant à eux, représentent 26,3% des actifs occupés, 29,9% parmi les hommes et 12,4% parmi les femmes. </w:t>
      </w:r>
    </w:p>
    <w:p w:rsidR="00110185" w:rsidRDefault="00110185" w:rsidP="00110185">
      <w:pPr>
        <w:jc w:val="both"/>
        <w:rPr>
          <w:rFonts w:ascii="Book Antiqua" w:hAnsi="Book Antiqua"/>
        </w:rPr>
      </w:pPr>
    </w:p>
    <w:p w:rsidR="00110185" w:rsidRPr="00922E75" w:rsidRDefault="00110185" w:rsidP="00110185">
      <w:pPr>
        <w:jc w:val="both"/>
        <w:rPr>
          <w:rFonts w:ascii="Book Antiqua" w:hAnsi="Book Antiqua"/>
        </w:rPr>
      </w:pPr>
      <w:r w:rsidRPr="00922E75">
        <w:rPr>
          <w:rFonts w:ascii="Book Antiqua" w:hAnsi="Book Antiqua"/>
        </w:rPr>
        <w:t>Les aides familiales représentent 10,5%, avec un</w:t>
      </w:r>
      <w:r>
        <w:rPr>
          <w:rFonts w:ascii="Book Antiqua" w:hAnsi="Book Antiqua"/>
        </w:rPr>
        <w:t xml:space="preserve">e forte concentration chez les </w:t>
      </w:r>
      <w:r w:rsidRPr="00922E75">
        <w:rPr>
          <w:rFonts w:ascii="Book Antiqua" w:hAnsi="Book Antiqua"/>
        </w:rPr>
        <w:t>femmes rurales</w:t>
      </w:r>
      <w:r>
        <w:rPr>
          <w:rFonts w:ascii="Book Antiqua" w:hAnsi="Book Antiqua"/>
        </w:rPr>
        <w:t xml:space="preserve"> (</w:t>
      </w:r>
      <w:r w:rsidRPr="00922E75">
        <w:rPr>
          <w:rFonts w:ascii="Book Antiqua" w:hAnsi="Book Antiqua"/>
        </w:rPr>
        <w:t>67,6%</w:t>
      </w:r>
      <w:r>
        <w:rPr>
          <w:rFonts w:ascii="Book Antiqua" w:hAnsi="Book Antiqua"/>
        </w:rPr>
        <w:t>)</w:t>
      </w:r>
      <w:r w:rsidRPr="00922E75">
        <w:rPr>
          <w:rFonts w:ascii="Book Antiqua" w:hAnsi="Book Antiqua"/>
        </w:rPr>
        <w:t>. Le statut d'employeur</w:t>
      </w:r>
      <w:r>
        <w:rPr>
          <w:rFonts w:ascii="Book Antiqua" w:hAnsi="Book Antiqua"/>
        </w:rPr>
        <w:t xml:space="preserve"> </w:t>
      </w:r>
      <w:r w:rsidRPr="00922E75">
        <w:rPr>
          <w:rFonts w:ascii="Book Antiqua" w:hAnsi="Book Antiqua"/>
        </w:rPr>
        <w:t>représente 1,9% de l’ensemble des actifs occupés.</w:t>
      </w:r>
    </w:p>
    <w:p w:rsidR="00110185" w:rsidRPr="00922E75" w:rsidRDefault="00110185" w:rsidP="00110185">
      <w:pPr>
        <w:spacing w:before="240" w:line="312" w:lineRule="auto"/>
        <w:jc w:val="both"/>
        <w:rPr>
          <w:rFonts w:ascii="Book Antiqua" w:hAnsi="Book Antiqua"/>
          <w:b/>
          <w:bCs/>
          <w:color w:val="1F497D" w:themeColor="text2"/>
        </w:rPr>
      </w:pPr>
      <w:r>
        <w:rPr>
          <w:rFonts w:ascii="Book Antiqua" w:hAnsi="Book Antiqua"/>
          <w:b/>
          <w:bCs/>
          <w:color w:val="1F497D" w:themeColor="text2"/>
        </w:rPr>
        <w:t>Q</w:t>
      </w:r>
      <w:r w:rsidRPr="00922E75">
        <w:rPr>
          <w:rFonts w:ascii="Book Antiqua" w:hAnsi="Book Antiqua"/>
          <w:b/>
          <w:bCs/>
          <w:color w:val="1F497D" w:themeColor="text2"/>
        </w:rPr>
        <w:t>ualification des actifs occupés</w:t>
      </w:r>
    </w:p>
    <w:p w:rsidR="00110185" w:rsidRDefault="00110185" w:rsidP="00110185">
      <w:pPr>
        <w:widowControl w:val="0"/>
        <w:shd w:val="clear" w:color="auto" w:fill="FFFFFF"/>
        <w:jc w:val="both"/>
        <w:rPr>
          <w:rFonts w:ascii="Book Antiqua" w:hAnsi="Book Antiqua"/>
        </w:rPr>
      </w:pPr>
    </w:p>
    <w:p w:rsidR="00110185" w:rsidRDefault="00110185" w:rsidP="00110185">
      <w:pPr>
        <w:widowControl w:val="0"/>
        <w:shd w:val="clear" w:color="auto" w:fill="FFFFFF"/>
        <w:jc w:val="both"/>
        <w:rPr>
          <w:rFonts w:ascii="Book Antiqua" w:hAnsi="Book Antiqua"/>
        </w:rPr>
      </w:pPr>
      <w:r w:rsidRPr="00922E75">
        <w:rPr>
          <w:rFonts w:ascii="Book Antiqua" w:hAnsi="Book Antiqua"/>
        </w:rPr>
        <w:t xml:space="preserve">Près de la moitié (49,9%) des actifs occupés n’ont aucun diplôme, 32% ont un diplôme moyen et 18,1% un diplôme supérieur. Parmi les actifs occupés exerçant dans le secteur de l’"agriculture, forêt et pêche", 77,2% n’ont aucun diplôme. Cette proportion </w:t>
      </w:r>
      <w:r w:rsidRPr="00922E75">
        <w:rPr>
          <w:rFonts w:ascii="Book Antiqua" w:hAnsi="Book Antiqua" w:cstheme="majorBidi"/>
        </w:rPr>
        <w:t>atteint</w:t>
      </w:r>
      <w:r w:rsidRPr="00922E75">
        <w:rPr>
          <w:rFonts w:ascii="Book Antiqua" w:hAnsi="Book Antiqua"/>
        </w:rPr>
        <w:t xml:space="preserve"> 56,7% dans le secteur des BTP, 40,9% dans l'" industrie y compris l’artisanat"  et 34,7%</w:t>
      </w:r>
      <w:r>
        <w:rPr>
          <w:rFonts w:ascii="Book Antiqua" w:hAnsi="Book Antiqua"/>
        </w:rPr>
        <w:t xml:space="preserve"> </w:t>
      </w:r>
      <w:r w:rsidRPr="00922E75">
        <w:rPr>
          <w:rFonts w:ascii="Book Antiqua" w:hAnsi="Book Antiqua"/>
        </w:rPr>
        <w:t>dans les " services".</w:t>
      </w:r>
    </w:p>
    <w:p w:rsidR="00110185" w:rsidRPr="00922E75" w:rsidRDefault="00110185" w:rsidP="00110185">
      <w:pPr>
        <w:widowControl w:val="0"/>
        <w:shd w:val="clear" w:color="auto" w:fill="FFFFFF"/>
        <w:jc w:val="both"/>
        <w:rPr>
          <w:rFonts w:ascii="Book Antiqua" w:hAnsi="Book Antiqua"/>
        </w:rPr>
      </w:pPr>
    </w:p>
    <w:p w:rsidR="00110185" w:rsidRDefault="00110185" w:rsidP="00110185">
      <w:pPr>
        <w:widowControl w:val="0"/>
        <w:shd w:val="clear" w:color="auto" w:fill="FFFFFF"/>
        <w:jc w:val="both"/>
        <w:rPr>
          <w:rFonts w:ascii="Book Antiqua" w:hAnsi="Book Antiqua"/>
        </w:rPr>
      </w:pPr>
      <w:r w:rsidRPr="00922E75">
        <w:rPr>
          <w:rFonts w:ascii="Book Antiqua" w:hAnsi="Book Antiqua"/>
        </w:rPr>
        <w:t>Près de deux tiers des indépendants (65,8%) ne disposent d’aucun diplôme, 27,8% ont un diplôme moyen et 6,4% un diplôme supérieur. Pour les salariés, ces proportions sont respectivement de 40,4%, 34,4% et 25,2%.</w:t>
      </w:r>
    </w:p>
    <w:p w:rsidR="00110185" w:rsidRDefault="00110185" w:rsidP="00110185">
      <w:pPr>
        <w:widowControl w:val="0"/>
        <w:shd w:val="clear" w:color="auto" w:fill="FFFFFF"/>
        <w:jc w:val="both"/>
        <w:rPr>
          <w:rFonts w:ascii="Book Antiqua" w:hAnsi="Book Antiqua"/>
          <w:b/>
          <w:bCs/>
          <w:color w:val="1F497D" w:themeColor="text2"/>
          <w:sz w:val="22"/>
          <w:szCs w:val="22"/>
        </w:rPr>
      </w:pPr>
    </w:p>
    <w:p w:rsidR="00110185" w:rsidRPr="00C466D0" w:rsidRDefault="00110185" w:rsidP="00110185">
      <w:pPr>
        <w:spacing w:line="276" w:lineRule="auto"/>
        <w:jc w:val="center"/>
        <w:rPr>
          <w:rFonts w:ascii="Book Antiqua" w:eastAsia="Book Antiqua" w:hAnsi="Book Antiqua" w:cs="Book Antiqua"/>
          <w:b/>
          <w:color w:val="4F81BD" w:themeColor="accent1"/>
        </w:rPr>
      </w:pPr>
      <w:r w:rsidRPr="00C466D0">
        <w:rPr>
          <w:rFonts w:ascii="Book Antiqua" w:eastAsia="Book Antiqua" w:hAnsi="Book Antiqua" w:cs="Book Antiqua"/>
          <w:b/>
          <w:color w:val="4F81BD" w:themeColor="accent1"/>
        </w:rPr>
        <w:t>Graphique 4 : Structure de la population en âge d’activité</w:t>
      </w:r>
    </w:p>
    <w:p w:rsidR="00110185" w:rsidRPr="00C466D0" w:rsidRDefault="00110185" w:rsidP="00110185">
      <w:pPr>
        <w:tabs>
          <w:tab w:val="left" w:pos="5556"/>
        </w:tabs>
        <w:spacing w:line="312" w:lineRule="auto"/>
        <w:jc w:val="center"/>
        <w:rPr>
          <w:rFonts w:ascii="Book Antiqua" w:eastAsia="Book Antiqua" w:hAnsi="Book Antiqua" w:cs="Book Antiqua"/>
          <w:b/>
          <w:color w:val="4F81BD" w:themeColor="accent1"/>
        </w:rPr>
      </w:pPr>
      <w:r w:rsidRPr="00C466D0">
        <w:rPr>
          <w:rFonts w:ascii="Book Antiqua" w:eastAsia="Book Antiqua" w:hAnsi="Book Antiqua" w:cs="Book Antiqua"/>
          <w:b/>
          <w:color w:val="4F81BD" w:themeColor="accent1"/>
        </w:rPr>
        <w:t>et de la population active occupée selon le diplôme (en %)</w:t>
      </w:r>
    </w:p>
    <w:p w:rsidR="00110185" w:rsidRPr="00922E75" w:rsidRDefault="00110185" w:rsidP="00110185">
      <w:pPr>
        <w:spacing w:before="240" w:line="312" w:lineRule="auto"/>
        <w:jc w:val="center"/>
        <w:rPr>
          <w:rFonts w:ascii="Book Antiqua" w:hAnsi="Book Antiqua"/>
          <w:b/>
          <w:bCs/>
          <w:color w:val="1F497D" w:themeColor="text2"/>
        </w:rPr>
      </w:pPr>
      <w:r w:rsidRPr="00922E75">
        <w:rPr>
          <w:rFonts w:ascii="Book Antiqua" w:hAnsi="Book Antiqua"/>
          <w:b/>
          <w:bCs/>
          <w:noProof/>
          <w:color w:val="1F497D" w:themeColor="text2"/>
        </w:rPr>
        <w:drawing>
          <wp:inline distT="0" distB="0" distL="0" distR="0">
            <wp:extent cx="4905955" cy="2091193"/>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0185" w:rsidRDefault="00110185" w:rsidP="00110185">
      <w:pPr>
        <w:spacing w:after="200" w:line="276" w:lineRule="auto"/>
        <w:rPr>
          <w:rFonts w:ascii="Book Antiqua" w:hAnsi="Book Antiqua"/>
          <w:b/>
          <w:bCs/>
          <w:color w:val="1F497D" w:themeColor="text2"/>
        </w:rPr>
      </w:pPr>
      <w:r>
        <w:rPr>
          <w:rFonts w:ascii="Book Antiqua" w:hAnsi="Book Antiqua"/>
          <w:b/>
          <w:bCs/>
          <w:color w:val="1F497D" w:themeColor="text2"/>
        </w:rPr>
        <w:br w:type="page"/>
      </w:r>
    </w:p>
    <w:p w:rsidR="00110185" w:rsidRPr="00922E75" w:rsidRDefault="00110185" w:rsidP="00CC69CE">
      <w:pPr>
        <w:autoSpaceDE w:val="0"/>
        <w:autoSpaceDN w:val="0"/>
        <w:adjustRightInd w:val="0"/>
        <w:spacing w:before="240" w:line="312" w:lineRule="auto"/>
        <w:jc w:val="both"/>
        <w:rPr>
          <w:rFonts w:ascii="Book Antiqua" w:hAnsi="Book Antiqua"/>
          <w:b/>
          <w:bCs/>
          <w:color w:val="1F497D" w:themeColor="text2"/>
        </w:rPr>
      </w:pPr>
      <w:r w:rsidRPr="001A79C8">
        <w:rPr>
          <w:rFonts w:ascii="Book Antiqua" w:hAnsi="Book Antiqua"/>
          <w:b/>
          <w:bCs/>
          <w:color w:val="1F497D" w:themeColor="text2"/>
        </w:rPr>
        <w:lastRenderedPageBreak/>
        <w:t>Mode d’insertion dans le marché du travail</w:t>
      </w:r>
    </w:p>
    <w:p w:rsidR="0011018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 xml:space="preserve">Près de 11% des actifs occupés exercent un emploi non rémunéré, </w:t>
      </w:r>
      <w:r>
        <w:rPr>
          <w:rFonts w:ascii="Book Antiqua" w:hAnsi="Book Antiqua"/>
        </w:rPr>
        <w:t>avec une proportion plus élevée chez les ruraux (</w:t>
      </w:r>
      <w:r w:rsidRPr="00922E75">
        <w:rPr>
          <w:rFonts w:ascii="Book Antiqua" w:hAnsi="Book Antiqua"/>
        </w:rPr>
        <w:t xml:space="preserve">24,6%) </w:t>
      </w:r>
      <w:r>
        <w:rPr>
          <w:rFonts w:ascii="Book Antiqua" w:hAnsi="Book Antiqua"/>
        </w:rPr>
        <w:t>que chez les</w:t>
      </w:r>
      <w:r w:rsidRPr="00922E75">
        <w:rPr>
          <w:rFonts w:ascii="Book Antiqua" w:hAnsi="Book Antiqua"/>
        </w:rPr>
        <w:t xml:space="preserve"> citadins (2,2%)</w:t>
      </w:r>
      <w:r>
        <w:rPr>
          <w:rFonts w:ascii="Book Antiqua" w:hAnsi="Book Antiqua"/>
        </w:rPr>
        <w:t>,</w:t>
      </w:r>
      <w:r w:rsidRPr="00922E75">
        <w:rPr>
          <w:rFonts w:ascii="Book Antiqua" w:hAnsi="Book Antiqua"/>
        </w:rPr>
        <w:t xml:space="preserve"> et </w:t>
      </w:r>
      <w:r>
        <w:rPr>
          <w:rFonts w:ascii="Book Antiqua" w:hAnsi="Book Antiqua"/>
        </w:rPr>
        <w:t xml:space="preserve">chez </w:t>
      </w:r>
      <w:r w:rsidRPr="00922E75">
        <w:rPr>
          <w:rFonts w:ascii="Book Antiqua" w:hAnsi="Book Antiqua"/>
        </w:rPr>
        <w:t xml:space="preserve">les femmes (28,5%) que </w:t>
      </w:r>
      <w:r>
        <w:rPr>
          <w:rFonts w:ascii="Book Antiqua" w:hAnsi="Book Antiqua"/>
        </w:rPr>
        <w:t xml:space="preserve">chez </w:t>
      </w:r>
      <w:r w:rsidRPr="00922E75">
        <w:rPr>
          <w:rFonts w:ascii="Book Antiqua" w:hAnsi="Book Antiqua"/>
        </w:rPr>
        <w:t xml:space="preserve">les hommes (6,4%). Les jeunes de moins de 25 ans sont </w:t>
      </w:r>
      <w:r>
        <w:rPr>
          <w:rFonts w:ascii="Book Antiqua" w:hAnsi="Book Antiqua"/>
        </w:rPr>
        <w:t xml:space="preserve">particulièrement </w:t>
      </w:r>
      <w:r w:rsidRPr="00922E75">
        <w:rPr>
          <w:rFonts w:ascii="Book Antiqua" w:hAnsi="Book Antiqua"/>
        </w:rPr>
        <w:t xml:space="preserve">plus touchés par le travail non rémunéré avec une part de 33,5% contre 7,5% pour les adultes âgés de 45 ans et plus. </w:t>
      </w:r>
    </w:p>
    <w:p w:rsidR="0011018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Les</w:t>
      </w:r>
      <w:r>
        <w:rPr>
          <w:rFonts w:ascii="Book Antiqua" w:hAnsi="Book Antiqua"/>
        </w:rPr>
        <w:t xml:space="preserve"> personnes n’ayant aucun diplôme</w:t>
      </w:r>
      <w:r w:rsidRPr="00922E75">
        <w:rPr>
          <w:rFonts w:ascii="Book Antiqua" w:hAnsi="Book Antiqua"/>
        </w:rPr>
        <w:t xml:space="preserve"> sont également plus touchées par l’emploi non rémunéré avec une part de 14,7% contre 7,4% pour les détenteurs d'un diplôme. </w:t>
      </w:r>
    </w:p>
    <w:p w:rsidR="00110185" w:rsidRPr="00922E75" w:rsidRDefault="00110185" w:rsidP="00110185">
      <w:pPr>
        <w:autoSpaceDE w:val="0"/>
        <w:autoSpaceDN w:val="0"/>
        <w:adjustRightInd w:val="0"/>
        <w:jc w:val="both"/>
        <w:rPr>
          <w:rFonts w:ascii="Book Antiqua" w:hAnsi="Book Antiqua" w:cs="Arial"/>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 xml:space="preserve">Près d'un actif occupé sur 10 (10,2%) exerce un emploi de type occasionnel ou saisonnier, 15,5% en milieu rural et 6,8% en milieu urbain. </w:t>
      </w:r>
    </w:p>
    <w:p w:rsidR="00110185" w:rsidRPr="00922E75" w:rsidRDefault="00110185" w:rsidP="00110185">
      <w:pPr>
        <w:autoSpaceDE w:val="0"/>
        <w:autoSpaceDN w:val="0"/>
        <w:adjustRightInd w:val="0"/>
        <w:jc w:val="both"/>
        <w:rPr>
          <w:rFonts w:ascii="Book Antiqua" w:hAnsi="Book Antiqua"/>
        </w:rPr>
      </w:pPr>
    </w:p>
    <w:p w:rsidR="005C5CCF" w:rsidRPr="005C5CCF" w:rsidRDefault="005C5CCF" w:rsidP="00E15A2C">
      <w:pPr>
        <w:autoSpaceDE w:val="0"/>
        <w:autoSpaceDN w:val="0"/>
        <w:adjustRightInd w:val="0"/>
        <w:jc w:val="both"/>
        <w:rPr>
          <w:rFonts w:ascii="Book Antiqua" w:hAnsi="Book Antiqua"/>
          <w:b/>
          <w:bCs/>
          <w:color w:val="1F497D" w:themeColor="text2"/>
        </w:rPr>
      </w:pPr>
      <w:r w:rsidRPr="005C5CCF">
        <w:rPr>
          <w:rFonts w:ascii="Book Antiqua" w:hAnsi="Book Antiqua"/>
          <w:b/>
          <w:bCs/>
          <w:color w:val="1F497D" w:themeColor="text2"/>
        </w:rPr>
        <w:t>Durée</w:t>
      </w:r>
      <w:r w:rsidR="00E15A2C">
        <w:rPr>
          <w:rFonts w:ascii="Book Antiqua" w:hAnsi="Book Antiqua"/>
          <w:b/>
          <w:bCs/>
          <w:color w:val="1F497D" w:themeColor="text2"/>
        </w:rPr>
        <w:t xml:space="preserve"> </w:t>
      </w:r>
      <w:r w:rsidR="00E15A2C">
        <w:rPr>
          <w:rFonts w:ascii="Book Antiqua" w:hAnsi="Book Antiqua"/>
          <w:b/>
          <w:bCs/>
          <w:color w:val="1F497D" w:themeColor="text2"/>
          <w:lang w:bidi="tzm-Arab-MA"/>
        </w:rPr>
        <w:t>de</w:t>
      </w:r>
      <w:r w:rsidRPr="005C5CCF">
        <w:rPr>
          <w:rFonts w:ascii="Book Antiqua" w:hAnsi="Book Antiqua"/>
          <w:b/>
          <w:bCs/>
          <w:color w:val="1F497D" w:themeColor="text2"/>
        </w:rPr>
        <w:t xml:space="preserve"> travail et conciliation entre vie privée et vie professionnelle</w:t>
      </w:r>
    </w:p>
    <w:p w:rsidR="005C5CCF" w:rsidRDefault="005C5CCF" w:rsidP="007B6DA0">
      <w:pPr>
        <w:autoSpaceDE w:val="0"/>
        <w:autoSpaceDN w:val="0"/>
        <w:adjustRightInd w:val="0"/>
        <w:jc w:val="both"/>
        <w:rPr>
          <w:rFonts w:ascii="Book Antiqua" w:hAnsi="Book Antiqua"/>
        </w:rPr>
      </w:pPr>
    </w:p>
    <w:p w:rsidR="00110185" w:rsidRDefault="00110185" w:rsidP="007B6DA0">
      <w:pPr>
        <w:autoSpaceDE w:val="0"/>
        <w:autoSpaceDN w:val="0"/>
        <w:adjustRightInd w:val="0"/>
        <w:jc w:val="both"/>
        <w:rPr>
          <w:rFonts w:ascii="Book Antiqua" w:hAnsi="Book Antiqua"/>
        </w:rPr>
      </w:pPr>
      <w:r w:rsidRPr="00922E75">
        <w:rPr>
          <w:rFonts w:ascii="Book Antiqua" w:hAnsi="Book Antiqua"/>
        </w:rPr>
        <w:t>Environ 35,3% des actifs occupés travaillent plus de 48 heures par semaine (37,7% parmi les citadins et 31,6% parmi les ruraux). La durée excessive de travail</w:t>
      </w:r>
      <w:r w:rsidRPr="00922E75">
        <w:rPr>
          <w:rStyle w:val="Appelnotedebasdep"/>
          <w:rFonts w:ascii="Book Antiqua" w:hAnsi="Book Antiqua"/>
          <w:sz w:val="27"/>
          <w:szCs w:val="27"/>
        </w:rPr>
        <w:footnoteReference w:id="2"/>
      </w:r>
      <w:r w:rsidRPr="00922E75">
        <w:rPr>
          <w:rFonts w:ascii="Book Antiqua" w:hAnsi="Book Antiqua"/>
        </w:rPr>
        <w:t xml:space="preserve"> concerne les hommes (41%) beaucoup plus que les femmes (13,5%). </w:t>
      </w:r>
      <w:r>
        <w:rPr>
          <w:rFonts w:ascii="Book Antiqua" w:hAnsi="Book Antiqua"/>
        </w:rPr>
        <w:t>P</w:t>
      </w:r>
      <w:r w:rsidRPr="00922E75">
        <w:rPr>
          <w:rFonts w:ascii="Book Antiqua" w:hAnsi="Book Antiqua"/>
        </w:rPr>
        <w:t>ar secteur</w:t>
      </w:r>
      <w:r>
        <w:rPr>
          <w:rFonts w:ascii="Book Antiqua" w:hAnsi="Book Antiqua"/>
        </w:rPr>
        <w:t xml:space="preserve"> </w:t>
      </w:r>
      <w:r w:rsidRPr="00922E75">
        <w:rPr>
          <w:rFonts w:ascii="Book Antiqua" w:hAnsi="Book Antiqua"/>
        </w:rPr>
        <w:t>d'activité</w:t>
      </w:r>
      <w:r>
        <w:rPr>
          <w:rFonts w:ascii="Book Antiqua" w:hAnsi="Book Antiqua"/>
        </w:rPr>
        <w:t>, elle touche</w:t>
      </w:r>
      <w:r w:rsidR="007B6DA0">
        <w:rPr>
          <w:rFonts w:ascii="Book Antiqua" w:hAnsi="Book Antiqua"/>
        </w:rPr>
        <w:t xml:space="preserve"> </w:t>
      </w:r>
      <w:r w:rsidRPr="00922E75">
        <w:rPr>
          <w:rFonts w:ascii="Book Antiqua" w:hAnsi="Book Antiqua"/>
        </w:rPr>
        <w:t>40,3% des actifs occupés relevant du secteur des "services", 35,5% de ceux exerçant dans le secteur des BTP, 32,8% de l'"industrie y compris l’artisanat" et 27,6% de l’"agriculture, forêt et pêche".</w:t>
      </w:r>
    </w:p>
    <w:p w:rsidR="00110185" w:rsidRPr="00922E7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 xml:space="preserve">En outre, 6,4% des actifs occupés travaillent le jour et la nuit (8,3% en milieu urbain et 3,5% en milieu rural), 3,2% alternent le jour et la nuit et 1,1% travaillent uniquement la nuit. </w:t>
      </w:r>
    </w:p>
    <w:p w:rsidR="0011018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Par rapport à la conciliation entre vie privée e</w:t>
      </w:r>
      <w:r>
        <w:rPr>
          <w:rFonts w:ascii="Book Antiqua" w:hAnsi="Book Antiqua"/>
        </w:rPr>
        <w:t xml:space="preserve">t </w:t>
      </w:r>
      <w:r w:rsidRPr="00922E75">
        <w:rPr>
          <w:rFonts w:ascii="Book Antiqua" w:hAnsi="Book Antiqua"/>
        </w:rPr>
        <w:t>vie professionnelle, 3,5% des actifs occupés n’arrivent pas, malgré tous les efforts déployés, à concilier aisément entre leur vie privée et leur vie professionnelle, 7,4% y arrivent avec beaucoup de difficultés et 31,2% y parviennent mais avec difficultés.</w:t>
      </w:r>
    </w:p>
    <w:p w:rsidR="00110185" w:rsidRPr="00922E7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b/>
          <w:bCs/>
          <w:color w:val="1F497D" w:themeColor="text2"/>
        </w:rPr>
      </w:pPr>
      <w:r w:rsidRPr="000A35FF">
        <w:rPr>
          <w:rFonts w:ascii="Book Antiqua" w:hAnsi="Book Antiqua"/>
          <w:b/>
          <w:bCs/>
          <w:color w:val="1F497D" w:themeColor="text2"/>
        </w:rPr>
        <w:t>Mode d’organisation</w:t>
      </w:r>
      <w:r>
        <w:rPr>
          <w:rFonts w:ascii="Book Antiqua" w:hAnsi="Book Antiqua"/>
          <w:b/>
          <w:bCs/>
          <w:color w:val="1F497D" w:themeColor="text2"/>
        </w:rPr>
        <w:t xml:space="preserve"> dans le marché de travail</w:t>
      </w:r>
    </w:p>
    <w:p w:rsidR="00110185" w:rsidRPr="000A35FF" w:rsidRDefault="00110185" w:rsidP="00110185">
      <w:pPr>
        <w:autoSpaceDE w:val="0"/>
        <w:autoSpaceDN w:val="0"/>
        <w:adjustRightInd w:val="0"/>
        <w:jc w:val="both"/>
        <w:rPr>
          <w:rFonts w:ascii="Book Antiqua" w:hAnsi="Book Antiqua"/>
          <w:b/>
          <w:bCs/>
          <w:color w:val="1F497D" w:themeColor="text2"/>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 xml:space="preserve">Près de 3 actifs occupés sur 10 (29,3%) bénéficient d’une couverture médicale liée à l’emploi (41,4% dans les villes et 10,7% à la campagne). </w:t>
      </w:r>
    </w:p>
    <w:p w:rsidR="00110185" w:rsidRPr="00922E75" w:rsidRDefault="00110185" w:rsidP="00110185">
      <w:pPr>
        <w:autoSpaceDE w:val="0"/>
        <w:autoSpaceDN w:val="0"/>
        <w:adjustRightInd w:val="0"/>
        <w:jc w:val="both"/>
        <w:rPr>
          <w:rFonts w:ascii="Book Antiqua" w:hAnsi="Book Antiqua"/>
        </w:rPr>
      </w:pPr>
    </w:p>
    <w:p w:rsidR="00110185" w:rsidRDefault="00110185" w:rsidP="007B6DA0">
      <w:pPr>
        <w:autoSpaceDE w:val="0"/>
        <w:autoSpaceDN w:val="0"/>
        <w:adjustRightInd w:val="0"/>
        <w:jc w:val="both"/>
        <w:rPr>
          <w:rFonts w:ascii="Book Antiqua" w:hAnsi="Book Antiqua"/>
        </w:rPr>
      </w:pPr>
      <w:r w:rsidRPr="00922E75">
        <w:rPr>
          <w:rFonts w:ascii="Book Antiqua" w:hAnsi="Book Antiqua"/>
        </w:rPr>
        <w:t>La part des actifs occupés affiliés à un système de couverture médicale</w:t>
      </w:r>
      <w:r>
        <w:rPr>
          <w:rFonts w:ascii="Book Antiqua" w:hAnsi="Book Antiqua"/>
        </w:rPr>
        <w:t xml:space="preserve"> </w:t>
      </w:r>
      <w:r w:rsidRPr="00922E75">
        <w:rPr>
          <w:rFonts w:ascii="Book Antiqua" w:hAnsi="Book Antiqua"/>
        </w:rPr>
        <w:t>liée à l’emploi</w:t>
      </w:r>
      <w:r>
        <w:rPr>
          <w:rFonts w:ascii="Book Antiqua" w:hAnsi="Book Antiqua"/>
        </w:rPr>
        <w:t xml:space="preserve"> est fortement </w:t>
      </w:r>
      <w:r w:rsidR="007B6DA0">
        <w:rPr>
          <w:rFonts w:ascii="Book Antiqua" w:hAnsi="Book Antiqua"/>
        </w:rPr>
        <w:t>liée</w:t>
      </w:r>
      <w:r>
        <w:rPr>
          <w:rFonts w:ascii="Book Antiqua" w:hAnsi="Book Antiqua"/>
        </w:rPr>
        <w:t xml:space="preserve"> au</w:t>
      </w:r>
      <w:r w:rsidR="007B6DA0">
        <w:rPr>
          <w:rFonts w:ascii="Book Antiqua" w:hAnsi="Book Antiqua"/>
        </w:rPr>
        <w:t xml:space="preserve"> </w:t>
      </w:r>
      <w:r w:rsidRPr="00922E75">
        <w:rPr>
          <w:rFonts w:ascii="Book Antiqua" w:hAnsi="Book Antiqua"/>
        </w:rPr>
        <w:t xml:space="preserve">niveau de diplôme. Elle passe de 13,5% parmi les personnes n'ayant aucun diplôme à 74% parmi les détenteurs d’un diplôme supérieur. </w:t>
      </w:r>
    </w:p>
    <w:p w:rsidR="00110185" w:rsidRPr="00922E75" w:rsidRDefault="00110185" w:rsidP="00110185">
      <w:pPr>
        <w:autoSpaceDE w:val="0"/>
        <w:autoSpaceDN w:val="0"/>
        <w:adjustRightInd w:val="0"/>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Les actifs occupés exerçant dans l’"industrie y compris l’artisanat" enregistrent le taux de couverture médicale le plus élevé (49,2%), suivis de ceux relevant du secteur des "services" (41,2%), des BTP (13%) et de l’"agriculture, forêt et pêche" (6,8%).</w:t>
      </w:r>
    </w:p>
    <w:p w:rsidR="00110185" w:rsidRDefault="00110185" w:rsidP="00110185">
      <w:pPr>
        <w:autoSpaceDE w:val="0"/>
        <w:autoSpaceDN w:val="0"/>
        <w:adjustRightInd w:val="0"/>
        <w:jc w:val="both"/>
        <w:rPr>
          <w:rFonts w:ascii="Book Antiqua" w:hAnsi="Book Antiqua"/>
        </w:rPr>
      </w:pPr>
      <w:r w:rsidRPr="00922E75">
        <w:rPr>
          <w:rFonts w:ascii="Book Antiqua" w:hAnsi="Book Antiqua"/>
        </w:rPr>
        <w:lastRenderedPageBreak/>
        <w:t>Au niveau national, 45,7% des salariés bénéficient d’une couverture médicale assurée par l’employeur; 53,1% en milieu urbain et 25,3% en milieu rural; 60,7% parmi les femmes et 41,9% parmi les hommes.</w:t>
      </w:r>
    </w:p>
    <w:p w:rsidR="00110185" w:rsidRPr="00922E75" w:rsidRDefault="00110185" w:rsidP="00110185">
      <w:pPr>
        <w:autoSpaceDE w:val="0"/>
        <w:autoSpaceDN w:val="0"/>
        <w:adjustRightInd w:val="0"/>
        <w:jc w:val="both"/>
        <w:rPr>
          <w:rFonts w:ascii="Book Antiqua" w:hAnsi="Book Antiqua"/>
        </w:rPr>
      </w:pPr>
    </w:p>
    <w:p w:rsidR="00110185" w:rsidRDefault="00110185" w:rsidP="00110185">
      <w:pPr>
        <w:jc w:val="both"/>
        <w:rPr>
          <w:rFonts w:ascii="Book Antiqua" w:hAnsi="Book Antiqua"/>
        </w:rPr>
      </w:pPr>
      <w:r w:rsidRPr="00922E75">
        <w:rPr>
          <w:rFonts w:ascii="Book Antiqua" w:hAnsi="Book Antiqua"/>
        </w:rPr>
        <w:t xml:space="preserve">Près de 3 actifs occupés sur 10 (28,3%) sont affiliés à un système de retraite, 40,7% en milieu urbain et 9,3% en milieu rural. Le taux de couverture par un système de retraite est de 35,8% parmi les femmes et de 26,4% parmi les hommes. Ce taux </w:t>
      </w:r>
      <w:r>
        <w:rPr>
          <w:rFonts w:ascii="Book Antiqua" w:hAnsi="Book Antiqua"/>
        </w:rPr>
        <w:t>passe</w:t>
      </w:r>
      <w:r w:rsidRPr="00922E75">
        <w:rPr>
          <w:rFonts w:ascii="Book Antiqua" w:hAnsi="Book Antiqua"/>
        </w:rPr>
        <w:t xml:space="preserve"> de 12,5% </w:t>
      </w:r>
      <w:r>
        <w:rPr>
          <w:rFonts w:ascii="Book Antiqua" w:hAnsi="Book Antiqua"/>
        </w:rPr>
        <w:t xml:space="preserve">pour </w:t>
      </w:r>
      <w:r w:rsidRPr="00922E75">
        <w:rPr>
          <w:rFonts w:ascii="Book Antiqua" w:hAnsi="Book Antiqua"/>
        </w:rPr>
        <w:t xml:space="preserve">les actifs occupés n'ayant aucun diplôme à 73,2% </w:t>
      </w:r>
      <w:r>
        <w:rPr>
          <w:rFonts w:ascii="Book Antiqua" w:hAnsi="Book Antiqua"/>
        </w:rPr>
        <w:t>pour</w:t>
      </w:r>
      <w:r w:rsidRPr="00922E75">
        <w:rPr>
          <w:rFonts w:ascii="Book Antiqua" w:hAnsi="Book Antiqua"/>
        </w:rPr>
        <w:t xml:space="preserve"> les détenteurs d'un diplôme supérieur.</w:t>
      </w:r>
    </w:p>
    <w:p w:rsidR="00110185" w:rsidRDefault="00110185" w:rsidP="00110185">
      <w:pPr>
        <w:jc w:val="both"/>
        <w:rPr>
          <w:rFonts w:ascii="Book Antiqua" w:hAnsi="Book Antiqua"/>
        </w:rPr>
      </w:pPr>
    </w:p>
    <w:p w:rsidR="00110185" w:rsidRDefault="00110185" w:rsidP="00110185">
      <w:pPr>
        <w:jc w:val="both"/>
        <w:rPr>
          <w:rFonts w:ascii="Book Antiqua" w:hAnsi="Book Antiqua"/>
        </w:rPr>
      </w:pPr>
      <w:r w:rsidRPr="00922E75">
        <w:rPr>
          <w:rFonts w:ascii="Book Antiqua" w:hAnsi="Book Antiqua"/>
        </w:rPr>
        <w:t>Les taux de couverture de retraite les plus élevés sont enregistrés dans les secteurs de l’"industrie y compris l'artisanat" et des "services" avec respectivement 49% et 39,3% alors que les taux les plus bas sont relevés dans les secteurs des "B</w:t>
      </w:r>
      <w:r>
        <w:rPr>
          <w:rFonts w:ascii="Book Antiqua" w:hAnsi="Book Antiqua"/>
        </w:rPr>
        <w:t>TP" et de l’"a</w:t>
      </w:r>
      <w:r w:rsidRPr="00922E75">
        <w:rPr>
          <w:rFonts w:ascii="Book Antiqua" w:hAnsi="Book Antiqua"/>
        </w:rPr>
        <w:t>griculture, forêt et pêche" avec respectivement 12,8% et 6,8%.</w:t>
      </w:r>
    </w:p>
    <w:p w:rsidR="00110185" w:rsidRPr="00922E75" w:rsidRDefault="00110185" w:rsidP="00110185">
      <w:pPr>
        <w:jc w:val="both"/>
        <w:rPr>
          <w:rFonts w:ascii="Book Antiqua" w:hAnsi="Book Antiqua"/>
        </w:rPr>
      </w:pPr>
    </w:p>
    <w:p w:rsidR="00110185" w:rsidRDefault="00110185" w:rsidP="00110185">
      <w:pPr>
        <w:autoSpaceDE w:val="0"/>
        <w:autoSpaceDN w:val="0"/>
        <w:adjustRightInd w:val="0"/>
        <w:jc w:val="both"/>
        <w:rPr>
          <w:rFonts w:ascii="Book Antiqua" w:hAnsi="Book Antiqua"/>
        </w:rPr>
      </w:pPr>
      <w:r w:rsidRPr="00922E75">
        <w:rPr>
          <w:rFonts w:ascii="Book Antiqua" w:hAnsi="Book Antiqua"/>
        </w:rPr>
        <w:t>Plus de 4 salariés sur 10 (44,4%) sont affiliés à un système de retraite, 52,5% en milieu urbain et 21,8% en milieu rural. Cette proportion est de 60,6% parmi les femmes contre 40,2% parmi les hommes.</w:t>
      </w:r>
    </w:p>
    <w:p w:rsidR="00110185" w:rsidRPr="00922E75" w:rsidRDefault="00110185" w:rsidP="00110185">
      <w:pPr>
        <w:autoSpaceDE w:val="0"/>
        <w:autoSpaceDN w:val="0"/>
        <w:adjustRightInd w:val="0"/>
        <w:jc w:val="both"/>
        <w:rPr>
          <w:rFonts w:ascii="Book Antiqua" w:hAnsi="Book Antiqua"/>
          <w:b/>
          <w:bCs/>
          <w:color w:val="1F497D"/>
        </w:rPr>
      </w:pPr>
    </w:p>
    <w:p w:rsidR="00110185" w:rsidRDefault="00110185" w:rsidP="00110185">
      <w:pPr>
        <w:shd w:val="clear" w:color="auto" w:fill="FFFFFF"/>
        <w:jc w:val="both"/>
        <w:rPr>
          <w:rFonts w:ascii="Book Antiqua" w:hAnsi="Book Antiqua"/>
        </w:rPr>
      </w:pPr>
      <w:r w:rsidRPr="00922E75">
        <w:rPr>
          <w:rFonts w:ascii="Book Antiqua" w:hAnsi="Book Antiqua"/>
        </w:rPr>
        <w:t>Un peu plus de la moitié des salariés (51,9%) ne disposent d'aucun contrat formalisant leur relation avec l'employeur. Un peu plus du quart (26,7%) disposent d'un contrat à durée indéterminée, 14,9% d'un contrat à durée déterminée et 6,5% d’un contrat verbal.</w:t>
      </w:r>
    </w:p>
    <w:p w:rsidR="00110185" w:rsidRPr="00922E75" w:rsidRDefault="00110185" w:rsidP="00110185">
      <w:pPr>
        <w:shd w:val="clear" w:color="auto" w:fill="FFFFFF"/>
        <w:jc w:val="both"/>
        <w:rPr>
          <w:rFonts w:ascii="Book Antiqua" w:hAnsi="Book Antiqua"/>
        </w:rPr>
      </w:pPr>
    </w:p>
    <w:p w:rsidR="00110185" w:rsidRDefault="00110185" w:rsidP="00110185">
      <w:pPr>
        <w:shd w:val="clear" w:color="auto" w:fill="FFFFFF"/>
        <w:jc w:val="both"/>
        <w:rPr>
          <w:rFonts w:ascii="Book Antiqua" w:hAnsi="Book Antiqua"/>
        </w:rPr>
      </w:pPr>
      <w:r w:rsidRPr="00922E75">
        <w:rPr>
          <w:rFonts w:ascii="Book Antiqua" w:hAnsi="Book Antiqua"/>
        </w:rPr>
        <w:t xml:space="preserve">La part des salariés ne disposant d'aucun contrat s’élève à 72,5% en milieu rural contre 44,4% en milieu urbain. Elle passe de 36,2% parmi les femmes à 55,9% parmi les hommes. </w:t>
      </w:r>
    </w:p>
    <w:p w:rsidR="00110185" w:rsidRPr="00922E75" w:rsidRDefault="00110185" w:rsidP="00110185">
      <w:pPr>
        <w:shd w:val="clear" w:color="auto" w:fill="FFFFFF"/>
        <w:jc w:val="both"/>
        <w:rPr>
          <w:rFonts w:ascii="Book Antiqua" w:hAnsi="Book Antiqua"/>
        </w:rPr>
      </w:pPr>
    </w:p>
    <w:p w:rsidR="00110185" w:rsidRPr="00922E75" w:rsidRDefault="00110185" w:rsidP="00110185">
      <w:pPr>
        <w:jc w:val="both"/>
        <w:rPr>
          <w:rFonts w:ascii="Book Antiqua" w:hAnsi="Book Antiqua"/>
        </w:rPr>
      </w:pPr>
      <w:r w:rsidRPr="00922E75">
        <w:rPr>
          <w:rFonts w:ascii="Book Antiqua" w:hAnsi="Book Antiqua"/>
        </w:rPr>
        <w:t xml:space="preserve">Les jeunes âgés de 15 à 24 ans et les personnes n'ayant aucun diplôme sont les plus touchés par le travail sans contrat avec respectivement des taux de 69,6% </w:t>
      </w:r>
      <w:r>
        <w:rPr>
          <w:rFonts w:ascii="Book Antiqua" w:hAnsi="Book Antiqua"/>
        </w:rPr>
        <w:t xml:space="preserve">et </w:t>
      </w:r>
      <w:r w:rsidRPr="00922E75">
        <w:rPr>
          <w:rFonts w:ascii="Book Antiqua" w:hAnsi="Book Antiqua"/>
        </w:rPr>
        <w:t xml:space="preserve">71,5%. </w:t>
      </w:r>
    </w:p>
    <w:p w:rsidR="00110185" w:rsidRDefault="00110185" w:rsidP="00110185">
      <w:pPr>
        <w:spacing w:after="200" w:line="276" w:lineRule="auto"/>
        <w:rPr>
          <w:rFonts w:ascii="Book Antiqua" w:hAnsi="Book Antiqua"/>
          <w:b/>
          <w:bCs/>
          <w:color w:val="1F497D" w:themeColor="text2"/>
          <w:sz w:val="22"/>
          <w:szCs w:val="22"/>
        </w:rPr>
      </w:pPr>
    </w:p>
    <w:p w:rsidR="00110185" w:rsidRPr="00922E75" w:rsidRDefault="00110185" w:rsidP="00110185">
      <w:pPr>
        <w:spacing w:before="240" w:line="276" w:lineRule="auto"/>
        <w:jc w:val="center"/>
        <w:rPr>
          <w:rFonts w:ascii="Book Antiqua" w:hAnsi="Book Antiqua"/>
          <w:b/>
          <w:bCs/>
          <w:color w:val="1F497D" w:themeColor="text2"/>
          <w:sz w:val="22"/>
          <w:szCs w:val="22"/>
        </w:rPr>
      </w:pPr>
      <w:r w:rsidRPr="00922E75">
        <w:rPr>
          <w:rFonts w:ascii="Book Antiqua" w:hAnsi="Book Antiqua"/>
          <w:b/>
          <w:bCs/>
          <w:color w:val="1F497D" w:themeColor="text2"/>
          <w:sz w:val="22"/>
          <w:szCs w:val="22"/>
        </w:rPr>
        <w:t>Graphique 5 : Répartition des actifs occupés salariés de 15 ans et plus selon le diplôme et le type de contrat de travail</w:t>
      </w:r>
    </w:p>
    <w:p w:rsidR="00110185" w:rsidRPr="00922E75" w:rsidRDefault="00110185" w:rsidP="00110185">
      <w:pPr>
        <w:spacing w:line="276" w:lineRule="auto"/>
        <w:rPr>
          <w:rFonts w:ascii="Book Antiqua" w:hAnsi="Book Antiqua"/>
          <w:b/>
          <w:bCs/>
          <w:color w:val="1F497D" w:themeColor="text2"/>
          <w:sz w:val="22"/>
          <w:szCs w:val="22"/>
        </w:rPr>
      </w:pPr>
      <w:r w:rsidRPr="00922E75">
        <w:rPr>
          <w:rFonts w:ascii="Book Antiqua" w:hAnsi="Book Antiqua"/>
          <w:b/>
          <w:bCs/>
          <w:noProof/>
          <w:color w:val="1F497D" w:themeColor="text2"/>
          <w:sz w:val="22"/>
          <w:szCs w:val="22"/>
        </w:rPr>
        <w:drawing>
          <wp:inline distT="0" distB="0" distL="0" distR="0">
            <wp:extent cx="5972810" cy="2216150"/>
            <wp:effectExtent l="0" t="0" r="0"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0185" w:rsidRPr="00922E75" w:rsidRDefault="00110185" w:rsidP="00110185">
      <w:pPr>
        <w:shd w:val="clear" w:color="auto" w:fill="FFFFFF"/>
        <w:spacing w:before="240" w:line="312" w:lineRule="auto"/>
        <w:jc w:val="both"/>
        <w:rPr>
          <w:rFonts w:ascii="Book Antiqua" w:hAnsi="Book Antiqua"/>
          <w:b/>
          <w:bCs/>
          <w:color w:val="1F497D"/>
        </w:rPr>
      </w:pPr>
      <w:r>
        <w:rPr>
          <w:rFonts w:ascii="Book Antiqua" w:hAnsi="Book Antiqua"/>
          <w:b/>
          <w:bCs/>
          <w:color w:val="1F497D"/>
        </w:rPr>
        <w:lastRenderedPageBreak/>
        <w:t>A</w:t>
      </w:r>
      <w:r w:rsidRPr="00922E75">
        <w:rPr>
          <w:rFonts w:ascii="Book Antiqua" w:hAnsi="Book Antiqua"/>
          <w:b/>
          <w:bCs/>
          <w:color w:val="1F497D"/>
        </w:rPr>
        <w:t>ffiliation syndicale ou professionnelle</w:t>
      </w:r>
    </w:p>
    <w:p w:rsidR="00110185" w:rsidRDefault="00110185" w:rsidP="00110185">
      <w:pPr>
        <w:shd w:val="clear" w:color="auto" w:fill="FFFFFF"/>
        <w:jc w:val="both"/>
        <w:rPr>
          <w:rFonts w:ascii="Book Antiqua" w:hAnsi="Book Antiqua"/>
        </w:rPr>
      </w:pPr>
      <w:r w:rsidRPr="00922E75">
        <w:rPr>
          <w:rFonts w:ascii="Book Antiqua" w:hAnsi="Book Antiqua"/>
        </w:rPr>
        <w:t xml:space="preserve">La majorité des actifs occupés (97,3%) ne sont affiliés à aucune organisation syndicale ou professionnelle, 96,1% en milieu urbain et 99,3% en milieu rural; 97,5% parmi les hommes et 96,9% parmi les femmes.  </w:t>
      </w:r>
    </w:p>
    <w:p w:rsidR="00110185" w:rsidRPr="00922E75" w:rsidRDefault="00110185" w:rsidP="00110185">
      <w:pPr>
        <w:shd w:val="clear" w:color="auto" w:fill="FFFFFF"/>
        <w:jc w:val="both"/>
        <w:rPr>
          <w:rFonts w:ascii="Book Antiqua" w:hAnsi="Book Antiqua"/>
        </w:rPr>
      </w:pPr>
    </w:p>
    <w:p w:rsidR="00110185" w:rsidRPr="00922E75" w:rsidRDefault="00110185" w:rsidP="00110185">
      <w:pPr>
        <w:shd w:val="clear" w:color="auto" w:fill="FFFFFF"/>
        <w:jc w:val="both"/>
        <w:rPr>
          <w:rFonts w:ascii="Book Antiqua" w:hAnsi="Book Antiqua"/>
          <w:b/>
          <w:bCs/>
          <w:color w:val="1F497D"/>
        </w:rPr>
      </w:pPr>
      <w:r w:rsidRPr="00922E75">
        <w:rPr>
          <w:rFonts w:ascii="Book Antiqua" w:hAnsi="Book Antiqua"/>
        </w:rPr>
        <w:t>Parmi l'ensemble des salariés, 96,1% ne sont affiliés à aucune organisation syndicale ou professionnelle, 95,2%  en milieu urbain et 98,6% en milieu rural.</w:t>
      </w:r>
    </w:p>
    <w:p w:rsidR="00110185" w:rsidRPr="00922E75" w:rsidRDefault="00110185" w:rsidP="00110185">
      <w:pPr>
        <w:shd w:val="clear" w:color="auto" w:fill="FFFFFF"/>
        <w:jc w:val="both"/>
        <w:rPr>
          <w:rFonts w:ascii="Book Antiqua" w:hAnsi="Book Antiqua"/>
        </w:rPr>
      </w:pPr>
    </w:p>
    <w:p w:rsidR="00110185" w:rsidRDefault="00110185" w:rsidP="00110185">
      <w:pPr>
        <w:spacing w:after="200" w:line="276" w:lineRule="auto"/>
        <w:rPr>
          <w:rFonts w:ascii="Book Antiqua" w:hAnsi="Book Antiqua"/>
          <w:b/>
          <w:bCs/>
          <w:color w:val="1F497D"/>
        </w:rPr>
      </w:pPr>
      <w:r w:rsidRPr="00922E75">
        <w:rPr>
          <w:rFonts w:ascii="Book Antiqua" w:hAnsi="Book Antiqua"/>
          <w:b/>
          <w:bCs/>
          <w:color w:val="1F497D"/>
        </w:rPr>
        <w:t>Principales caractéristiques du sous-emploi</w:t>
      </w:r>
    </w:p>
    <w:p w:rsidR="00110185" w:rsidRPr="00922E75" w:rsidRDefault="00110185" w:rsidP="00110185">
      <w:pPr>
        <w:jc w:val="both"/>
        <w:rPr>
          <w:rFonts w:ascii="Book Antiqua" w:hAnsi="Book Antiqua"/>
          <w:color w:val="000000" w:themeColor="text1"/>
        </w:rPr>
      </w:pPr>
      <w:r w:rsidRPr="00922E75">
        <w:rPr>
          <w:rFonts w:ascii="Book Antiqua" w:hAnsi="Book Antiqua"/>
          <w:color w:val="000000" w:themeColor="text1"/>
        </w:rPr>
        <w:t xml:space="preserve">Le volume des actifs occupés en situation de sous-emploi a augmenté au niveau national, entre 2022 et 2023, passant de 972.000 à 1.043.000 personnes, de 520.000 à 560.000 personnes dans les villes et de 452.000 à 483.000 à la campagne. </w:t>
      </w:r>
    </w:p>
    <w:p w:rsidR="0011018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En 2023, 53,7% des sous-employés résident en milieu urbain, 76,7% sont âgés de moins de 45 ans et 49,7% n'ont aucun diplôme, 35,3% ont de diplôme de niveau  moyen et 15% de niveau supérieur.</w:t>
      </w:r>
    </w:p>
    <w:p w:rsidR="00110185" w:rsidRPr="00922E75" w:rsidRDefault="00110185" w:rsidP="00110185">
      <w:pPr>
        <w:jc w:val="both"/>
        <w:rPr>
          <w:rFonts w:ascii="Book Antiqua" w:hAnsi="Book Antiqua"/>
          <w:color w:val="000000" w:themeColor="text1"/>
        </w:rPr>
      </w:pPr>
    </w:p>
    <w:p w:rsidR="00110185" w:rsidRDefault="00CC69CE" w:rsidP="00CC69CE">
      <w:pPr>
        <w:jc w:val="both"/>
        <w:rPr>
          <w:rFonts w:ascii="Book Antiqua" w:hAnsi="Book Antiqua"/>
          <w:color w:val="000000" w:themeColor="text1"/>
        </w:rPr>
      </w:pPr>
      <w:r w:rsidRPr="001A79C8">
        <w:rPr>
          <w:rFonts w:ascii="Book Antiqua" w:hAnsi="Book Antiqua"/>
          <w:color w:val="000000" w:themeColor="text1"/>
        </w:rPr>
        <w:t xml:space="preserve">Le taux de sous-emploi est </w:t>
      </w:r>
      <w:r w:rsidR="00110185" w:rsidRPr="001A79C8">
        <w:rPr>
          <w:rFonts w:ascii="Book Antiqua" w:hAnsi="Book Antiqua"/>
          <w:color w:val="000000" w:themeColor="text1"/>
        </w:rPr>
        <w:t>passé</w:t>
      </w:r>
      <w:r w:rsidRPr="001A79C8">
        <w:rPr>
          <w:rFonts w:ascii="Book Antiqua" w:hAnsi="Book Antiqua"/>
          <w:color w:val="000000" w:themeColor="text1"/>
        </w:rPr>
        <w:t>, entre 2022 et 2023,</w:t>
      </w:r>
      <w:r w:rsidR="00110185" w:rsidRPr="001A79C8">
        <w:rPr>
          <w:rFonts w:ascii="Book Antiqua" w:hAnsi="Book Antiqua"/>
          <w:color w:val="000000" w:themeColor="text1"/>
        </w:rPr>
        <w:t xml:space="preserve"> de 9% à 9,8% au niveau national,</w:t>
      </w:r>
      <w:r w:rsidR="00110185" w:rsidRPr="00922E75">
        <w:rPr>
          <w:rFonts w:ascii="Book Antiqua" w:hAnsi="Book Antiqua"/>
          <w:color w:val="000000" w:themeColor="text1"/>
        </w:rPr>
        <w:t xml:space="preserve"> de 8,1% à 8,7% en milieu urbain et de 10,4% à 11,6% en milieu rural.</w:t>
      </w:r>
    </w:p>
    <w:p w:rsidR="00110185" w:rsidRPr="00922E7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Les c</w:t>
      </w:r>
      <w:r>
        <w:rPr>
          <w:rFonts w:ascii="Book Antiqua" w:hAnsi="Book Antiqua"/>
          <w:color w:val="000000" w:themeColor="text1"/>
        </w:rPr>
        <w:t>atégories ayant connu les hausses</w:t>
      </w:r>
      <w:r w:rsidRPr="00922E75">
        <w:rPr>
          <w:rFonts w:ascii="Book Antiqua" w:hAnsi="Book Antiqua"/>
          <w:color w:val="000000" w:themeColor="text1"/>
        </w:rPr>
        <w:t xml:space="preserve"> les plus importantes du taux de sous-emploi sont les personnes âgées de 25 à 34 ans (+1,6 point) et celles de 35 à 44 ans (+1 point), celles n'ayant aucun diplôme (</w:t>
      </w:r>
      <w:r>
        <w:rPr>
          <w:rFonts w:ascii="Book Antiqua" w:hAnsi="Book Antiqua"/>
          <w:color w:val="000000" w:themeColor="text1"/>
        </w:rPr>
        <w:t>+</w:t>
      </w:r>
      <w:r w:rsidRPr="00922E75">
        <w:rPr>
          <w:rFonts w:ascii="Book Antiqua" w:hAnsi="Book Antiqua"/>
          <w:color w:val="000000" w:themeColor="text1"/>
        </w:rPr>
        <w:t>1,1 point), les hommes (+0,9 point) et les ruraux (</w:t>
      </w:r>
      <w:r>
        <w:rPr>
          <w:rFonts w:ascii="Book Antiqua" w:hAnsi="Book Antiqua"/>
          <w:color w:val="000000" w:themeColor="text1"/>
        </w:rPr>
        <w:t>+</w:t>
      </w:r>
      <w:r w:rsidRPr="00922E75">
        <w:rPr>
          <w:rFonts w:ascii="Book Antiqua" w:hAnsi="Book Antiqua"/>
          <w:color w:val="000000" w:themeColor="text1"/>
        </w:rPr>
        <w:t>1,2 point).</w:t>
      </w:r>
    </w:p>
    <w:p w:rsidR="00110185" w:rsidRDefault="00110185" w:rsidP="00110185">
      <w:pPr>
        <w:jc w:val="center"/>
        <w:rPr>
          <w:rFonts w:ascii="Book Antiqua" w:hAnsi="Book Antiqua"/>
          <w:b/>
          <w:bCs/>
          <w:color w:val="4F81BD" w:themeColor="accent1"/>
          <w:sz w:val="22"/>
          <w:szCs w:val="22"/>
        </w:rPr>
      </w:pPr>
    </w:p>
    <w:p w:rsidR="00110185" w:rsidRDefault="00110185" w:rsidP="00110185">
      <w:pPr>
        <w:jc w:val="center"/>
        <w:rPr>
          <w:rFonts w:ascii="Book Antiqua" w:hAnsi="Book Antiqua"/>
          <w:b/>
          <w:bCs/>
          <w:color w:val="4F81BD" w:themeColor="accent1"/>
          <w:sz w:val="22"/>
          <w:szCs w:val="22"/>
        </w:rPr>
      </w:pPr>
      <w:r w:rsidRPr="00C466D0">
        <w:rPr>
          <w:rFonts w:ascii="Book Antiqua" w:hAnsi="Book Antiqua"/>
          <w:b/>
          <w:bCs/>
          <w:color w:val="4F81BD" w:themeColor="accent1"/>
          <w:sz w:val="22"/>
          <w:szCs w:val="22"/>
        </w:rPr>
        <w:t>Graphique 6 : Évolution du taux de sous-emploi parmi certaines catégories de la population active occupée entre 2022 et 2023 (%)</w:t>
      </w:r>
    </w:p>
    <w:p w:rsidR="00110185" w:rsidRDefault="00110185" w:rsidP="00110185">
      <w:pPr>
        <w:jc w:val="center"/>
        <w:rPr>
          <w:rFonts w:ascii="Book Antiqua" w:hAnsi="Book Antiqua"/>
          <w:b/>
          <w:bCs/>
          <w:color w:val="4F81BD" w:themeColor="accent1"/>
          <w:sz w:val="22"/>
          <w:szCs w:val="22"/>
        </w:rPr>
      </w:pPr>
    </w:p>
    <w:p w:rsidR="00110185" w:rsidRPr="00C466D0" w:rsidRDefault="00110185" w:rsidP="00110185">
      <w:pPr>
        <w:jc w:val="center"/>
        <w:rPr>
          <w:rFonts w:ascii="Book Antiqua" w:hAnsi="Book Antiqua"/>
          <w:b/>
          <w:bCs/>
          <w:color w:val="4F81BD" w:themeColor="accent1"/>
          <w:sz w:val="22"/>
          <w:szCs w:val="22"/>
        </w:rPr>
      </w:pPr>
      <w:r w:rsidRPr="00110185">
        <w:rPr>
          <w:rFonts w:ascii="Book Antiqua" w:hAnsi="Book Antiqua"/>
          <w:b/>
          <w:bCs/>
          <w:noProof/>
          <w:color w:val="4F81BD" w:themeColor="accent1"/>
          <w:sz w:val="22"/>
          <w:szCs w:val="22"/>
        </w:rPr>
        <w:drawing>
          <wp:inline distT="0" distB="0" distL="0" distR="0">
            <wp:extent cx="5276850" cy="2352675"/>
            <wp:effectExtent l="0" t="0" r="0" b="0"/>
            <wp:docPr id="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0185" w:rsidRPr="00922E75" w:rsidRDefault="00110185" w:rsidP="00110185">
      <w:pPr>
        <w:autoSpaceDE w:val="0"/>
        <w:autoSpaceDN w:val="0"/>
        <w:adjustRightInd w:val="0"/>
        <w:jc w:val="center"/>
        <w:rPr>
          <w:rFonts w:ascii="Book Antiqua" w:hAnsi="Book Antiqua"/>
          <w:color w:val="000000" w:themeColor="text1"/>
        </w:rPr>
      </w:pPr>
    </w:p>
    <w:p w:rsidR="00110185" w:rsidRPr="00922E75" w:rsidRDefault="00110185" w:rsidP="00110185">
      <w:pPr>
        <w:jc w:val="both"/>
        <w:rPr>
          <w:rFonts w:ascii="Book Antiqua" w:hAnsi="Book Antiqua"/>
          <w:color w:val="000000" w:themeColor="text1"/>
        </w:rPr>
      </w:pPr>
      <w:r w:rsidRPr="00922E75">
        <w:rPr>
          <w:rFonts w:ascii="Book Antiqua" w:hAnsi="Book Antiqua"/>
          <w:color w:val="000000" w:themeColor="text1"/>
        </w:rPr>
        <w:t>Les secteurs ayant connu une forte hausse du sous-emploi sont les BTP avec +2,8 points (de 16,4% à 19,2%), l’</w:t>
      </w:r>
      <w:r w:rsidRPr="00922E75">
        <w:rPr>
          <w:rFonts w:ascii="Book Antiqua" w:hAnsi="Book Antiqua"/>
        </w:rPr>
        <w:t>"</w:t>
      </w:r>
      <w:r w:rsidRPr="00922E75">
        <w:rPr>
          <w:rFonts w:ascii="Book Antiqua" w:hAnsi="Book Antiqua"/>
          <w:color w:val="000000" w:themeColor="text1"/>
        </w:rPr>
        <w:t>agriculture, forêt et pêche</w:t>
      </w:r>
      <w:r w:rsidRPr="00922E75">
        <w:rPr>
          <w:rFonts w:ascii="Book Antiqua" w:hAnsi="Book Antiqua"/>
        </w:rPr>
        <w:t>"</w:t>
      </w:r>
      <w:r w:rsidRPr="00922E75">
        <w:rPr>
          <w:rFonts w:ascii="Book Antiqua" w:hAnsi="Book Antiqua"/>
          <w:color w:val="000000" w:themeColor="text1"/>
        </w:rPr>
        <w:t xml:space="preserve"> avec 0,8 point (de 10,4% à 11,2%), les </w:t>
      </w:r>
      <w:r w:rsidRPr="00922E75">
        <w:rPr>
          <w:rFonts w:ascii="Book Antiqua" w:hAnsi="Book Antiqua"/>
        </w:rPr>
        <w:t>"</w:t>
      </w:r>
      <w:r w:rsidRPr="00922E75">
        <w:rPr>
          <w:rFonts w:ascii="Book Antiqua" w:hAnsi="Book Antiqua"/>
          <w:color w:val="000000" w:themeColor="text1"/>
        </w:rPr>
        <w:t>services</w:t>
      </w:r>
      <w:r w:rsidRPr="00922E75">
        <w:rPr>
          <w:rFonts w:ascii="Book Antiqua" w:hAnsi="Book Antiqua"/>
        </w:rPr>
        <w:t>"</w:t>
      </w:r>
      <w:r>
        <w:rPr>
          <w:rFonts w:ascii="Book Antiqua" w:hAnsi="Book Antiqua"/>
        </w:rPr>
        <w:t xml:space="preserve"> </w:t>
      </w:r>
      <w:r w:rsidRPr="00922E75">
        <w:rPr>
          <w:rFonts w:ascii="Book Antiqua" w:hAnsi="Book Antiqua"/>
          <w:color w:val="000000" w:themeColor="text1"/>
        </w:rPr>
        <w:t>avec  0,5 point (de 7,2% à 7,7%) et l’</w:t>
      </w:r>
      <w:r w:rsidRPr="00922E75">
        <w:rPr>
          <w:rFonts w:ascii="Book Antiqua" w:hAnsi="Book Antiqua"/>
        </w:rPr>
        <w:t>"</w:t>
      </w:r>
      <w:r w:rsidRPr="00922E75">
        <w:rPr>
          <w:rFonts w:ascii="Book Antiqua" w:hAnsi="Book Antiqua"/>
          <w:color w:val="000000" w:themeColor="text1"/>
        </w:rPr>
        <w:t>industrie y compris artisanat</w:t>
      </w:r>
      <w:r w:rsidRPr="00922E75">
        <w:rPr>
          <w:rFonts w:ascii="Book Antiqua" w:hAnsi="Book Antiqua"/>
        </w:rPr>
        <w:t>"</w:t>
      </w:r>
      <w:r w:rsidRPr="00922E75">
        <w:rPr>
          <w:rFonts w:ascii="Book Antiqua" w:hAnsi="Book Antiqua"/>
          <w:color w:val="000000" w:themeColor="text1"/>
        </w:rPr>
        <w:t xml:space="preserve"> avec +0,2 point (de 6,2% à 6,4%).</w:t>
      </w:r>
    </w:p>
    <w:p w:rsidR="00110185" w:rsidRPr="00C466D0" w:rsidRDefault="00110185" w:rsidP="00110185">
      <w:pPr>
        <w:spacing w:after="200" w:line="276" w:lineRule="auto"/>
        <w:rPr>
          <w:rFonts w:ascii="Book Antiqua" w:hAnsi="Book Antiqua"/>
          <w:b/>
          <w:bCs/>
          <w:color w:val="4F81BD" w:themeColor="accent1"/>
          <w:sz w:val="22"/>
          <w:szCs w:val="22"/>
        </w:rPr>
      </w:pPr>
      <w:r w:rsidRPr="00C466D0">
        <w:rPr>
          <w:rFonts w:ascii="Book Antiqua" w:hAnsi="Book Antiqua"/>
          <w:b/>
          <w:bCs/>
          <w:color w:val="4F81BD" w:themeColor="accent1"/>
          <w:sz w:val="22"/>
          <w:szCs w:val="22"/>
        </w:rPr>
        <w:lastRenderedPageBreak/>
        <w:t>Graphique 7 : Évolution du taux de sous-emploi selon les secteurs d’activité économique entre 2022 et 2023 (%)</w:t>
      </w:r>
    </w:p>
    <w:p w:rsidR="00110185" w:rsidRDefault="00110185" w:rsidP="00110185">
      <w:pPr>
        <w:jc w:val="center"/>
        <w:rPr>
          <w:rFonts w:ascii="Book Antiqua" w:hAnsi="Book Antiqua"/>
          <w:color w:val="000000" w:themeColor="text1"/>
        </w:rPr>
      </w:pPr>
      <w:r w:rsidRPr="00642D0E">
        <w:rPr>
          <w:rFonts w:ascii="Book Antiqua" w:hAnsi="Book Antiqua"/>
          <w:noProof/>
          <w:color w:val="000000" w:themeColor="text1"/>
        </w:rPr>
        <w:drawing>
          <wp:inline distT="0" distB="0" distL="0" distR="0">
            <wp:extent cx="4715124" cy="2393343"/>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018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Selon le type de sous-emploi, la part du sous-emploi lié à la durée de travail</w:t>
      </w:r>
      <w:r w:rsidRPr="00C16CF2">
        <w:rPr>
          <w:rFonts w:ascii="Book Antiqua" w:hAnsi="Book Antiqua"/>
          <w:color w:val="000000" w:themeColor="text1"/>
          <w:sz w:val="28"/>
          <w:szCs w:val="28"/>
          <w:vertAlign w:val="superscript"/>
        </w:rPr>
        <w:footnoteReference w:id="3"/>
      </w:r>
      <w:r w:rsidRPr="00922E75">
        <w:rPr>
          <w:rFonts w:ascii="Book Antiqua" w:hAnsi="Book Antiqua"/>
          <w:color w:val="000000" w:themeColor="text1"/>
        </w:rPr>
        <w:t xml:space="preserve"> a connu, entre 2022 et 2023, une augmentation, p</w:t>
      </w:r>
      <w:r>
        <w:rPr>
          <w:rFonts w:ascii="Book Antiqua" w:hAnsi="Book Antiqua"/>
          <w:color w:val="000000" w:themeColor="text1"/>
        </w:rPr>
        <w:t xml:space="preserve">assant de 44,9% à 49,1%. </w:t>
      </w:r>
      <w:r w:rsidRPr="00922E75">
        <w:rPr>
          <w:rFonts w:ascii="Book Antiqua" w:hAnsi="Book Antiqua"/>
          <w:color w:val="000000" w:themeColor="text1"/>
        </w:rPr>
        <w:t>A l’inverse, le sous-emploi lié à l’insuffisance du revenu ou à l’inadéquation entre la formation et l’emploi exercé a reculé au cours de la même période, de 55,1% à 50,9%.</w:t>
      </w:r>
    </w:p>
    <w:p w:rsidR="00110185" w:rsidRPr="00922E75" w:rsidRDefault="00110185" w:rsidP="00110185">
      <w:pPr>
        <w:jc w:val="both"/>
        <w:rPr>
          <w:rFonts w:ascii="Book Antiqua" w:hAnsi="Book Antiqua"/>
          <w:color w:val="000000" w:themeColor="text1"/>
        </w:rPr>
      </w:pPr>
    </w:p>
    <w:p w:rsidR="00110185" w:rsidRDefault="00110185" w:rsidP="00110185">
      <w:pPr>
        <w:autoSpaceDE w:val="0"/>
        <w:autoSpaceDN w:val="0"/>
        <w:adjustRightInd w:val="0"/>
        <w:jc w:val="both"/>
        <w:rPr>
          <w:rFonts w:ascii="Book Antiqua" w:hAnsi="Book Antiqua"/>
          <w:color w:val="000000" w:themeColor="text1"/>
        </w:rPr>
      </w:pPr>
      <w:r w:rsidRPr="00922E75">
        <w:rPr>
          <w:rFonts w:ascii="Book Antiqua" w:hAnsi="Book Antiqua"/>
          <w:color w:val="000000" w:themeColor="text1"/>
        </w:rPr>
        <w:t>Dans ce contexte, la population active occupée en situation de sous-emploi lié à la durée de travail, a atteint, en 2023, 512.000 personnes au niveau national contre 437.000 une année auparavant. Le taux correspondant a augmenté de 4,1% à 4,8% au  niveau national, de 3,3% à 4% en milieu urbain et de 5,1% à 6,2% en milieu rural.</w:t>
      </w:r>
    </w:p>
    <w:p w:rsidR="00110185" w:rsidRPr="00922E75" w:rsidRDefault="00110185" w:rsidP="00110185">
      <w:pPr>
        <w:autoSpaceDE w:val="0"/>
        <w:autoSpaceDN w:val="0"/>
        <w:adjustRightInd w:val="0"/>
        <w:jc w:val="both"/>
        <w:rPr>
          <w:rFonts w:ascii="Book Antiqua" w:hAnsi="Book Antiqua"/>
          <w:color w:val="000000" w:themeColor="text1"/>
        </w:rPr>
      </w:pPr>
    </w:p>
    <w:p w:rsidR="00110185" w:rsidRPr="00922E75" w:rsidRDefault="00110185" w:rsidP="00CC69CE">
      <w:pPr>
        <w:jc w:val="both"/>
        <w:rPr>
          <w:rFonts w:ascii="Book Antiqua" w:hAnsi="Book Antiqua"/>
          <w:color w:val="000000" w:themeColor="text1"/>
        </w:rPr>
      </w:pPr>
      <w:r>
        <w:rPr>
          <w:rFonts w:ascii="Book Antiqua" w:hAnsi="Book Antiqua"/>
          <w:color w:val="000000" w:themeColor="text1"/>
        </w:rPr>
        <w:t>L</w:t>
      </w:r>
      <w:r w:rsidRPr="00922E75">
        <w:rPr>
          <w:rFonts w:ascii="Book Antiqua" w:hAnsi="Book Antiqua"/>
          <w:color w:val="000000" w:themeColor="text1"/>
        </w:rPr>
        <w:t>a population active occupée en situation de sous-emploi lié à l’insuffisance du revenu ou à l’inadéquation entre la formation et l’emploi exercé est passée, au niveau national, de 535.000 personnes en 2022 à 531.000 en 202</w:t>
      </w:r>
      <w:r>
        <w:rPr>
          <w:rFonts w:ascii="Book Antiqua" w:hAnsi="Book Antiqua"/>
          <w:color w:val="000000" w:themeColor="text1"/>
        </w:rPr>
        <w:t>3</w:t>
      </w:r>
      <w:r w:rsidRPr="00922E75">
        <w:rPr>
          <w:rFonts w:ascii="Book Antiqua" w:hAnsi="Book Antiqua"/>
          <w:color w:val="000000" w:themeColor="text1"/>
        </w:rPr>
        <w:t xml:space="preserve">. Le taux correspondant s’est </w:t>
      </w:r>
      <w:r w:rsidRPr="001A79C8">
        <w:rPr>
          <w:rFonts w:ascii="Book Antiqua" w:hAnsi="Book Antiqua"/>
          <w:color w:val="000000" w:themeColor="text1"/>
        </w:rPr>
        <w:t>quasiment stagné à 5% au niveau national, à 4,8% en milieu urbain</w:t>
      </w:r>
      <w:r w:rsidR="00CC69CE" w:rsidRPr="001A79C8">
        <w:rPr>
          <w:rFonts w:ascii="Book Antiqua" w:hAnsi="Book Antiqua"/>
          <w:color w:val="000000" w:themeColor="text1"/>
        </w:rPr>
        <w:t xml:space="preserve"> </w:t>
      </w:r>
      <w:r w:rsidRPr="001A79C8">
        <w:rPr>
          <w:rFonts w:ascii="Book Antiqua" w:hAnsi="Book Antiqua"/>
          <w:color w:val="000000" w:themeColor="text1"/>
        </w:rPr>
        <w:t xml:space="preserve">et </w:t>
      </w:r>
      <w:r w:rsidR="00CC69CE" w:rsidRPr="001A79C8">
        <w:rPr>
          <w:rFonts w:ascii="Book Antiqua" w:hAnsi="Book Antiqua"/>
          <w:color w:val="000000" w:themeColor="text1"/>
        </w:rPr>
        <w:t xml:space="preserve">est </w:t>
      </w:r>
      <w:r w:rsidRPr="001A79C8">
        <w:rPr>
          <w:rFonts w:ascii="Book Antiqua" w:hAnsi="Book Antiqua"/>
          <w:color w:val="000000" w:themeColor="text1"/>
        </w:rPr>
        <w:t>passé de</w:t>
      </w:r>
      <w:r w:rsidRPr="00922E75">
        <w:rPr>
          <w:rFonts w:ascii="Book Antiqua" w:hAnsi="Book Antiqua"/>
          <w:color w:val="000000" w:themeColor="text1"/>
        </w:rPr>
        <w:t xml:space="preserve"> 5,2% à 5,4% en milieu rural.</w:t>
      </w:r>
    </w:p>
    <w:p w:rsidR="00110185" w:rsidRPr="00922E75" w:rsidRDefault="00110185" w:rsidP="00110185">
      <w:pPr>
        <w:pStyle w:val="Paragraphedeliste"/>
        <w:numPr>
          <w:ilvl w:val="0"/>
          <w:numId w:val="2"/>
        </w:numPr>
        <w:autoSpaceDE w:val="0"/>
        <w:autoSpaceDN w:val="0"/>
        <w:adjustRightInd w:val="0"/>
        <w:spacing w:before="100" w:beforeAutospacing="1" w:after="100" w:afterAutospacing="1" w:line="312" w:lineRule="auto"/>
        <w:jc w:val="both"/>
        <w:rPr>
          <w:rFonts w:ascii="Book Antiqua" w:hAnsi="Book Antiqua" w:cstheme="majorBidi"/>
          <w:b/>
          <w:bCs/>
          <w:color w:val="0070C0"/>
          <w:sz w:val="28"/>
          <w:szCs w:val="28"/>
        </w:rPr>
      </w:pPr>
      <w:r>
        <w:rPr>
          <w:rFonts w:ascii="Book Antiqua" w:hAnsi="Book Antiqua" w:cstheme="majorBidi"/>
          <w:b/>
          <w:bCs/>
          <w:color w:val="0070C0"/>
          <w:sz w:val="28"/>
          <w:szCs w:val="28"/>
        </w:rPr>
        <w:t xml:space="preserve">Portrait de la population </w:t>
      </w:r>
      <w:r w:rsidRPr="00922E75">
        <w:rPr>
          <w:rFonts w:ascii="Book Antiqua" w:hAnsi="Book Antiqua" w:cstheme="majorBidi"/>
          <w:b/>
          <w:bCs/>
          <w:color w:val="0070C0"/>
          <w:sz w:val="28"/>
          <w:szCs w:val="28"/>
        </w:rPr>
        <w:t>en chômage</w:t>
      </w:r>
    </w:p>
    <w:p w:rsidR="00110185" w:rsidRDefault="00110185" w:rsidP="007B6DA0">
      <w:pPr>
        <w:jc w:val="both"/>
        <w:rPr>
          <w:rFonts w:ascii="Book Antiqua" w:hAnsi="Book Antiqua"/>
          <w:color w:val="000000" w:themeColor="text1"/>
        </w:rPr>
      </w:pPr>
      <w:r w:rsidRPr="00110185">
        <w:rPr>
          <w:rFonts w:ascii="Book Antiqua" w:hAnsi="Book Antiqua"/>
          <w:color w:val="000000" w:themeColor="text1"/>
        </w:rPr>
        <w:t xml:space="preserve">En 2023, la majorité des chômeurs (82,3%) résident en milieu urbain, et parmi eux, 75,7% ont moins de 35 ans. De plus, 82,6% des chômeurs sont diplômés et 31,1% sont </w:t>
      </w:r>
      <w:r w:rsidRPr="001A79C8">
        <w:rPr>
          <w:rFonts w:ascii="Book Antiqua" w:hAnsi="Book Antiqua"/>
          <w:color w:val="000000" w:themeColor="text1"/>
        </w:rPr>
        <w:t xml:space="preserve">des femmes. </w:t>
      </w:r>
      <w:r w:rsidR="007B6DA0" w:rsidRPr="001A79C8">
        <w:rPr>
          <w:rFonts w:ascii="Book Antiqua" w:hAnsi="Book Antiqua"/>
          <w:color w:val="000000" w:themeColor="text1"/>
        </w:rPr>
        <w:t xml:space="preserve">Près de </w:t>
      </w:r>
      <w:r w:rsidRPr="001A79C8">
        <w:rPr>
          <w:rFonts w:ascii="Book Antiqua" w:hAnsi="Book Antiqua"/>
          <w:color w:val="000000" w:themeColor="text1"/>
        </w:rPr>
        <w:t>la moitié des chômeurs (51,2%) sont des primo-demandeurs</w:t>
      </w:r>
      <w:r w:rsidRPr="00110185">
        <w:rPr>
          <w:rFonts w:ascii="Book Antiqua" w:hAnsi="Book Antiqua"/>
          <w:color w:val="000000" w:themeColor="text1"/>
        </w:rPr>
        <w:t xml:space="preserve"> d’emploi, et un pourcentage élevé (66%) sont au chômage depuis une année et plus.</w:t>
      </w:r>
    </w:p>
    <w:p w:rsidR="0011018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 xml:space="preserve">Après avoir baissé de 12,3% à 11,8% entre 2021 et 2022, le taux de chômage </w:t>
      </w:r>
      <w:r>
        <w:rPr>
          <w:rFonts w:ascii="Book Antiqua" w:hAnsi="Book Antiqua"/>
          <w:color w:val="000000" w:themeColor="text1"/>
        </w:rPr>
        <w:t xml:space="preserve">est remonté </w:t>
      </w:r>
      <w:r w:rsidRPr="00922E75">
        <w:rPr>
          <w:rFonts w:ascii="Book Antiqua" w:hAnsi="Book Antiqua"/>
          <w:color w:val="000000" w:themeColor="text1"/>
        </w:rPr>
        <w:t xml:space="preserve">à 13% en 2023, ce qui </w:t>
      </w:r>
      <w:r>
        <w:rPr>
          <w:rFonts w:ascii="Book Antiqua" w:hAnsi="Book Antiqua"/>
          <w:color w:val="000000" w:themeColor="text1"/>
        </w:rPr>
        <w:t xml:space="preserve">représente </w:t>
      </w:r>
      <w:r w:rsidRPr="00922E75">
        <w:rPr>
          <w:rFonts w:ascii="Book Antiqua" w:hAnsi="Book Antiqua"/>
          <w:color w:val="000000" w:themeColor="text1"/>
        </w:rPr>
        <w:t xml:space="preserve">une augmentation de 1,2 point par rapport </w:t>
      </w:r>
      <w:r w:rsidRPr="00922E75">
        <w:rPr>
          <w:rFonts w:ascii="Book Antiqua" w:hAnsi="Book Antiqua"/>
          <w:color w:val="000000" w:themeColor="text1"/>
        </w:rPr>
        <w:lastRenderedPageBreak/>
        <w:t>2022. Ce taux est passé, entre 2022 et 2023, de 15,8% à 16,8% en milieu urbain (+1 point) et de 5,2% à 6,3% (+1,1 point) en milieu rural.</w:t>
      </w:r>
    </w:p>
    <w:p w:rsidR="00110185" w:rsidRPr="00922E7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Le taux du chômage a enregistré une hausse de 1,1 point parmi les femmes, passant de 17,2% à 18,3%, et de 1,2 point parmi les hommes, de 10,3% à 11,5%.</w:t>
      </w:r>
    </w:p>
    <w:p w:rsidR="00110185" w:rsidRPr="00922E7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Pr>
          <w:rFonts w:ascii="Book Antiqua" w:hAnsi="Book Antiqua"/>
          <w:color w:val="000000" w:themeColor="text1"/>
        </w:rPr>
        <w:t>C</w:t>
      </w:r>
      <w:r w:rsidRPr="00922E75">
        <w:rPr>
          <w:rFonts w:ascii="Book Antiqua" w:hAnsi="Book Antiqua"/>
          <w:color w:val="000000" w:themeColor="text1"/>
        </w:rPr>
        <w:t>ette hausse a concerné l’ensemble des catégories d’âge. Ainsi, le taux de chômage est passé de 32,7% à 35,8% (+3,1 points) parmi les jeunes âgés de 15 à 24 ans, de 19,2% à 20,6% (+1,4 point) pour les personnes âgées de 25 à 34 ans, de 6,4% à 7,4% (1 point) pour celles de 35 à 44 ans, et de 3,3% à 3,7% pour celles de 45 ans et plus (+0,4 point).</w:t>
      </w:r>
    </w:p>
    <w:p w:rsidR="00110185" w:rsidRDefault="00110185" w:rsidP="00110185">
      <w:pPr>
        <w:jc w:val="both"/>
        <w:rPr>
          <w:rFonts w:ascii="Book Antiqua" w:eastAsia="Book Antiqua" w:hAnsi="Book Antiqua"/>
          <w:b/>
          <w:color w:val="4F81BD" w:themeColor="accent1"/>
        </w:rPr>
      </w:pPr>
    </w:p>
    <w:p w:rsidR="00110185" w:rsidRPr="00C466D0" w:rsidRDefault="00110185" w:rsidP="00110185">
      <w:pPr>
        <w:spacing w:after="200" w:line="276" w:lineRule="auto"/>
        <w:jc w:val="center"/>
        <w:rPr>
          <w:rFonts w:ascii="Book Antiqua" w:hAnsi="Book Antiqua"/>
          <w:color w:val="4F81BD" w:themeColor="accent1"/>
          <w:sz w:val="28"/>
          <w:szCs w:val="28"/>
        </w:rPr>
      </w:pPr>
      <w:r w:rsidRPr="00C466D0">
        <w:rPr>
          <w:rFonts w:ascii="Book Antiqua" w:eastAsia="Book Antiqua" w:hAnsi="Book Antiqua"/>
          <w:b/>
          <w:color w:val="4F81BD" w:themeColor="accent1"/>
          <w:sz w:val="22"/>
          <w:szCs w:val="22"/>
        </w:rPr>
        <w:t>Graphique 8 : Evolution du taux de chômage entre 2022 et 2023 pour certaines catégories de la population (en %)</w:t>
      </w:r>
      <w:r>
        <w:rPr>
          <w:rFonts w:ascii="Book Antiqua" w:eastAsia="Book Antiqua" w:hAnsi="Book Antiqua"/>
          <w:b/>
          <w:color w:val="4F81BD" w:themeColor="accent1"/>
          <w:sz w:val="22"/>
          <w:szCs w:val="22"/>
        </w:rPr>
        <w:t>.</w:t>
      </w:r>
    </w:p>
    <w:p w:rsidR="00110185" w:rsidRPr="00922E75" w:rsidRDefault="00110185" w:rsidP="00110185">
      <w:pPr>
        <w:spacing w:before="240" w:after="240" w:line="312" w:lineRule="auto"/>
        <w:jc w:val="center"/>
        <w:rPr>
          <w:rFonts w:ascii="Book Antiqua" w:eastAsia="Book Antiqua" w:hAnsi="Book Antiqua"/>
          <w:color w:val="000000" w:themeColor="text1"/>
        </w:rPr>
      </w:pPr>
      <w:r w:rsidRPr="00922E75">
        <w:rPr>
          <w:rFonts w:ascii="Book Antiqua" w:hAnsi="Book Antiqua"/>
          <w:noProof/>
          <w:color w:val="000000" w:themeColor="text1"/>
        </w:rPr>
        <w:drawing>
          <wp:inline distT="0" distB="0" distL="0" distR="0">
            <wp:extent cx="5216055" cy="1932167"/>
            <wp:effectExtent l="0" t="0" r="0" b="0"/>
            <wp:docPr id="1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Selon le diplôme, le taux de chômage a enregistré une hausse de 1,1 point parmi les diplômés, passant de 18,6% à 19,7%, et de 0,7 point parmi les personnes n’ayant aucun d</w:t>
      </w:r>
      <w:r w:rsidR="00056AA5">
        <w:rPr>
          <w:rFonts w:ascii="Book Antiqua" w:hAnsi="Book Antiqua"/>
          <w:color w:val="000000" w:themeColor="text1"/>
        </w:rPr>
        <w:t>iplôme, passant de 4,2% à 4,9%.</w:t>
      </w:r>
    </w:p>
    <w:p w:rsidR="00110185" w:rsidRPr="00922E7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Ce sont les diplômés de niveau moyen</w:t>
      </w:r>
      <w:r w:rsidRPr="00922E75">
        <w:rPr>
          <w:rFonts w:ascii="Book Antiqua" w:hAnsi="Book Antiqua"/>
          <w:color w:val="000000" w:themeColor="text1"/>
          <w:vertAlign w:val="superscript"/>
        </w:rPr>
        <w:footnoteReference w:id="4"/>
      </w:r>
      <w:r w:rsidRPr="00922E75">
        <w:rPr>
          <w:rFonts w:ascii="Book Antiqua" w:hAnsi="Book Antiqua"/>
          <w:color w:val="000000" w:themeColor="text1"/>
        </w:rPr>
        <w:t xml:space="preserve"> qui ont enregistré la hausse la plus importante avec un taux passant de 14,1% à 15,8% (</w:t>
      </w:r>
      <w:r>
        <w:rPr>
          <w:rFonts w:ascii="Book Antiqua" w:hAnsi="Book Antiqua"/>
          <w:color w:val="000000" w:themeColor="text1"/>
        </w:rPr>
        <w:t>+</w:t>
      </w:r>
      <w:r w:rsidRPr="00922E75">
        <w:rPr>
          <w:rFonts w:ascii="Book Antiqua" w:hAnsi="Book Antiqua"/>
          <w:color w:val="000000" w:themeColor="text1"/>
        </w:rPr>
        <w:t xml:space="preserve">1,7 point). Ce taux a enregistré sa forte hausse parmi les titulaires de </w:t>
      </w:r>
      <w:r>
        <w:rPr>
          <w:rFonts w:ascii="Book Antiqua" w:hAnsi="Book Antiqua"/>
          <w:color w:val="000000" w:themeColor="text1"/>
        </w:rPr>
        <w:t>c</w:t>
      </w:r>
      <w:r w:rsidRPr="00922E75">
        <w:rPr>
          <w:rFonts w:ascii="Book Antiqua" w:hAnsi="Book Antiqua"/>
          <w:color w:val="000000" w:themeColor="text1"/>
        </w:rPr>
        <w:t xml:space="preserve">ertificats en spécialisation professionnelle (+2,5 points avec un taux de 25,0%), suivis des titulaires des diplômes et certificats de l'enseignement primaire et secondaire collégial (+1,8 point avec un taux de 14,6%). </w:t>
      </w:r>
    </w:p>
    <w:p w:rsidR="00110185" w:rsidRDefault="00110185" w:rsidP="00110185">
      <w:pPr>
        <w:jc w:val="both"/>
        <w:rPr>
          <w:rFonts w:ascii="Book Antiqua" w:hAnsi="Book Antiqua"/>
          <w:color w:val="000000" w:themeColor="text1"/>
        </w:rPr>
      </w:pPr>
    </w:p>
    <w:p w:rsidR="00110185" w:rsidRPr="00922E75" w:rsidRDefault="00110185" w:rsidP="00110185">
      <w:pPr>
        <w:jc w:val="both"/>
        <w:rPr>
          <w:rFonts w:ascii="Book Antiqua" w:hAnsi="Book Antiqua"/>
          <w:color w:val="000000" w:themeColor="text1"/>
        </w:rPr>
      </w:pPr>
      <w:r w:rsidRPr="00922E75">
        <w:rPr>
          <w:rFonts w:ascii="Book Antiqua" w:hAnsi="Book Antiqua"/>
          <w:color w:val="000000" w:themeColor="text1"/>
        </w:rPr>
        <w:t>Le taux de chômage des diplômés de niveau supérieur</w:t>
      </w:r>
      <w:r w:rsidRPr="00922E75">
        <w:rPr>
          <w:rFonts w:ascii="Book Antiqua" w:hAnsi="Book Antiqua"/>
          <w:color w:val="000000" w:themeColor="text1"/>
          <w:vertAlign w:val="superscript"/>
        </w:rPr>
        <w:footnoteReference w:id="5"/>
      </w:r>
      <w:r w:rsidRPr="00922E75">
        <w:rPr>
          <w:rFonts w:ascii="Book Antiqua" w:hAnsi="Book Antiqua"/>
          <w:color w:val="000000" w:themeColor="text1"/>
        </w:rPr>
        <w:t xml:space="preserve"> a enregistré une quasi-stagnation, passant de 25,8% à 25,9%. Parmi cette catégorie, le taux de chômage des titulaires des diplômes supérieurs délivrés par les écoles et les instituts (y compris doctorats en médecine et en pharmacie) a connu une hausse de 0,7 point atteignant 9,4%.</w:t>
      </w:r>
    </w:p>
    <w:p w:rsidR="00B02584" w:rsidRDefault="00B02584">
      <w:pPr>
        <w:spacing w:after="200" w:line="276" w:lineRule="auto"/>
        <w:rPr>
          <w:rFonts w:ascii="Book Antiqua" w:hAnsi="Book Antiqua"/>
          <w:b/>
          <w:bCs/>
          <w:color w:val="4F81BD" w:themeColor="accent1"/>
          <w:sz w:val="22"/>
          <w:szCs w:val="22"/>
        </w:rPr>
      </w:pPr>
      <w:r>
        <w:rPr>
          <w:rFonts w:ascii="Book Antiqua" w:hAnsi="Book Antiqua"/>
          <w:b/>
          <w:bCs/>
          <w:color w:val="4F81BD" w:themeColor="accent1"/>
          <w:sz w:val="22"/>
          <w:szCs w:val="22"/>
        </w:rPr>
        <w:br w:type="page"/>
      </w:r>
    </w:p>
    <w:p w:rsidR="00110185" w:rsidRPr="00C466D0" w:rsidRDefault="00110185" w:rsidP="00110185">
      <w:pPr>
        <w:spacing w:before="240" w:after="240" w:line="312" w:lineRule="auto"/>
        <w:jc w:val="center"/>
        <w:rPr>
          <w:rFonts w:ascii="Book Antiqua" w:hAnsi="Book Antiqua"/>
          <w:b/>
          <w:bCs/>
          <w:color w:val="4F81BD" w:themeColor="accent1"/>
          <w:sz w:val="22"/>
          <w:szCs w:val="22"/>
        </w:rPr>
      </w:pPr>
      <w:r w:rsidRPr="004143D6">
        <w:rPr>
          <w:rFonts w:ascii="Book Antiqua" w:hAnsi="Book Antiqua"/>
          <w:b/>
          <w:bCs/>
          <w:color w:val="4F81BD" w:themeColor="accent1"/>
          <w:sz w:val="22"/>
          <w:szCs w:val="22"/>
        </w:rPr>
        <w:lastRenderedPageBreak/>
        <w:t>Graphique 9 : Evolution du taux de chômage selon le diplôme (%)</w:t>
      </w:r>
    </w:p>
    <w:p w:rsidR="00BF33F1" w:rsidRDefault="00110185" w:rsidP="00BF33F1">
      <w:pPr>
        <w:spacing w:before="240" w:after="240" w:line="312" w:lineRule="auto"/>
        <w:jc w:val="center"/>
        <w:rPr>
          <w:rFonts w:ascii="Book Antiqua" w:hAnsi="Book Antiqua"/>
          <w:color w:val="000000" w:themeColor="text1"/>
        </w:rPr>
      </w:pPr>
      <w:r w:rsidRPr="00110185">
        <w:rPr>
          <w:rFonts w:ascii="Book Antiqua" w:hAnsi="Book Antiqua"/>
          <w:b/>
          <w:bCs/>
          <w:noProof/>
          <w:color w:val="000000" w:themeColor="text1"/>
          <w:sz w:val="22"/>
          <w:szCs w:val="22"/>
        </w:rPr>
        <w:drawing>
          <wp:inline distT="0" distB="0" distL="0" distR="0">
            <wp:extent cx="5502303" cy="1932167"/>
            <wp:effectExtent l="0" t="0" r="0" b="0"/>
            <wp:docPr id="1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0185" w:rsidRDefault="00110185" w:rsidP="00BF33F1">
      <w:pPr>
        <w:spacing w:before="240" w:after="240" w:line="312" w:lineRule="auto"/>
        <w:jc w:val="both"/>
        <w:rPr>
          <w:rFonts w:ascii="Book Antiqua" w:hAnsi="Book Antiqua"/>
          <w:color w:val="000000" w:themeColor="text1"/>
        </w:rPr>
      </w:pPr>
      <w:r w:rsidRPr="00922E75">
        <w:rPr>
          <w:rFonts w:ascii="Book Antiqua" w:hAnsi="Book Antiqua"/>
          <w:color w:val="000000" w:themeColor="text1"/>
        </w:rPr>
        <w:t xml:space="preserve">Par ailleurs, au cours de cette période, le chômage a été marqué par la hausse de la proportion des personnes récemment en chômage. La part des personnes en situation de chômage depuis moins d’un an s'est élevée de 31,3% à 33,3%. Ainsi, la durée moyenne de chômage est passée de 33 mois à 32 mois. </w:t>
      </w:r>
    </w:p>
    <w:p w:rsidR="00110185" w:rsidRPr="00922E75" w:rsidRDefault="00110185" w:rsidP="00110185">
      <w:pPr>
        <w:shd w:val="clear" w:color="auto" w:fill="FFFFFF"/>
        <w:jc w:val="both"/>
        <w:rPr>
          <w:rFonts w:ascii="Book Antiqua" w:hAnsi="Book Antiqua"/>
          <w:color w:val="000000" w:themeColor="text1"/>
        </w:rPr>
      </w:pPr>
      <w:r w:rsidRPr="00922E75">
        <w:rPr>
          <w:rFonts w:ascii="Book Antiqua" w:hAnsi="Book Antiqua"/>
          <w:color w:val="000000" w:themeColor="text1"/>
        </w:rPr>
        <w:t xml:space="preserve">D’un autre côté, 27,8% des chômeurs se sont retrouvés dans cette situation suite à l’achèvement des études et 27% suite au licenciement ou à l’arrêt de l’activité de l’établissement. </w:t>
      </w:r>
    </w:p>
    <w:p w:rsidR="00110185" w:rsidRPr="00922E75" w:rsidRDefault="00110185" w:rsidP="00110185">
      <w:pPr>
        <w:rPr>
          <w:rFonts w:ascii="Book Antiqua" w:hAnsi="Book Antiqua"/>
          <w:b/>
          <w:bCs/>
          <w:color w:val="4F81BD" w:themeColor="accent1"/>
        </w:rPr>
      </w:pPr>
    </w:p>
    <w:p w:rsidR="00110185" w:rsidRDefault="00110185" w:rsidP="00110185">
      <w:pPr>
        <w:rPr>
          <w:rFonts w:ascii="Book Antiqua" w:hAnsi="Book Antiqua"/>
          <w:b/>
          <w:bCs/>
          <w:color w:val="4F81BD" w:themeColor="accent1"/>
        </w:rPr>
      </w:pPr>
      <w:r w:rsidRPr="00922E75">
        <w:rPr>
          <w:rFonts w:ascii="Book Antiqua" w:hAnsi="Book Antiqua"/>
          <w:b/>
          <w:bCs/>
          <w:color w:val="4F81BD" w:themeColor="accent1"/>
        </w:rPr>
        <w:t>Les chômeurs ayant déjà travaillé </w:t>
      </w:r>
    </w:p>
    <w:p w:rsidR="00110185" w:rsidRPr="00922E75" w:rsidRDefault="00110185" w:rsidP="00110185">
      <w:pPr>
        <w:rPr>
          <w:rFonts w:ascii="Book Antiqua" w:hAnsi="Book Antiqua"/>
          <w:b/>
          <w:bCs/>
          <w:color w:val="4F81BD" w:themeColor="accent1"/>
        </w:rPr>
      </w:pPr>
    </w:p>
    <w:p w:rsidR="00110185" w:rsidRDefault="00110185" w:rsidP="00110185">
      <w:pPr>
        <w:autoSpaceDE w:val="0"/>
        <w:autoSpaceDN w:val="0"/>
        <w:adjustRightInd w:val="0"/>
        <w:jc w:val="both"/>
        <w:rPr>
          <w:rFonts w:ascii="Book Antiqua" w:hAnsi="Book Antiqua"/>
          <w:color w:val="000000" w:themeColor="text1"/>
        </w:rPr>
      </w:pPr>
      <w:r w:rsidRPr="00922E75">
        <w:rPr>
          <w:rFonts w:ascii="Book Antiqua" w:hAnsi="Book Antiqua"/>
          <w:color w:val="000000" w:themeColor="text1"/>
        </w:rPr>
        <w:t xml:space="preserve">Le volume des chômeurs ayant déjà travaillé  a connu, entre 2022 et 2023, une augmentation de 98.000 personnes, passant de 673.000 à 771.000. De ce fait, leur part est passée, au cours de cette période, de 46,7% à 48,8%. </w:t>
      </w:r>
    </w:p>
    <w:p w:rsidR="00110185" w:rsidRPr="00922E75" w:rsidRDefault="00110185" w:rsidP="00110185">
      <w:pPr>
        <w:autoSpaceDE w:val="0"/>
        <w:autoSpaceDN w:val="0"/>
        <w:adjustRightInd w:val="0"/>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Près de 80,9% des chômeurs ayant déjà travaillé résident en milieu urbain, plus de trois quarts sont des hommes (79%) et plus de la moitié d’entre eux sont des jeunes âgés de 15 à 34 ans (56,7%).</w:t>
      </w:r>
    </w:p>
    <w:p w:rsidR="00110185" w:rsidRPr="00922E75" w:rsidRDefault="00110185" w:rsidP="00110185">
      <w:pPr>
        <w:jc w:val="both"/>
        <w:rPr>
          <w:rFonts w:ascii="Book Antiqua" w:hAnsi="Book Antiqua"/>
          <w:color w:val="000000" w:themeColor="text1"/>
        </w:rPr>
      </w:pPr>
    </w:p>
    <w:p w:rsidR="00110185" w:rsidRDefault="00110185" w:rsidP="00110185">
      <w:pPr>
        <w:jc w:val="both"/>
        <w:rPr>
          <w:rFonts w:ascii="Book Antiqua" w:hAnsi="Book Antiqua"/>
          <w:color w:val="000000" w:themeColor="text1"/>
        </w:rPr>
      </w:pPr>
      <w:r w:rsidRPr="00922E75">
        <w:rPr>
          <w:rFonts w:ascii="Book Antiqua" w:hAnsi="Book Antiqua"/>
          <w:color w:val="000000" w:themeColor="text1"/>
        </w:rPr>
        <w:t xml:space="preserve">Près de 7 chômeurs ayant déjà travaillé sur 10 (71,2%) ont un diplôme, 46,2% de niveau moyen et 25% de niveau supérieur. </w:t>
      </w:r>
    </w:p>
    <w:p w:rsidR="00110185" w:rsidRPr="00922E75" w:rsidRDefault="00110185" w:rsidP="00110185">
      <w:pPr>
        <w:jc w:val="both"/>
        <w:rPr>
          <w:rFonts w:ascii="Book Antiqua" w:hAnsi="Book Antiqua"/>
          <w:color w:val="000000" w:themeColor="text1"/>
        </w:rPr>
      </w:pPr>
    </w:p>
    <w:p w:rsidR="00110185" w:rsidRPr="00922E75" w:rsidRDefault="00110185" w:rsidP="00110185">
      <w:pPr>
        <w:jc w:val="both"/>
        <w:rPr>
          <w:rFonts w:ascii="Book Antiqua" w:hAnsi="Book Antiqua"/>
          <w:color w:val="000000" w:themeColor="text1"/>
        </w:rPr>
      </w:pPr>
      <w:r w:rsidRPr="00922E75">
        <w:rPr>
          <w:rFonts w:ascii="Book Antiqua" w:hAnsi="Book Antiqua"/>
          <w:color w:val="000000" w:themeColor="text1"/>
        </w:rPr>
        <w:t xml:space="preserve">En outre, 85,2% de ces chômeurs étaient des salariés et 13,3% des auto-employés. Près de 55,2% exerçaient dans le secteur des </w:t>
      </w:r>
      <w:r w:rsidRPr="00922E75">
        <w:rPr>
          <w:rFonts w:ascii="Book Antiqua" w:hAnsi="Book Antiqua"/>
        </w:rPr>
        <w:t xml:space="preserve">" </w:t>
      </w:r>
      <w:r w:rsidRPr="00922E75">
        <w:rPr>
          <w:rFonts w:ascii="Book Antiqua" w:hAnsi="Book Antiqua"/>
          <w:color w:val="000000" w:themeColor="text1"/>
        </w:rPr>
        <w:t>services</w:t>
      </w:r>
      <w:r w:rsidRPr="00922E75">
        <w:rPr>
          <w:rFonts w:ascii="Book Antiqua" w:hAnsi="Book Antiqua"/>
        </w:rPr>
        <w:t>"</w:t>
      </w:r>
      <w:r w:rsidRPr="00922E75">
        <w:rPr>
          <w:rFonts w:ascii="Book Antiqua" w:hAnsi="Book Antiqua"/>
          <w:color w:val="000000" w:themeColor="text1"/>
        </w:rPr>
        <w:t xml:space="preserve">, 18,4% dans les </w:t>
      </w:r>
      <w:r w:rsidRPr="00922E75">
        <w:rPr>
          <w:rFonts w:ascii="Book Antiqua" w:hAnsi="Book Antiqua"/>
        </w:rPr>
        <w:t>"</w:t>
      </w:r>
      <w:r w:rsidRPr="00922E75">
        <w:rPr>
          <w:rFonts w:ascii="Book Antiqua" w:hAnsi="Book Antiqua"/>
          <w:color w:val="000000" w:themeColor="text1"/>
        </w:rPr>
        <w:t>BTP</w:t>
      </w:r>
      <w:r w:rsidRPr="00922E75">
        <w:rPr>
          <w:rFonts w:ascii="Book Antiqua" w:hAnsi="Book Antiqua"/>
        </w:rPr>
        <w:t xml:space="preserve">" </w:t>
      </w:r>
      <w:r w:rsidRPr="00922E75">
        <w:rPr>
          <w:rFonts w:ascii="Book Antiqua" w:hAnsi="Book Antiqua"/>
          <w:color w:val="000000" w:themeColor="text1"/>
        </w:rPr>
        <w:t xml:space="preserve"> et 16% dans l’</w:t>
      </w:r>
      <w:r w:rsidRPr="00922E75">
        <w:rPr>
          <w:rFonts w:ascii="Book Antiqua" w:hAnsi="Book Antiqua"/>
        </w:rPr>
        <w:t xml:space="preserve">" </w:t>
      </w:r>
      <w:r w:rsidRPr="00922E75">
        <w:rPr>
          <w:rFonts w:ascii="Book Antiqua" w:hAnsi="Book Antiqua"/>
          <w:color w:val="000000" w:themeColor="text1"/>
        </w:rPr>
        <w:t>industrie y compris l’artisanat</w:t>
      </w:r>
      <w:r w:rsidRPr="00922E75">
        <w:rPr>
          <w:rFonts w:ascii="Book Antiqua" w:hAnsi="Book Antiqua"/>
        </w:rPr>
        <w:t>"</w:t>
      </w:r>
      <w:r w:rsidRPr="00922E75">
        <w:rPr>
          <w:rFonts w:ascii="Book Antiqua" w:hAnsi="Book Antiqua"/>
          <w:color w:val="000000" w:themeColor="text1"/>
        </w:rPr>
        <w:t>. Près de trois sur dix de ces chômeurs</w:t>
      </w:r>
      <w:r>
        <w:rPr>
          <w:rFonts w:ascii="Book Antiqua" w:hAnsi="Book Antiqua"/>
          <w:color w:val="000000" w:themeColor="text1"/>
        </w:rPr>
        <w:t xml:space="preserve"> </w:t>
      </w:r>
      <w:r w:rsidRPr="00922E75">
        <w:rPr>
          <w:rFonts w:ascii="Book Antiqua" w:hAnsi="Book Antiqua"/>
          <w:color w:val="000000" w:themeColor="text1"/>
        </w:rPr>
        <w:t xml:space="preserve">(30,1%) exerçaient en tant que manœuvres non agricoles, manutentionnaires ou travailleurs de petits métiers, près d’un quart (28,3%) en tant que commerçants ou artisans et </w:t>
      </w:r>
      <w:r w:rsidRPr="001A79C8">
        <w:rPr>
          <w:rFonts w:ascii="Book Antiqua" w:hAnsi="Book Antiqua"/>
          <w:color w:val="000000" w:themeColor="text1"/>
        </w:rPr>
        <w:t xml:space="preserve">20,6% </w:t>
      </w:r>
      <w:r w:rsidR="00CC69CE" w:rsidRPr="001A79C8">
        <w:rPr>
          <w:rFonts w:ascii="Book Antiqua" w:hAnsi="Book Antiqua"/>
          <w:color w:val="000000" w:themeColor="text1"/>
        </w:rPr>
        <w:t xml:space="preserve">en tant </w:t>
      </w:r>
      <w:r w:rsidRPr="001A79C8">
        <w:rPr>
          <w:rFonts w:ascii="Book Antiqua" w:hAnsi="Book Antiqua"/>
          <w:color w:val="000000" w:themeColor="text1"/>
        </w:rPr>
        <w:t>qu’employés.</w:t>
      </w:r>
    </w:p>
    <w:p w:rsidR="00193B3C" w:rsidRDefault="00A77D7B"/>
    <w:sectPr w:rsidR="00193B3C" w:rsidSect="00032DB2">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D7B" w:rsidRDefault="00A77D7B" w:rsidP="00110185">
      <w:r>
        <w:separator/>
      </w:r>
    </w:p>
  </w:endnote>
  <w:endnote w:type="continuationSeparator" w:id="0">
    <w:p w:rsidR="00A77D7B" w:rsidRDefault="00A77D7B" w:rsidP="00110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0000"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458157"/>
      <w:docPartObj>
        <w:docPartGallery w:val="Page Numbers (Bottom of Page)"/>
        <w:docPartUnique/>
      </w:docPartObj>
    </w:sdtPr>
    <w:sdtContent>
      <w:p w:rsidR="00736396" w:rsidRDefault="00C923BB">
        <w:pPr>
          <w:pStyle w:val="Pieddepage"/>
          <w:jc w:val="center"/>
        </w:pPr>
        <w:r>
          <w:rPr>
            <w:noProof/>
          </w:rPr>
          <w:fldChar w:fldCharType="begin"/>
        </w:r>
        <w:r w:rsidR="00C4767A">
          <w:rPr>
            <w:noProof/>
          </w:rPr>
          <w:instrText xml:space="preserve"> PAGE   \* MERGEFORMAT </w:instrText>
        </w:r>
        <w:r>
          <w:rPr>
            <w:noProof/>
          </w:rPr>
          <w:fldChar w:fldCharType="separate"/>
        </w:r>
        <w:r w:rsidR="00A64C8A">
          <w:rPr>
            <w:noProof/>
          </w:rPr>
          <w:t>2</w:t>
        </w:r>
        <w:r>
          <w:rPr>
            <w:noProof/>
          </w:rPr>
          <w:fldChar w:fldCharType="end"/>
        </w:r>
      </w:p>
    </w:sdtContent>
  </w:sdt>
  <w:p w:rsidR="00736396" w:rsidRDefault="00A77D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D7B" w:rsidRDefault="00A77D7B" w:rsidP="00110185">
      <w:r>
        <w:separator/>
      </w:r>
    </w:p>
  </w:footnote>
  <w:footnote w:type="continuationSeparator" w:id="0">
    <w:p w:rsidR="00A77D7B" w:rsidRDefault="00A77D7B" w:rsidP="00110185">
      <w:r>
        <w:continuationSeparator/>
      </w:r>
    </w:p>
  </w:footnote>
  <w:footnote w:id="1">
    <w:p w:rsidR="00110185" w:rsidRPr="006661DE" w:rsidRDefault="00110185" w:rsidP="00110185">
      <w:pPr>
        <w:pStyle w:val="Notedebasdepage"/>
        <w:jc w:val="left"/>
        <w:rPr>
          <w:rStyle w:val="Appelnotedebasdep"/>
          <w:sz w:val="27"/>
          <w:szCs w:val="27"/>
        </w:rPr>
      </w:pPr>
      <w:r w:rsidRPr="00110185">
        <w:rPr>
          <w:rStyle w:val="Appelnotedebasdep"/>
          <w:sz w:val="18"/>
          <w:szCs w:val="18"/>
        </w:rPr>
        <w:footnoteRef/>
      </w:r>
      <w:r w:rsidRPr="00110185">
        <w:rPr>
          <w:rStyle w:val="Appelnotedebasdep"/>
          <w:sz w:val="24"/>
          <w:szCs w:val="24"/>
        </w:rPr>
        <w:t>La différence par rapport au volume total de l'emploi, soit</w:t>
      </w:r>
      <w:r w:rsidRPr="00110185">
        <w:rPr>
          <w:sz w:val="24"/>
          <w:szCs w:val="24"/>
        </w:rPr>
        <w:t xml:space="preserve"> </w:t>
      </w:r>
      <w:r w:rsidRPr="00110185">
        <w:rPr>
          <w:rStyle w:val="Appelnotedebasdep"/>
          <w:sz w:val="24"/>
          <w:szCs w:val="24"/>
        </w:rPr>
        <w:t>0,1% des actifs occupés, concerne les activités non désignées</w:t>
      </w:r>
    </w:p>
  </w:footnote>
  <w:footnote w:id="2">
    <w:p w:rsidR="00110185" w:rsidRPr="00B01936" w:rsidRDefault="00110185" w:rsidP="00110185">
      <w:pPr>
        <w:shd w:val="clear" w:color="auto" w:fill="FFFFFF"/>
        <w:jc w:val="both"/>
        <w:rPr>
          <w:rFonts w:ascii="Book Antiqua" w:hAnsi="Book Antiqua"/>
          <w:sz w:val="16"/>
          <w:szCs w:val="16"/>
        </w:rPr>
      </w:pPr>
      <w:r w:rsidRPr="00B01936">
        <w:rPr>
          <w:b/>
          <w:bCs/>
          <w:color w:val="222222"/>
          <w:sz w:val="16"/>
          <w:szCs w:val="16"/>
          <w:shd w:val="clear" w:color="auto" w:fill="FFFFFF"/>
          <w:vertAlign w:val="superscript"/>
        </w:rPr>
        <w:footnoteRef/>
      </w:r>
      <w:r w:rsidRPr="00B01936">
        <w:rPr>
          <w:rFonts w:ascii="Book Antiqua" w:hAnsi="Book Antiqua"/>
          <w:color w:val="222222"/>
          <w:sz w:val="16"/>
          <w:szCs w:val="16"/>
          <w:shd w:val="clear" w:color="auto" w:fill="FFFFFF"/>
        </w:rPr>
        <w:t xml:space="preserve">La notion de durée excessive de travail, telle que définie par le Bureau International du Travail (BIT), se réfère à la proportion de </w:t>
      </w:r>
      <w:r>
        <w:rPr>
          <w:rFonts w:ascii="Book Antiqua" w:hAnsi="Book Antiqua"/>
          <w:color w:val="222222"/>
          <w:sz w:val="16"/>
          <w:szCs w:val="16"/>
          <w:shd w:val="clear" w:color="auto" w:fill="FFFFFF"/>
        </w:rPr>
        <w:t xml:space="preserve">la </w:t>
      </w:r>
      <w:r w:rsidRPr="00B01936">
        <w:rPr>
          <w:rFonts w:ascii="Book Antiqua" w:hAnsi="Book Antiqua"/>
          <w:color w:val="222222"/>
          <w:sz w:val="16"/>
          <w:szCs w:val="16"/>
          <w:shd w:val="clear" w:color="auto" w:fill="FFFFFF"/>
        </w:rPr>
        <w:t>population</w:t>
      </w:r>
      <w:r>
        <w:rPr>
          <w:rFonts w:ascii="Book Antiqua" w:hAnsi="Book Antiqua"/>
          <w:color w:val="222222"/>
          <w:sz w:val="16"/>
          <w:szCs w:val="16"/>
          <w:shd w:val="clear" w:color="auto" w:fill="FFFFFF"/>
        </w:rPr>
        <w:t xml:space="preserve"> active</w:t>
      </w:r>
      <w:r w:rsidRPr="00B01936">
        <w:rPr>
          <w:rFonts w:ascii="Book Antiqua" w:hAnsi="Book Antiqua"/>
          <w:color w:val="222222"/>
          <w:sz w:val="16"/>
          <w:szCs w:val="16"/>
          <w:shd w:val="clear" w:color="auto" w:fill="FFFFFF"/>
        </w:rPr>
        <w:t xml:space="preserve"> occupée dont les horaires de travail</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dans tous les emplois</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dépassent 48 heures par semaine.</w:t>
      </w:r>
    </w:p>
  </w:footnote>
  <w:footnote w:id="3">
    <w:p w:rsidR="00110185" w:rsidRPr="00267468" w:rsidRDefault="00110185" w:rsidP="00110185">
      <w:pPr>
        <w:spacing w:before="240" w:after="240"/>
        <w:jc w:val="both"/>
        <w:rPr>
          <w:rFonts w:ascii="Book Antiqua" w:eastAsia="Book Antiqua" w:hAnsi="Book Antiqua" w:cs="Book Antiqua"/>
          <w:sz w:val="14"/>
          <w:szCs w:val="14"/>
        </w:rPr>
      </w:pPr>
      <w:r w:rsidRPr="00B02584">
        <w:rPr>
          <w:rFonts w:ascii="Book Antiqua" w:eastAsia="Book Antiqua" w:hAnsi="Book Antiqua" w:cs="Book Antiqua"/>
          <w:sz w:val="14"/>
          <w:szCs w:val="14"/>
        </w:rPr>
        <w:footnoteRef/>
      </w:r>
      <w:r w:rsidR="00B02584">
        <w:rPr>
          <w:rFonts w:ascii="Book Antiqua" w:eastAsia="Book Antiqua" w:hAnsi="Book Antiqua" w:cs="Book Antiqua"/>
          <w:sz w:val="14"/>
          <w:szCs w:val="14"/>
        </w:rPr>
        <w:t xml:space="preserve"> </w:t>
      </w:r>
      <w:r w:rsidRPr="00B02584">
        <w:rPr>
          <w:rFonts w:ascii="Book Antiqua" w:eastAsia="Book Antiqua" w:hAnsi="Book Antiqua" w:cs="Book Antiqua"/>
          <w:sz w:val="14"/>
          <w:szCs w:val="14"/>
        </w:rPr>
        <w:t>Conformément</w:t>
      </w:r>
      <w:r w:rsidRPr="00267468">
        <w:rPr>
          <w:rFonts w:ascii="Book Antiqua" w:eastAsia="Book Antiqua" w:hAnsi="Book Antiqua" w:cs="Book Antiqua"/>
          <w:sz w:val="14"/>
          <w:szCs w:val="14"/>
        </w:rPr>
        <w:t xml:space="preserve"> aux recommandations du BIT, le sous-emploi est constitué, selon l’approche de l’Enquête nationale sur l’emploi, de deux composantes, la première liée au nombre d’heures travaillées et la deuxième à l’insuffisance du revenu ou à l’inadéquation entre la formation et l’emploi exercé.</w:t>
      </w:r>
    </w:p>
    <w:p w:rsidR="00110185" w:rsidRDefault="00110185" w:rsidP="00110185">
      <w:pPr>
        <w:pStyle w:val="Notedebasdepage"/>
      </w:pPr>
    </w:p>
  </w:footnote>
  <w:footnote w:id="4">
    <w:p w:rsidR="00110185" w:rsidRPr="00922E75" w:rsidRDefault="00110185" w:rsidP="00110185">
      <w:pPr>
        <w:pStyle w:val="Notedebasdepage"/>
        <w:bidi/>
        <w:rPr>
          <w:rFonts w:ascii="Book Antiqua" w:hAnsi="Book Antiqua"/>
          <w:sz w:val="16"/>
          <w:szCs w:val="16"/>
          <w:rtl/>
        </w:rPr>
      </w:pPr>
      <w:r w:rsidRPr="00922E75">
        <w:rPr>
          <w:rFonts w:ascii="Book Antiqua" w:hAnsi="Book Antiqua" w:cs="Traditional Arabic"/>
          <w:noProof/>
          <w:color w:val="222222"/>
          <w:sz w:val="16"/>
          <w:szCs w:val="16"/>
          <w:shd w:val="clear" w:color="auto" w:fill="FFFFFF"/>
          <w:vertAlign w:val="superscript"/>
        </w:rPr>
        <w:footnoteRef/>
      </w:r>
      <w:r w:rsidRPr="00922E75">
        <w:rPr>
          <w:rFonts w:ascii="Book Antiqua" w:hAnsi="Book Antiqua"/>
          <w:sz w:val="16"/>
          <w:szCs w:val="16"/>
        </w:rPr>
        <w:t>Les diplômes de niveau moyen regroupent les certificats de l'enseignement primaire, du secondaire collégial et les diplômes de qualification ou de spécialisation professionnelle.</w:t>
      </w:r>
    </w:p>
  </w:footnote>
  <w:footnote w:id="5">
    <w:p w:rsidR="00110185" w:rsidRPr="00922E75" w:rsidRDefault="00110185" w:rsidP="00110185">
      <w:pPr>
        <w:pStyle w:val="Notedebasdepage"/>
        <w:bidi/>
        <w:rPr>
          <w:rFonts w:ascii="Book Antiqua" w:hAnsi="Book Antiqua"/>
          <w:sz w:val="16"/>
          <w:szCs w:val="16"/>
          <w:rtl/>
        </w:rPr>
      </w:pPr>
      <w:r w:rsidRPr="00922E75">
        <w:rPr>
          <w:rFonts w:ascii="Book Antiqua" w:hAnsi="Book Antiqua"/>
          <w:sz w:val="16"/>
          <w:szCs w:val="16"/>
          <w:vertAlign w:val="superscript"/>
        </w:rPr>
        <w:footnoteRef/>
      </w:r>
      <w:r w:rsidRPr="00922E75">
        <w:rPr>
          <w:rFonts w:ascii="Book Antiqua" w:hAnsi="Book Antiqua"/>
          <w:sz w:val="16"/>
          <w:szCs w:val="16"/>
        </w:rPr>
        <w:t>Les diplômes de niveau supérieur regroupent le baccalauréat, les diplômes de techniciens ou de techniciens spécialisés et les diplômes d'enseignement supérieur (facultés, grandes écoles et instituts).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B2" w:rsidRDefault="00032DB2" w:rsidP="00032DB2">
    <w:pPr>
      <w:pStyle w:val="En-tte"/>
      <w:jc w:val="center"/>
    </w:pPr>
    <w:r w:rsidRPr="00032DB2">
      <w:rPr>
        <w:noProof/>
      </w:rPr>
      <w:drawing>
        <wp:inline distT="0" distB="0" distL="0" distR="0">
          <wp:extent cx="1047750" cy="812312"/>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857" cy="81239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82CB7"/>
    <w:multiLevelType w:val="hybridMultilevel"/>
    <w:tmpl w:val="8F10D560"/>
    <w:lvl w:ilvl="0" w:tplc="31526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E45B54"/>
    <w:multiLevelType w:val="hybridMultilevel"/>
    <w:tmpl w:val="006227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10185"/>
    <w:rsid w:val="00032DB2"/>
    <w:rsid w:val="00056AA5"/>
    <w:rsid w:val="00110185"/>
    <w:rsid w:val="001A5C50"/>
    <w:rsid w:val="001A6298"/>
    <w:rsid w:val="001A79C8"/>
    <w:rsid w:val="001B5D50"/>
    <w:rsid w:val="001B724F"/>
    <w:rsid w:val="00254AE9"/>
    <w:rsid w:val="002964F0"/>
    <w:rsid w:val="002E5FAA"/>
    <w:rsid w:val="003329DF"/>
    <w:rsid w:val="004143D6"/>
    <w:rsid w:val="004623D5"/>
    <w:rsid w:val="005A66E5"/>
    <w:rsid w:val="005C5CCF"/>
    <w:rsid w:val="005D69A9"/>
    <w:rsid w:val="00616F23"/>
    <w:rsid w:val="0064210F"/>
    <w:rsid w:val="00642952"/>
    <w:rsid w:val="006543A0"/>
    <w:rsid w:val="006E0B7D"/>
    <w:rsid w:val="006E5102"/>
    <w:rsid w:val="00713AE6"/>
    <w:rsid w:val="007B594B"/>
    <w:rsid w:val="007B6DA0"/>
    <w:rsid w:val="007B7F24"/>
    <w:rsid w:val="008E4556"/>
    <w:rsid w:val="008F1E0A"/>
    <w:rsid w:val="00943E77"/>
    <w:rsid w:val="009746A1"/>
    <w:rsid w:val="009E43F8"/>
    <w:rsid w:val="00A2046A"/>
    <w:rsid w:val="00A64C8A"/>
    <w:rsid w:val="00A77D7B"/>
    <w:rsid w:val="00B02584"/>
    <w:rsid w:val="00B331B5"/>
    <w:rsid w:val="00BF33F1"/>
    <w:rsid w:val="00C04BD8"/>
    <w:rsid w:val="00C11B81"/>
    <w:rsid w:val="00C4767A"/>
    <w:rsid w:val="00C66B81"/>
    <w:rsid w:val="00C923BB"/>
    <w:rsid w:val="00CB7DB8"/>
    <w:rsid w:val="00CC69CE"/>
    <w:rsid w:val="00D21938"/>
    <w:rsid w:val="00D97B52"/>
    <w:rsid w:val="00E01905"/>
    <w:rsid w:val="00E15A2C"/>
    <w:rsid w:val="00F14F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8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110185"/>
    <w:pPr>
      <w:keepNext/>
      <w:overflowPunct w:val="0"/>
      <w:autoSpaceDE w:val="0"/>
      <w:autoSpaceDN w:val="0"/>
      <w:adjustRightInd w:val="0"/>
      <w:textAlignment w:val="baseline"/>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10185"/>
    <w:rPr>
      <w:rFonts w:ascii="Times New Roman" w:eastAsia="Times New Roman" w:hAnsi="Times New Roman" w:cs="Times New Roman"/>
      <w:b/>
      <w:bCs/>
      <w:sz w:val="24"/>
      <w:szCs w:val="24"/>
      <w:lang w:eastAsia="fr-FR"/>
    </w:rPr>
  </w:style>
  <w:style w:type="paragraph" w:styleId="Notedebasdepage">
    <w:name w:val="footnote text"/>
    <w:basedOn w:val="Normal"/>
    <w:link w:val="NotedebasdepageCar"/>
    <w:uiPriority w:val="99"/>
    <w:semiHidden/>
    <w:rsid w:val="00110185"/>
    <w:pPr>
      <w:overflowPunct w:val="0"/>
      <w:autoSpaceDE w:val="0"/>
      <w:autoSpaceDN w:val="0"/>
      <w:adjustRightInd w:val="0"/>
      <w:jc w:val="right"/>
      <w:textAlignment w:val="baseline"/>
    </w:pPr>
    <w:rPr>
      <w:sz w:val="20"/>
      <w:szCs w:val="20"/>
    </w:rPr>
  </w:style>
  <w:style w:type="character" w:customStyle="1" w:styleId="NotedebasdepageCar">
    <w:name w:val="Note de bas de page Car"/>
    <w:basedOn w:val="Policepardfaut"/>
    <w:link w:val="Notedebasdepage"/>
    <w:uiPriority w:val="99"/>
    <w:semiHidden/>
    <w:rsid w:val="00110185"/>
    <w:rPr>
      <w:rFonts w:ascii="Times New Roman" w:eastAsia="Times New Roman" w:hAnsi="Times New Roman" w:cs="Times New Roman"/>
      <w:sz w:val="20"/>
      <w:szCs w:val="20"/>
      <w:lang w:eastAsia="fr-FR"/>
    </w:rPr>
  </w:style>
  <w:style w:type="character" w:styleId="Appelnotedebasdep">
    <w:name w:val="footnote reference"/>
    <w:uiPriority w:val="99"/>
    <w:semiHidden/>
    <w:rsid w:val="00110185"/>
    <w:rPr>
      <w:vertAlign w:val="superscript"/>
    </w:rPr>
  </w:style>
  <w:style w:type="paragraph" w:styleId="Paragraphedeliste">
    <w:name w:val="List Paragraph"/>
    <w:basedOn w:val="Normal"/>
    <w:uiPriority w:val="34"/>
    <w:qFormat/>
    <w:rsid w:val="00110185"/>
    <w:pPr>
      <w:spacing w:after="200" w:line="276" w:lineRule="auto"/>
      <w:ind w:left="720"/>
      <w:contextualSpacing/>
    </w:pPr>
    <w:rPr>
      <w:rFonts w:ascii="Calibri" w:eastAsia="Calibri" w:hAnsi="Calibri" w:cs="Arial"/>
      <w:sz w:val="22"/>
      <w:szCs w:val="22"/>
      <w:lang w:eastAsia="en-US"/>
    </w:rPr>
  </w:style>
  <w:style w:type="paragraph" w:styleId="Sous-titre">
    <w:name w:val="Subtitle"/>
    <w:basedOn w:val="Normal"/>
    <w:next w:val="Normal"/>
    <w:link w:val="Sous-titreCar"/>
    <w:uiPriority w:val="11"/>
    <w:qFormat/>
    <w:rsid w:val="00110185"/>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110185"/>
    <w:rPr>
      <w:rFonts w:asciiTheme="majorHAnsi" w:eastAsiaTheme="majorEastAsia" w:hAnsiTheme="majorHAnsi" w:cstheme="majorBidi"/>
      <w:i/>
      <w:iCs/>
      <w:color w:val="4F81BD" w:themeColor="accent1"/>
      <w:spacing w:val="15"/>
      <w:sz w:val="24"/>
      <w:szCs w:val="24"/>
      <w:lang w:eastAsia="fr-FR"/>
    </w:rPr>
  </w:style>
  <w:style w:type="paragraph" w:styleId="Pieddepage">
    <w:name w:val="footer"/>
    <w:basedOn w:val="Normal"/>
    <w:link w:val="PieddepageCar"/>
    <w:uiPriority w:val="99"/>
    <w:unhideWhenUsed/>
    <w:rsid w:val="00110185"/>
    <w:pPr>
      <w:tabs>
        <w:tab w:val="center" w:pos="4536"/>
        <w:tab w:val="right" w:pos="9072"/>
      </w:tabs>
    </w:pPr>
  </w:style>
  <w:style w:type="character" w:customStyle="1" w:styleId="PieddepageCar">
    <w:name w:val="Pied de page Car"/>
    <w:basedOn w:val="Policepardfaut"/>
    <w:link w:val="Pieddepage"/>
    <w:uiPriority w:val="99"/>
    <w:rsid w:val="0011018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10185"/>
    <w:rPr>
      <w:rFonts w:ascii="Tahoma" w:hAnsi="Tahoma" w:cs="Tahoma"/>
      <w:sz w:val="16"/>
      <w:szCs w:val="16"/>
    </w:rPr>
  </w:style>
  <w:style w:type="character" w:customStyle="1" w:styleId="TextedebullesCar">
    <w:name w:val="Texte de bulles Car"/>
    <w:basedOn w:val="Policepardfaut"/>
    <w:link w:val="Textedebulles"/>
    <w:uiPriority w:val="99"/>
    <w:semiHidden/>
    <w:rsid w:val="00110185"/>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032DB2"/>
    <w:pPr>
      <w:tabs>
        <w:tab w:val="center" w:pos="4536"/>
        <w:tab w:val="right" w:pos="9072"/>
      </w:tabs>
    </w:pPr>
  </w:style>
  <w:style w:type="character" w:customStyle="1" w:styleId="En-tteCar">
    <w:name w:val="En-tête Car"/>
    <w:basedOn w:val="Policepardfaut"/>
    <w:link w:val="En-tte"/>
    <w:uiPriority w:val="99"/>
    <w:semiHidden/>
    <w:rsid w:val="00032DB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kelkachach\Downloads\2023%20-%20Note%20sur%20les%20chiffres%20cl&#233;s%20-%20Tabulation%20%231%20-DEE18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lkachach\Downloads\2023%20-%20Note%20sur%20les%20chiffres%20cl&#233;s%20-%20Tabulation%20%231%20-DEE18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esktop\notes\note%202023\2023%20-%20Note%20sur%20les%20chiffres%20cl&#233;s%20-%20Annexe%20-DEE1801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2023%20-%20Note%20sur%20l'emploi%20-%20Tabulation%20%231%20-DE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ownloads\2023%20-%20Note%20sur%20l'emploi%20-%20Tabulation%20%231%20-DE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aib\Desktop\Ann&#233;e%202024\R&#233;sultats%202023%20T4\2023%20-%20Note%20sur%20les%20chiffres%20cl&#233;s%20-%20Tabulation%20%231%20-DEE180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aib\Desktop\Ann&#233;e%202024\R&#233;sultats%202023%20T4\2023%20-%20Note%20sur%20les%20chiffres%20cl&#233;s%20-%20Tabulation%20%231%20-DEE18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Kamel\ENE\NoteMarcheTravail\2022\Annuelle\Graphique_Chomage_202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aib\Desktop\Ann&#233;e%202024\R&#233;sultats%202023%20T4\2023%20-%20Note%20sur%20les%20chiffres%20cl&#233;s%20-%20Tabulation%20%231%20-DEE18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Feuil1!$M$5</c:f>
              <c:strCache>
                <c:ptCount val="1"/>
                <c:pt idx="0">
                  <c:v>Urbain</c:v>
                </c:pt>
              </c:strCache>
            </c:strRef>
          </c:tx>
          <c:marker>
            <c:symbol val="none"/>
          </c:marker>
          <c:dLbls>
            <c:dLbl>
              <c:idx val="0"/>
              <c:layout>
                <c:manualLayout>
                  <c:x val="0"/>
                  <c:y val="2.9173019551091656E-2"/>
                </c:manualLayout>
              </c:layout>
              <c:dLblPos val="t"/>
              <c:showVal val="1"/>
              <c:extLst>
                <c:ext xmlns:c15="http://schemas.microsoft.com/office/drawing/2012/chart" uri="{CE6537A1-D6FC-4f65-9D91-7224C49458BB}"/>
              </c:extLst>
            </c:dLbl>
            <c:dLbl>
              <c:idx val="1"/>
              <c:layout>
                <c:manualLayout>
                  <c:x val="2.3081244344414103E-3"/>
                  <c:y val="5.1052784214411541E-2"/>
                </c:manualLayout>
              </c:layout>
              <c:dLblPos val="t"/>
              <c:showVal val="1"/>
              <c:extLst>
                <c:ext xmlns:c15="http://schemas.microsoft.com/office/drawing/2012/chart" uri="{CE6537A1-D6FC-4f65-9D91-7224C49458BB}"/>
              </c:extLst>
            </c:dLbl>
            <c:dLbl>
              <c:idx val="2"/>
              <c:layout>
                <c:manualLayout>
                  <c:x val="2.3081244344414498E-3"/>
                  <c:y val="4.3759529326637334E-2"/>
                </c:manualLayout>
              </c:layout>
              <c:dLblPos val="t"/>
              <c:showVal val="1"/>
              <c:extLst>
                <c:ext xmlns:c15="http://schemas.microsoft.com/office/drawing/2012/chart" uri="{CE6537A1-D6FC-4f65-9D91-7224C49458BB}"/>
              </c:extLst>
            </c:dLbl>
            <c:dLbl>
              <c:idx val="3"/>
              <c:layout>
                <c:manualLayout>
                  <c:x val="0"/>
                  <c:y val="5.1052784214411541E-2"/>
                </c:manualLayout>
              </c:layout>
              <c:dLblPos val="t"/>
              <c:showVal val="1"/>
              <c:extLst>
                <c:ext xmlns:c15="http://schemas.microsoft.com/office/drawing/2012/chart" uri="{CE6537A1-D6FC-4f65-9D91-7224C49458BB}"/>
              </c:extLst>
            </c:dLbl>
            <c:dLbl>
              <c:idx val="4"/>
              <c:layout>
                <c:manualLayout>
                  <c:x val="2.3081244344414103E-3"/>
                  <c:y val="3.6466274438865055E-2"/>
                </c:manualLayout>
              </c:layout>
              <c:dLblPos val="t"/>
              <c:showVal val="1"/>
              <c:extLst>
                <c:ext xmlns:c15="http://schemas.microsoft.com/office/drawing/2012/chart" uri="{CE6537A1-D6FC-4f65-9D91-7224C49458BB}"/>
              </c:extLst>
            </c:dLbl>
            <c:dLbl>
              <c:idx val="5"/>
              <c:layout>
                <c:manualLayout>
                  <c:x val="4.6162488688827113E-3"/>
                  <c:y val="5.1052784214411541E-2"/>
                </c:manualLayout>
              </c:layout>
              <c:dLblPos val="t"/>
              <c:showVal val="1"/>
              <c:extLst>
                <c:ext xmlns:c15="http://schemas.microsoft.com/office/drawing/2012/chart" uri="{CE6537A1-D6FC-4f65-9D91-7224C49458BB}"/>
              </c:extLst>
            </c:dLbl>
            <c:dLbl>
              <c:idx val="6"/>
              <c:layout>
                <c:manualLayout>
                  <c:x val="0"/>
                  <c:y val="5.1052784214411541E-2"/>
                </c:manualLayout>
              </c:layout>
              <c:dLblPos val="t"/>
              <c:showVal val="1"/>
              <c:extLst>
                <c:ext xmlns:c15="http://schemas.microsoft.com/office/drawing/2012/chart" uri="{CE6537A1-D6FC-4f65-9D91-7224C49458BB}"/>
              </c:extLst>
            </c:dLbl>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Feuil1!$N$4:$T$4</c:f>
              <c:numCache>
                <c:formatCode>General</c:formatCode>
                <c:ptCount val="7"/>
                <c:pt idx="0">
                  <c:v>2017</c:v>
                </c:pt>
                <c:pt idx="1">
                  <c:v>2018</c:v>
                </c:pt>
                <c:pt idx="2">
                  <c:v>2019</c:v>
                </c:pt>
                <c:pt idx="3">
                  <c:v>2020</c:v>
                </c:pt>
                <c:pt idx="4">
                  <c:v>2021</c:v>
                </c:pt>
                <c:pt idx="5">
                  <c:v>2022</c:v>
                </c:pt>
                <c:pt idx="6">
                  <c:v>2023</c:v>
                </c:pt>
              </c:numCache>
            </c:numRef>
          </c:cat>
          <c:val>
            <c:numRef>
              <c:f>Feuil1!$N$5:$T$5</c:f>
              <c:numCache>
                <c:formatCode>General</c:formatCode>
                <c:ptCount val="7"/>
                <c:pt idx="0">
                  <c:v>42.4</c:v>
                </c:pt>
                <c:pt idx="1">
                  <c:v>42</c:v>
                </c:pt>
                <c:pt idx="2">
                  <c:v>42.3</c:v>
                </c:pt>
                <c:pt idx="3">
                  <c:v>41.9</c:v>
                </c:pt>
                <c:pt idx="4">
                  <c:v>42.3</c:v>
                </c:pt>
                <c:pt idx="5">
                  <c:v>41.9</c:v>
                </c:pt>
                <c:pt idx="6">
                  <c:v>41.8</c:v>
                </c:pt>
              </c:numCache>
            </c:numRef>
          </c:val>
        </c:ser>
        <c:ser>
          <c:idx val="1"/>
          <c:order val="1"/>
          <c:tx>
            <c:strRef>
              <c:f>Feuil1!$M$6</c:f>
              <c:strCache>
                <c:ptCount val="1"/>
                <c:pt idx="0">
                  <c:v>Rural</c:v>
                </c:pt>
              </c:strCache>
            </c:strRef>
          </c:tx>
          <c:marker>
            <c:symbol val="none"/>
          </c:marker>
          <c:dLbls>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Feuil1!$N$4:$T$4</c:f>
              <c:numCache>
                <c:formatCode>General</c:formatCode>
                <c:ptCount val="7"/>
                <c:pt idx="0">
                  <c:v>2017</c:v>
                </c:pt>
                <c:pt idx="1">
                  <c:v>2018</c:v>
                </c:pt>
                <c:pt idx="2">
                  <c:v>2019</c:v>
                </c:pt>
                <c:pt idx="3">
                  <c:v>2020</c:v>
                </c:pt>
                <c:pt idx="4">
                  <c:v>2021</c:v>
                </c:pt>
                <c:pt idx="5">
                  <c:v>2022</c:v>
                </c:pt>
                <c:pt idx="6">
                  <c:v>2023</c:v>
                </c:pt>
              </c:numCache>
            </c:numRef>
          </c:cat>
          <c:val>
            <c:numRef>
              <c:f>Feuil1!$N$6:$T$6</c:f>
              <c:numCache>
                <c:formatCode>General</c:formatCode>
                <c:ptCount val="7"/>
                <c:pt idx="0">
                  <c:v>54.1</c:v>
                </c:pt>
                <c:pt idx="1">
                  <c:v>53.2</c:v>
                </c:pt>
                <c:pt idx="2">
                  <c:v>52.2</c:v>
                </c:pt>
                <c:pt idx="3">
                  <c:v>50</c:v>
                </c:pt>
                <c:pt idx="4">
                  <c:v>50.9</c:v>
                </c:pt>
                <c:pt idx="5">
                  <c:v>49.1</c:v>
                </c:pt>
                <c:pt idx="6">
                  <c:v>47.3</c:v>
                </c:pt>
              </c:numCache>
            </c:numRef>
          </c:val>
        </c:ser>
        <c:ser>
          <c:idx val="2"/>
          <c:order val="2"/>
          <c:tx>
            <c:strRef>
              <c:f>Feuil1!$M$7</c:f>
              <c:strCache>
                <c:ptCount val="1"/>
                <c:pt idx="0">
                  <c:v>Ensemble</c:v>
                </c:pt>
              </c:strCache>
            </c:strRef>
          </c:tx>
          <c:marker>
            <c:symbol val="none"/>
          </c:marker>
          <c:dLbls>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Feuil1!$N$4:$T$4</c:f>
              <c:numCache>
                <c:formatCode>General</c:formatCode>
                <c:ptCount val="7"/>
                <c:pt idx="0">
                  <c:v>2017</c:v>
                </c:pt>
                <c:pt idx="1">
                  <c:v>2018</c:v>
                </c:pt>
                <c:pt idx="2">
                  <c:v>2019</c:v>
                </c:pt>
                <c:pt idx="3">
                  <c:v>2020</c:v>
                </c:pt>
                <c:pt idx="4">
                  <c:v>2021</c:v>
                </c:pt>
                <c:pt idx="5">
                  <c:v>2022</c:v>
                </c:pt>
                <c:pt idx="6">
                  <c:v>2023</c:v>
                </c:pt>
              </c:numCache>
            </c:numRef>
          </c:cat>
          <c:val>
            <c:numRef>
              <c:f>Feuil1!$N$7:$T$7</c:f>
              <c:numCache>
                <c:formatCode>General</c:formatCode>
                <c:ptCount val="7"/>
                <c:pt idx="0">
                  <c:v>46.7</c:v>
                </c:pt>
                <c:pt idx="1">
                  <c:v>46</c:v>
                </c:pt>
                <c:pt idx="2">
                  <c:v>45.8</c:v>
                </c:pt>
                <c:pt idx="3">
                  <c:v>44.8</c:v>
                </c:pt>
                <c:pt idx="4">
                  <c:v>45.3</c:v>
                </c:pt>
                <c:pt idx="5">
                  <c:v>44.3</c:v>
                </c:pt>
                <c:pt idx="6">
                  <c:v>43.6</c:v>
                </c:pt>
              </c:numCache>
            </c:numRef>
          </c:val>
        </c:ser>
        <c:dLbls>
          <c:showVal val="1"/>
        </c:dLbls>
        <c:marker val="1"/>
        <c:axId val="96584448"/>
        <c:axId val="96585984"/>
      </c:lineChart>
      <c:catAx>
        <c:axId val="96584448"/>
        <c:scaling>
          <c:orientation val="minMax"/>
        </c:scaling>
        <c:axPos val="b"/>
        <c:numFmt formatCode="General" sourceLinked="1"/>
        <c:tickLblPos val="nextTo"/>
        <c:txPr>
          <a:bodyPr/>
          <a:lstStyle/>
          <a:p>
            <a:pPr>
              <a:defRPr b="1"/>
            </a:pPr>
            <a:endParaRPr lang="fr-FR"/>
          </a:p>
        </c:txPr>
        <c:crossAx val="96585984"/>
        <c:crosses val="autoZero"/>
        <c:auto val="1"/>
        <c:lblAlgn val="ctr"/>
        <c:lblOffset val="100"/>
      </c:catAx>
      <c:valAx>
        <c:axId val="96585984"/>
        <c:scaling>
          <c:orientation val="minMax"/>
          <c:min val="40"/>
        </c:scaling>
        <c:delete val="1"/>
        <c:axPos val="l"/>
        <c:numFmt formatCode="General" sourceLinked="1"/>
        <c:tickLblPos val="none"/>
        <c:crossAx val="96584448"/>
        <c:crosses val="autoZero"/>
        <c:crossBetween val="between"/>
      </c:valAx>
      <c:spPr>
        <a:noFill/>
        <a:ln>
          <a:noFill/>
        </a:ln>
      </c:spPr>
    </c:plotArea>
    <c:legend>
      <c:legendPos val="b"/>
    </c:legend>
    <c:plotVisOnly val="1"/>
    <c:dispBlanksAs val="gap"/>
  </c:chart>
  <c:spPr>
    <a:noFill/>
    <a:ln>
      <a:noFill/>
    </a:ln>
  </c:spPr>
  <c:txPr>
    <a:bodyPr/>
    <a:lstStyle/>
    <a:p>
      <a:pPr>
        <a:defRPr sz="900"/>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Feuil1!$M$11</c:f>
              <c:strCache>
                <c:ptCount val="1"/>
                <c:pt idx="0">
                  <c:v>Urbain</c:v>
                </c:pt>
              </c:strCache>
            </c:strRef>
          </c:tx>
          <c:marker>
            <c:symbol val="none"/>
          </c:marker>
          <c:dLbls>
            <c:dLbl>
              <c:idx val="0"/>
              <c:layout>
                <c:manualLayout>
                  <c:x val="0"/>
                  <c:y val="1.7276427833277489E-2"/>
                </c:manualLayout>
              </c:layout>
              <c:dLblPos val="t"/>
              <c:showVal val="1"/>
              <c:extLst>
                <c:ext xmlns:c15="http://schemas.microsoft.com/office/drawing/2012/chart" uri="{CE6537A1-D6FC-4f65-9D91-7224C49458BB}"/>
              </c:extLst>
            </c:dLbl>
            <c:dLbl>
              <c:idx val="1"/>
              <c:layout>
                <c:manualLayout>
                  <c:x val="0"/>
                  <c:y val="2.3035237111036812E-2"/>
                </c:manualLayout>
              </c:layout>
              <c:dLblPos val="t"/>
              <c:showVal val="1"/>
              <c:extLst>
                <c:ext xmlns:c15="http://schemas.microsoft.com/office/drawing/2012/chart" uri="{CE6537A1-D6FC-4f65-9D91-7224C49458BB}"/>
              </c:extLst>
            </c:dLbl>
            <c:dLbl>
              <c:idx val="2"/>
              <c:layout>
                <c:manualLayout>
                  <c:x val="0"/>
                  <c:y val="4.0311664944316178E-2"/>
                </c:manualLayout>
              </c:layout>
              <c:dLblPos val="t"/>
              <c:showVal val="1"/>
              <c:extLst>
                <c:ext xmlns:c15="http://schemas.microsoft.com/office/drawing/2012/chart" uri="{CE6537A1-D6FC-4f65-9D91-7224C49458BB}"/>
              </c:extLst>
            </c:dLbl>
            <c:dLbl>
              <c:idx val="3"/>
              <c:layout>
                <c:manualLayout>
                  <c:x val="0"/>
                  <c:y val="2.3035237111036812E-2"/>
                </c:manualLayout>
              </c:layout>
              <c:dLblPos val="t"/>
              <c:showVal val="1"/>
              <c:extLst>
                <c:ext xmlns:c15="http://schemas.microsoft.com/office/drawing/2012/chart" uri="{CE6537A1-D6FC-4f65-9D91-7224C49458BB}"/>
              </c:extLst>
            </c:dLbl>
            <c:dLbl>
              <c:idx val="4"/>
              <c:layout>
                <c:manualLayout>
                  <c:x val="-8.3110138799900169E-17"/>
                  <c:y val="4.0311664944316178E-2"/>
                </c:manualLayout>
              </c:layout>
              <c:dLblPos val="t"/>
              <c:showVal val="1"/>
              <c:extLst>
                <c:ext xmlns:c15="http://schemas.microsoft.com/office/drawing/2012/chart" uri="{CE6537A1-D6FC-4f65-9D91-7224C49458BB}"/>
              </c:extLst>
            </c:dLbl>
            <c:dLbl>
              <c:idx val="5"/>
              <c:layout>
                <c:manualLayout>
                  <c:x val="0"/>
                  <c:y val="2.8794046388795798E-2"/>
                </c:manualLayout>
              </c:layout>
              <c:dLblPos val="t"/>
              <c:showVal val="1"/>
              <c:extLst>
                <c:ext xmlns:c15="http://schemas.microsoft.com/office/drawing/2012/chart" uri="{CE6537A1-D6FC-4f65-9D91-7224C49458BB}"/>
              </c:extLst>
            </c:dLbl>
            <c:dLbl>
              <c:idx val="6"/>
              <c:layout>
                <c:manualLayout>
                  <c:x val="0"/>
                  <c:y val="4.0311664944316178E-2"/>
                </c:manualLayout>
              </c:layout>
              <c:dLblPos val="t"/>
              <c:showVal val="1"/>
              <c:extLst>
                <c:ext xmlns:c15="http://schemas.microsoft.com/office/drawing/2012/chart" uri="{CE6537A1-D6FC-4f65-9D91-7224C49458BB}"/>
              </c:extLst>
            </c:dLbl>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Feuil1!$N$10:$T$10</c:f>
              <c:numCache>
                <c:formatCode>General</c:formatCode>
                <c:ptCount val="7"/>
                <c:pt idx="0">
                  <c:v>2017</c:v>
                </c:pt>
                <c:pt idx="1">
                  <c:v>2018</c:v>
                </c:pt>
                <c:pt idx="2">
                  <c:v>2019</c:v>
                </c:pt>
                <c:pt idx="3">
                  <c:v>2020</c:v>
                </c:pt>
                <c:pt idx="4">
                  <c:v>2021</c:v>
                </c:pt>
                <c:pt idx="5">
                  <c:v>2022</c:v>
                </c:pt>
                <c:pt idx="6">
                  <c:v>2023</c:v>
                </c:pt>
              </c:numCache>
            </c:numRef>
          </c:cat>
          <c:val>
            <c:numRef>
              <c:f>Feuil1!$N$11:$T$11</c:f>
              <c:numCache>
                <c:formatCode>General</c:formatCode>
                <c:ptCount val="7"/>
                <c:pt idx="0">
                  <c:v>36.1</c:v>
                </c:pt>
                <c:pt idx="1">
                  <c:v>36.200000000000003</c:v>
                </c:pt>
                <c:pt idx="2">
                  <c:v>36.9</c:v>
                </c:pt>
                <c:pt idx="3">
                  <c:v>35.300000000000004</c:v>
                </c:pt>
                <c:pt idx="4">
                  <c:v>35.1</c:v>
                </c:pt>
                <c:pt idx="5">
                  <c:v>35.300000000000004</c:v>
                </c:pt>
                <c:pt idx="6">
                  <c:v>34.800000000000004</c:v>
                </c:pt>
              </c:numCache>
            </c:numRef>
          </c:val>
        </c:ser>
        <c:ser>
          <c:idx val="1"/>
          <c:order val="1"/>
          <c:tx>
            <c:strRef>
              <c:f>Feuil1!$M$12</c:f>
              <c:strCache>
                <c:ptCount val="1"/>
                <c:pt idx="0">
                  <c:v>Rural</c:v>
                </c:pt>
              </c:strCache>
            </c:strRef>
          </c:tx>
          <c:marker>
            <c:symbol val="none"/>
          </c:marker>
          <c:dLbls>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Feuil1!$N$10:$T$10</c:f>
              <c:numCache>
                <c:formatCode>General</c:formatCode>
                <c:ptCount val="7"/>
                <c:pt idx="0">
                  <c:v>2017</c:v>
                </c:pt>
                <c:pt idx="1">
                  <c:v>2018</c:v>
                </c:pt>
                <c:pt idx="2">
                  <c:v>2019</c:v>
                </c:pt>
                <c:pt idx="3">
                  <c:v>2020</c:v>
                </c:pt>
                <c:pt idx="4">
                  <c:v>2021</c:v>
                </c:pt>
                <c:pt idx="5">
                  <c:v>2022</c:v>
                </c:pt>
                <c:pt idx="6">
                  <c:v>2023</c:v>
                </c:pt>
              </c:numCache>
            </c:numRef>
          </c:cat>
          <c:val>
            <c:numRef>
              <c:f>Feuil1!$N$12:$T$12</c:f>
              <c:numCache>
                <c:formatCode>General</c:formatCode>
                <c:ptCount val="7"/>
                <c:pt idx="0">
                  <c:v>52</c:v>
                </c:pt>
                <c:pt idx="1">
                  <c:v>51.3</c:v>
                </c:pt>
                <c:pt idx="2">
                  <c:v>50.3</c:v>
                </c:pt>
                <c:pt idx="3">
                  <c:v>47</c:v>
                </c:pt>
                <c:pt idx="4">
                  <c:v>48.4</c:v>
                </c:pt>
                <c:pt idx="5">
                  <c:v>46.5</c:v>
                </c:pt>
                <c:pt idx="6">
                  <c:v>44.3</c:v>
                </c:pt>
              </c:numCache>
            </c:numRef>
          </c:val>
        </c:ser>
        <c:ser>
          <c:idx val="2"/>
          <c:order val="2"/>
          <c:tx>
            <c:strRef>
              <c:f>Feuil1!$M$13</c:f>
              <c:strCache>
                <c:ptCount val="1"/>
                <c:pt idx="0">
                  <c:v>Ensemble</c:v>
                </c:pt>
              </c:strCache>
            </c:strRef>
          </c:tx>
          <c:marker>
            <c:symbol val="none"/>
          </c:marker>
          <c:dLbls>
            <c:spPr>
              <a:noFill/>
              <a:ln>
                <a:noFill/>
              </a:ln>
              <a:effectLst/>
            </c:spPr>
            <c:txPr>
              <a:bodyPr/>
              <a:lstStyle/>
              <a:p>
                <a:pPr>
                  <a:defRPr sz="800" b="1"/>
                </a:pPr>
                <a:endParaRPr lang="fr-FR"/>
              </a:p>
            </c:txPr>
            <c:dLblPos val="t"/>
            <c:showVal val="1"/>
            <c:extLst>
              <c:ext xmlns:c15="http://schemas.microsoft.com/office/drawing/2012/chart" uri="{CE6537A1-D6FC-4f65-9D91-7224C49458BB}">
                <c15:showLeaderLines val="0"/>
              </c:ext>
            </c:extLst>
          </c:dLbls>
          <c:cat>
            <c:numRef>
              <c:f>Feuil1!$N$10:$T$10</c:f>
              <c:numCache>
                <c:formatCode>General</c:formatCode>
                <c:ptCount val="7"/>
                <c:pt idx="0">
                  <c:v>2017</c:v>
                </c:pt>
                <c:pt idx="1">
                  <c:v>2018</c:v>
                </c:pt>
                <c:pt idx="2">
                  <c:v>2019</c:v>
                </c:pt>
                <c:pt idx="3">
                  <c:v>2020</c:v>
                </c:pt>
                <c:pt idx="4">
                  <c:v>2021</c:v>
                </c:pt>
                <c:pt idx="5">
                  <c:v>2022</c:v>
                </c:pt>
                <c:pt idx="6">
                  <c:v>2023</c:v>
                </c:pt>
              </c:numCache>
            </c:numRef>
          </c:cat>
          <c:val>
            <c:numRef>
              <c:f>Feuil1!$N$13:$T$13</c:f>
              <c:numCache>
                <c:formatCode>General</c:formatCode>
                <c:ptCount val="7"/>
                <c:pt idx="0">
                  <c:v>41.4</c:v>
                </c:pt>
                <c:pt idx="1">
                  <c:v>41.7</c:v>
                </c:pt>
                <c:pt idx="2">
                  <c:v>41.6</c:v>
                </c:pt>
                <c:pt idx="3">
                  <c:v>39.4</c:v>
                </c:pt>
                <c:pt idx="4">
                  <c:v>39.700000000000003</c:v>
                </c:pt>
                <c:pt idx="5">
                  <c:v>39.1</c:v>
                </c:pt>
                <c:pt idx="6">
                  <c:v>38</c:v>
                </c:pt>
              </c:numCache>
            </c:numRef>
          </c:val>
        </c:ser>
        <c:dLbls>
          <c:showVal val="1"/>
        </c:dLbls>
        <c:marker val="1"/>
        <c:axId val="98218368"/>
        <c:axId val="98219904"/>
      </c:lineChart>
      <c:catAx>
        <c:axId val="98218368"/>
        <c:scaling>
          <c:orientation val="minMax"/>
        </c:scaling>
        <c:axPos val="b"/>
        <c:numFmt formatCode="General" sourceLinked="1"/>
        <c:tickLblPos val="nextTo"/>
        <c:txPr>
          <a:bodyPr/>
          <a:lstStyle/>
          <a:p>
            <a:pPr>
              <a:defRPr b="1"/>
            </a:pPr>
            <a:endParaRPr lang="fr-FR"/>
          </a:p>
        </c:txPr>
        <c:crossAx val="98219904"/>
        <c:crosses val="autoZero"/>
        <c:auto val="1"/>
        <c:lblAlgn val="ctr"/>
        <c:lblOffset val="100"/>
      </c:catAx>
      <c:valAx>
        <c:axId val="98219904"/>
        <c:scaling>
          <c:orientation val="minMax"/>
          <c:min val="30"/>
        </c:scaling>
        <c:delete val="1"/>
        <c:axPos val="l"/>
        <c:numFmt formatCode="General" sourceLinked="1"/>
        <c:tickLblPos val="none"/>
        <c:crossAx val="98218368"/>
        <c:crosses val="autoZero"/>
        <c:crossBetween val="between"/>
      </c:valAx>
      <c:spPr>
        <a:noFill/>
        <a:ln>
          <a:noFill/>
        </a:ln>
      </c:spPr>
    </c:plotArea>
    <c:legend>
      <c:legendPos val="b"/>
      <c:txPr>
        <a:bodyPr/>
        <a:lstStyle/>
        <a:p>
          <a:pPr>
            <a:defRPr b="1"/>
          </a:pPr>
          <a:endParaRPr lang="fr-FR"/>
        </a:p>
      </c:txPr>
    </c:legend>
    <c:plotVisOnly val="1"/>
    <c:dispBlanksAs val="gap"/>
  </c:chart>
  <c:spPr>
    <a:noFill/>
    <a:ln>
      <a:noFill/>
    </a:ln>
  </c:spPr>
  <c:txPr>
    <a:bodyPr/>
    <a:lstStyle/>
    <a:p>
      <a:pPr>
        <a:defRPr sz="900"/>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doughnutChart>
        <c:varyColors val="1"/>
        <c:ser>
          <c:idx val="0"/>
          <c:order val="0"/>
          <c:explosion val="25"/>
          <c:dLbls>
            <c:dLbl>
              <c:idx val="0"/>
              <c:tx>
                <c:rich>
                  <a:bodyPr/>
                  <a:lstStyle/>
                  <a:p>
                    <a:r>
                      <a:rPr lang="en-US"/>
                      <a:t>27,8</a:t>
                    </a:r>
                  </a:p>
                </c:rich>
              </c:tx>
              <c:showVal val="1"/>
              <c:extLst>
                <c:ext xmlns:c15="http://schemas.microsoft.com/office/drawing/2012/chart" uri="{CE6537A1-D6FC-4f65-9D91-7224C49458BB}"/>
              </c:extLst>
            </c:dLbl>
            <c:dLbl>
              <c:idx val="1"/>
              <c:tx>
                <c:rich>
                  <a:bodyPr/>
                  <a:lstStyle/>
                  <a:p>
                    <a:r>
                      <a:rPr lang="en-US"/>
                      <a:t>12,2</a:t>
                    </a:r>
                  </a:p>
                </c:rich>
              </c:tx>
              <c:showVal val="1"/>
              <c:extLst>
                <c:ext xmlns:c15="http://schemas.microsoft.com/office/drawing/2012/chart" uri="{CE6537A1-D6FC-4f65-9D91-7224C49458BB}"/>
              </c:extLst>
            </c:dLbl>
            <c:dLbl>
              <c:idx val="2"/>
              <c:tx>
                <c:rich>
                  <a:bodyPr/>
                  <a:lstStyle/>
                  <a:p>
                    <a:r>
                      <a:rPr lang="en-US"/>
                      <a:t>11,6</a:t>
                    </a:r>
                  </a:p>
                </c:rich>
              </c:tx>
              <c:showVal val="1"/>
              <c:extLst>
                <c:ext xmlns:c15="http://schemas.microsoft.com/office/drawing/2012/chart" uri="{CE6537A1-D6FC-4f65-9D91-7224C49458BB}"/>
              </c:extLst>
            </c:dLbl>
            <c:dLbl>
              <c:idx val="3"/>
              <c:tx>
                <c:rich>
                  <a:bodyPr/>
                  <a:lstStyle/>
                  <a:p>
                    <a:r>
                      <a:rPr lang="en-US"/>
                      <a:t>48,3</a:t>
                    </a:r>
                  </a:p>
                </c:rich>
              </c:tx>
              <c:showVal val="1"/>
              <c:extLst>
                <c:ext xmlns:c15="http://schemas.microsoft.com/office/drawing/2012/chart" uri="{CE6537A1-D6FC-4f65-9D91-7224C49458BB}"/>
              </c:extLst>
            </c:dLbl>
            <c:spPr>
              <a:noFill/>
              <a:ln>
                <a:noFill/>
              </a:ln>
              <a:effectLst/>
            </c:spPr>
            <c:showVal val="1"/>
            <c:showLeaderLines val="1"/>
            <c:extLst>
              <c:ext xmlns:c15="http://schemas.microsoft.com/office/drawing/2012/chart" uri="{CE6537A1-D6FC-4f65-9D91-7224C49458BB}"/>
            </c:extLst>
          </c:dLbls>
          <c:cat>
            <c:strRef>
              <c:f>Feuil1!$A$6:$A$9</c:f>
              <c:strCache>
                <c:ptCount val="4"/>
                <c:pt idx="0">
                  <c:v>Agriculture, forêt et pêche</c:v>
                </c:pt>
                <c:pt idx="1">
                  <c:v>Industrie (y compris artisanat)</c:v>
                </c:pt>
                <c:pt idx="2">
                  <c:v>BTP</c:v>
                </c:pt>
                <c:pt idx="3">
                  <c:v>Services</c:v>
                </c:pt>
              </c:strCache>
            </c:strRef>
          </c:cat>
          <c:val>
            <c:numRef>
              <c:f>Feuil1!$B$6:$B$9</c:f>
              <c:numCache>
                <c:formatCode>0.0</c:formatCode>
                <c:ptCount val="4"/>
                <c:pt idx="0">
                  <c:v>27.828030216795689</c:v>
                </c:pt>
                <c:pt idx="1">
                  <c:v>12.237543088300905</c:v>
                </c:pt>
                <c:pt idx="2">
                  <c:v>11.590853883874267</c:v>
                </c:pt>
                <c:pt idx="3">
                  <c:v>48.284377882572691</c:v>
                </c:pt>
              </c:numCache>
            </c:numRef>
          </c:val>
        </c:ser>
        <c:firstSliceAng val="0"/>
        <c:holeSize val="50"/>
      </c:doughnutChart>
    </c:plotArea>
    <c:legend>
      <c:legendPos val="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percentStacked"/>
        <c:ser>
          <c:idx val="0"/>
          <c:order val="0"/>
          <c:tx>
            <c:strRef>
              <c:f>Feuil1!$A$21</c:f>
              <c:strCache>
                <c:ptCount val="1"/>
                <c:pt idx="0">
                  <c:v>Niveau supérieur</c:v>
                </c:pt>
              </c:strCache>
            </c:strRef>
          </c:tx>
          <c:spPr>
            <a:solidFill>
              <a:schemeClr val="accent2">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Feuil1!$B$18:$C$18</c:f>
              <c:strCache>
                <c:ptCount val="2"/>
                <c:pt idx="0">
                  <c:v>Population en âge de travailler</c:v>
                </c:pt>
                <c:pt idx="1">
                  <c:v>Population active occupée</c:v>
                </c:pt>
              </c:strCache>
            </c:strRef>
          </c:cat>
          <c:val>
            <c:numRef>
              <c:f>Feuil1!$B$21:$C$21</c:f>
              <c:numCache>
                <c:formatCode>0.0</c:formatCode>
                <c:ptCount val="2"/>
                <c:pt idx="0">
                  <c:v>16.388092299732502</c:v>
                </c:pt>
                <c:pt idx="1">
                  <c:v>18.110437688116239</c:v>
                </c:pt>
              </c:numCache>
            </c:numRef>
          </c:val>
        </c:ser>
        <c:ser>
          <c:idx val="1"/>
          <c:order val="1"/>
          <c:tx>
            <c:strRef>
              <c:f>Feuil1!$A$20</c:f>
              <c:strCache>
                <c:ptCount val="1"/>
                <c:pt idx="0">
                  <c:v>Niveau moyen</c:v>
                </c:pt>
              </c:strCache>
            </c:strRef>
          </c:tx>
          <c:spPr>
            <a:solidFill>
              <a:schemeClr val="accent6">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Feuil1!$B$18:$C$18</c:f>
              <c:strCache>
                <c:ptCount val="2"/>
                <c:pt idx="0">
                  <c:v>Population en âge de travailler</c:v>
                </c:pt>
                <c:pt idx="1">
                  <c:v>Population active occupée</c:v>
                </c:pt>
              </c:strCache>
            </c:strRef>
          </c:cat>
          <c:val>
            <c:numRef>
              <c:f>Feuil1!$B$20:$C$20</c:f>
              <c:numCache>
                <c:formatCode>0.0</c:formatCode>
                <c:ptCount val="2"/>
                <c:pt idx="0">
                  <c:v>34.950587104603073</c:v>
                </c:pt>
                <c:pt idx="1">
                  <c:v>32.024460779367928</c:v>
                </c:pt>
              </c:numCache>
            </c:numRef>
          </c:val>
        </c:ser>
        <c:ser>
          <c:idx val="2"/>
          <c:order val="2"/>
          <c:tx>
            <c:strRef>
              <c:f>Feuil1!$A$19</c:f>
              <c:strCache>
                <c:ptCount val="1"/>
                <c:pt idx="0">
                  <c:v>Sans diplôme</c:v>
                </c:pt>
              </c:strCache>
            </c:strRef>
          </c:tx>
          <c:spPr>
            <a:solidFill>
              <a:schemeClr val="bg1">
                <a:lumMod val="65000"/>
              </a:schemeClr>
            </a:solidFill>
          </c:spPr>
          <c:dLbls>
            <c:spPr>
              <a:noFill/>
              <a:ln>
                <a:noFill/>
              </a:ln>
              <a:effectLst/>
            </c:spPr>
            <c:showVal val="1"/>
            <c:extLst>
              <c:ext xmlns:c15="http://schemas.microsoft.com/office/drawing/2012/chart" uri="{CE6537A1-D6FC-4f65-9D91-7224C49458BB}">
                <c15:showLeaderLines val="0"/>
              </c:ext>
            </c:extLst>
          </c:dLbls>
          <c:cat>
            <c:strRef>
              <c:f>Feuil1!$B$18:$C$18</c:f>
              <c:strCache>
                <c:ptCount val="2"/>
                <c:pt idx="0">
                  <c:v>Population en âge de travailler</c:v>
                </c:pt>
                <c:pt idx="1">
                  <c:v>Population active occupée</c:v>
                </c:pt>
              </c:strCache>
            </c:strRef>
          </c:cat>
          <c:val>
            <c:numRef>
              <c:f>Feuil1!$B$19:$C$19</c:f>
              <c:numCache>
                <c:formatCode>0.0</c:formatCode>
                <c:ptCount val="2"/>
                <c:pt idx="0">
                  <c:v>48.618131490094221</c:v>
                </c:pt>
                <c:pt idx="1">
                  <c:v>49.865101532511268</c:v>
                </c:pt>
              </c:numCache>
            </c:numRef>
          </c:val>
        </c:ser>
        <c:overlap val="100"/>
        <c:axId val="98288384"/>
        <c:axId val="98289920"/>
      </c:barChart>
      <c:catAx>
        <c:axId val="98288384"/>
        <c:scaling>
          <c:orientation val="minMax"/>
        </c:scaling>
        <c:axPos val="b"/>
        <c:numFmt formatCode="General" sourceLinked="0"/>
        <c:tickLblPos val="nextTo"/>
        <c:crossAx val="98289920"/>
        <c:crosses val="autoZero"/>
        <c:auto val="1"/>
        <c:lblAlgn val="ctr"/>
        <c:lblOffset val="100"/>
      </c:catAx>
      <c:valAx>
        <c:axId val="98289920"/>
        <c:scaling>
          <c:orientation val="minMax"/>
        </c:scaling>
        <c:delete val="1"/>
        <c:axPos val="l"/>
        <c:numFmt formatCode="0%" sourceLinked="1"/>
        <c:tickLblPos val="none"/>
        <c:crossAx val="98288384"/>
        <c:crosses val="autoZero"/>
        <c:crossBetween val="between"/>
      </c:valAx>
    </c:plotArea>
    <c:legend>
      <c:legendPos val="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Feuil2!$A$10</c:f>
              <c:strCache>
                <c:ptCount val="1"/>
                <c:pt idx="0">
                  <c:v>CDI</c:v>
                </c:pt>
              </c:strCache>
            </c:strRef>
          </c:tx>
          <c:spPr>
            <a:solidFill>
              <a:schemeClr val="accent6">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Feuil2!$B$9:$E$9</c:f>
              <c:strCache>
                <c:ptCount val="4"/>
                <c:pt idx="0">
                  <c:v>Niveau supérieur</c:v>
                </c:pt>
                <c:pt idx="1">
                  <c:v>Niveau moyen</c:v>
                </c:pt>
                <c:pt idx="2">
                  <c:v>Sans diplôme</c:v>
                </c:pt>
                <c:pt idx="3">
                  <c:v>Total</c:v>
                </c:pt>
              </c:strCache>
            </c:strRef>
          </c:cat>
          <c:val>
            <c:numRef>
              <c:f>Feuil2!$B$10:$E$10</c:f>
              <c:numCache>
                <c:formatCode>0.0</c:formatCode>
                <c:ptCount val="4"/>
                <c:pt idx="0">
                  <c:v>59.277090984925948</c:v>
                </c:pt>
                <c:pt idx="1">
                  <c:v>21.670411541686864</c:v>
                </c:pt>
                <c:pt idx="2">
                  <c:v>10.822506672045842</c:v>
                </c:pt>
                <c:pt idx="3">
                  <c:v>26.661611241241189</c:v>
                </c:pt>
              </c:numCache>
            </c:numRef>
          </c:val>
        </c:ser>
        <c:ser>
          <c:idx val="1"/>
          <c:order val="1"/>
          <c:tx>
            <c:strRef>
              <c:f>Feuil2!$A$11</c:f>
              <c:strCache>
                <c:ptCount val="1"/>
                <c:pt idx="0">
                  <c:v>CDD</c:v>
                </c:pt>
              </c:strCache>
            </c:strRef>
          </c:tx>
          <c:spPr>
            <a:solidFill>
              <a:schemeClr val="accent2">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Feuil2!$B$9:$E$9</c:f>
              <c:strCache>
                <c:ptCount val="4"/>
                <c:pt idx="0">
                  <c:v>Niveau supérieur</c:v>
                </c:pt>
                <c:pt idx="1">
                  <c:v>Niveau moyen</c:v>
                </c:pt>
                <c:pt idx="2">
                  <c:v>Sans diplôme</c:v>
                </c:pt>
                <c:pt idx="3">
                  <c:v>Total</c:v>
                </c:pt>
              </c:strCache>
            </c:strRef>
          </c:cat>
          <c:val>
            <c:numRef>
              <c:f>Feuil2!$B$11:$E$11</c:f>
              <c:numCache>
                <c:formatCode>0.0</c:formatCode>
                <c:ptCount val="4"/>
                <c:pt idx="0">
                  <c:v>22.247078467005391</c:v>
                </c:pt>
                <c:pt idx="1">
                  <c:v>15.171359568309336</c:v>
                </c:pt>
                <c:pt idx="2">
                  <c:v>10.171065706589085</c:v>
                </c:pt>
                <c:pt idx="3">
                  <c:v>14.902701452310716</c:v>
                </c:pt>
              </c:numCache>
            </c:numRef>
          </c:val>
        </c:ser>
        <c:ser>
          <c:idx val="2"/>
          <c:order val="2"/>
          <c:tx>
            <c:strRef>
              <c:f>Feuil2!$A$12</c:f>
              <c:strCache>
                <c:ptCount val="1"/>
                <c:pt idx="0">
                  <c:v>Contrat verbal</c:v>
                </c:pt>
              </c:strCache>
            </c:strRef>
          </c:tx>
          <c:spPr>
            <a:solidFill>
              <a:schemeClr val="accent2">
                <a:lumMod val="75000"/>
              </a:schemeClr>
            </a:solidFill>
          </c:spPr>
          <c:dLbls>
            <c:spPr>
              <a:noFill/>
              <a:ln>
                <a:noFill/>
              </a:ln>
              <a:effectLst/>
            </c:spPr>
            <c:showVal val="1"/>
            <c:extLst>
              <c:ext xmlns:c15="http://schemas.microsoft.com/office/drawing/2012/chart" uri="{CE6537A1-D6FC-4f65-9D91-7224C49458BB}">
                <c15:showLeaderLines val="0"/>
              </c:ext>
            </c:extLst>
          </c:dLbls>
          <c:cat>
            <c:strRef>
              <c:f>Feuil2!$B$9:$E$9</c:f>
              <c:strCache>
                <c:ptCount val="4"/>
                <c:pt idx="0">
                  <c:v>Niveau supérieur</c:v>
                </c:pt>
                <c:pt idx="1">
                  <c:v>Niveau moyen</c:v>
                </c:pt>
                <c:pt idx="2">
                  <c:v>Sans diplôme</c:v>
                </c:pt>
                <c:pt idx="3">
                  <c:v>Total</c:v>
                </c:pt>
              </c:strCache>
            </c:strRef>
          </c:cat>
          <c:val>
            <c:numRef>
              <c:f>Feuil2!$B$12:$E$12</c:f>
              <c:numCache>
                <c:formatCode>0.0</c:formatCode>
                <c:ptCount val="4"/>
                <c:pt idx="0">
                  <c:v>3.3932374682356854</c:v>
                </c:pt>
                <c:pt idx="1">
                  <c:v>7.5924376997392455</c:v>
                </c:pt>
                <c:pt idx="2">
                  <c:v>7.5047021720765095</c:v>
                </c:pt>
                <c:pt idx="3">
                  <c:v>6.5074930529139774</c:v>
                </c:pt>
              </c:numCache>
            </c:numRef>
          </c:val>
        </c:ser>
        <c:ser>
          <c:idx val="3"/>
          <c:order val="3"/>
          <c:tx>
            <c:strRef>
              <c:f>Feuil2!$A$13</c:f>
              <c:strCache>
                <c:ptCount val="1"/>
                <c:pt idx="0">
                  <c:v>Aucun contrat</c:v>
                </c:pt>
              </c:strCache>
            </c:strRef>
          </c:tx>
          <c:spPr>
            <a:solidFill>
              <a:schemeClr val="bg1">
                <a:lumMod val="65000"/>
              </a:schemeClr>
            </a:solidFill>
          </c:spPr>
          <c:dLbls>
            <c:spPr>
              <a:noFill/>
              <a:ln>
                <a:noFill/>
              </a:ln>
              <a:effectLst/>
            </c:spPr>
            <c:showVal val="1"/>
            <c:extLst>
              <c:ext xmlns:c15="http://schemas.microsoft.com/office/drawing/2012/chart" uri="{CE6537A1-D6FC-4f65-9D91-7224C49458BB}">
                <c15:showLeaderLines val="0"/>
              </c:ext>
            </c:extLst>
          </c:dLbls>
          <c:cat>
            <c:strRef>
              <c:f>Feuil2!$B$9:$E$9</c:f>
              <c:strCache>
                <c:ptCount val="4"/>
                <c:pt idx="0">
                  <c:v>Niveau supérieur</c:v>
                </c:pt>
                <c:pt idx="1">
                  <c:v>Niveau moyen</c:v>
                </c:pt>
                <c:pt idx="2">
                  <c:v>Sans diplôme</c:v>
                </c:pt>
                <c:pt idx="3">
                  <c:v>Total</c:v>
                </c:pt>
              </c:strCache>
            </c:strRef>
          </c:cat>
          <c:val>
            <c:numRef>
              <c:f>Feuil2!$B$13:$E$13</c:f>
              <c:numCache>
                <c:formatCode>0.0</c:formatCode>
                <c:ptCount val="4"/>
                <c:pt idx="0">
                  <c:v>15.082593079833726</c:v>
                </c:pt>
                <c:pt idx="1">
                  <c:v>55.565791190265813</c:v>
                </c:pt>
                <c:pt idx="2">
                  <c:v>71.501725449288827</c:v>
                </c:pt>
                <c:pt idx="3">
                  <c:v>51.928194253531203</c:v>
                </c:pt>
              </c:numCache>
            </c:numRef>
          </c:val>
        </c:ser>
        <c:overlap val="100"/>
        <c:axId val="98338304"/>
        <c:axId val="98339840"/>
      </c:barChart>
      <c:catAx>
        <c:axId val="98338304"/>
        <c:scaling>
          <c:orientation val="minMax"/>
        </c:scaling>
        <c:axPos val="l"/>
        <c:numFmt formatCode="General" sourceLinked="0"/>
        <c:tickLblPos val="nextTo"/>
        <c:crossAx val="98339840"/>
        <c:crosses val="autoZero"/>
        <c:auto val="1"/>
        <c:lblAlgn val="ctr"/>
        <c:lblOffset val="100"/>
      </c:catAx>
      <c:valAx>
        <c:axId val="98339840"/>
        <c:scaling>
          <c:orientation val="minMax"/>
        </c:scaling>
        <c:delete val="1"/>
        <c:axPos val="b"/>
        <c:numFmt formatCode="0%" sourceLinked="1"/>
        <c:tickLblPos val="none"/>
        <c:crossAx val="98338304"/>
        <c:crosses val="autoZero"/>
        <c:crossBetween val="between"/>
      </c:valAx>
    </c:plotArea>
    <c:legend>
      <c:legendPos val="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Feuil1!$C$120</c:f>
              <c:strCache>
                <c:ptCount val="1"/>
                <c:pt idx="0">
                  <c:v>2022</c:v>
                </c:pt>
              </c:strCache>
            </c:strRef>
          </c:tx>
          <c:spPr>
            <a:solidFill>
              <a:schemeClr val="accent1">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Feuil1!$B$121:$B$128</c:f>
              <c:strCache>
                <c:ptCount val="8"/>
                <c:pt idx="0">
                  <c:v>Urbain</c:v>
                </c:pt>
                <c:pt idx="1">
                  <c:v>Rural</c:v>
                </c:pt>
                <c:pt idx="2">
                  <c:v>Féminin</c:v>
                </c:pt>
                <c:pt idx="3">
                  <c:v>Masculin</c:v>
                </c:pt>
                <c:pt idx="4">
                  <c:v>25-34 ans</c:v>
                </c:pt>
                <c:pt idx="5">
                  <c:v>35-44 ans</c:v>
                </c:pt>
                <c:pt idx="6">
                  <c:v>Aucun diplôme</c:v>
                </c:pt>
                <c:pt idx="7">
                  <c:v>National</c:v>
                </c:pt>
              </c:strCache>
            </c:strRef>
          </c:cat>
          <c:val>
            <c:numRef>
              <c:f>Feuil1!$C$121:$C$128</c:f>
              <c:numCache>
                <c:formatCode>General</c:formatCode>
                <c:ptCount val="8"/>
                <c:pt idx="0">
                  <c:v>8.1</c:v>
                </c:pt>
                <c:pt idx="1">
                  <c:v>10.4</c:v>
                </c:pt>
                <c:pt idx="2">
                  <c:v>5.4</c:v>
                </c:pt>
                <c:pt idx="3">
                  <c:v>10</c:v>
                </c:pt>
                <c:pt idx="4">
                  <c:v>12.4</c:v>
                </c:pt>
                <c:pt idx="5">
                  <c:v>9</c:v>
                </c:pt>
                <c:pt idx="6">
                  <c:v>8.7000000000000011</c:v>
                </c:pt>
                <c:pt idx="7">
                  <c:v>9</c:v>
                </c:pt>
              </c:numCache>
            </c:numRef>
          </c:val>
        </c:ser>
        <c:ser>
          <c:idx val="1"/>
          <c:order val="1"/>
          <c:tx>
            <c:strRef>
              <c:f>Feuil1!$D$120</c:f>
              <c:strCache>
                <c:ptCount val="1"/>
                <c:pt idx="0">
                  <c:v>2023</c:v>
                </c:pt>
              </c:strCache>
            </c:strRef>
          </c:tx>
          <c:spPr>
            <a:solidFill>
              <a:schemeClr val="accent6">
                <a:lumMod val="60000"/>
                <a:lumOff val="40000"/>
              </a:schemeClr>
            </a:solidFill>
          </c:spPr>
          <c:dLbls>
            <c:dLbl>
              <c:idx val="4"/>
              <c:tx>
                <c:rich>
                  <a:bodyPr/>
                  <a:lstStyle/>
                  <a:p>
                    <a:r>
                      <a:rPr lang="en-US"/>
                      <a:t>14</a:t>
                    </a:r>
                  </a:p>
                </c:rich>
              </c:tx>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Feuil1!$B$121:$B$128</c:f>
              <c:strCache>
                <c:ptCount val="8"/>
                <c:pt idx="0">
                  <c:v>Urbain</c:v>
                </c:pt>
                <c:pt idx="1">
                  <c:v>Rural</c:v>
                </c:pt>
                <c:pt idx="2">
                  <c:v>Féminin</c:v>
                </c:pt>
                <c:pt idx="3">
                  <c:v>Masculin</c:v>
                </c:pt>
                <c:pt idx="4">
                  <c:v>25-34 ans</c:v>
                </c:pt>
                <c:pt idx="5">
                  <c:v>35-44 ans</c:v>
                </c:pt>
                <c:pt idx="6">
                  <c:v>Aucun diplôme</c:v>
                </c:pt>
                <c:pt idx="7">
                  <c:v>National</c:v>
                </c:pt>
              </c:strCache>
            </c:strRef>
          </c:cat>
          <c:val>
            <c:numRef>
              <c:f>Feuil1!$D$121:$D$128</c:f>
              <c:numCache>
                <c:formatCode>General</c:formatCode>
                <c:ptCount val="8"/>
                <c:pt idx="0">
                  <c:v>8.7000000000000011</c:v>
                </c:pt>
                <c:pt idx="1">
                  <c:v>11.6</c:v>
                </c:pt>
                <c:pt idx="2">
                  <c:v>5.8</c:v>
                </c:pt>
                <c:pt idx="3">
                  <c:v>10.9</c:v>
                </c:pt>
                <c:pt idx="4">
                  <c:v>15.5</c:v>
                </c:pt>
                <c:pt idx="5">
                  <c:v>10</c:v>
                </c:pt>
                <c:pt idx="6">
                  <c:v>9.8000000000000007</c:v>
                </c:pt>
                <c:pt idx="7">
                  <c:v>9.8000000000000007</c:v>
                </c:pt>
              </c:numCache>
            </c:numRef>
          </c:val>
        </c:ser>
        <c:gapWidth val="75"/>
        <c:overlap val="-25"/>
        <c:axId val="98058240"/>
        <c:axId val="98059776"/>
      </c:barChart>
      <c:catAx>
        <c:axId val="98058240"/>
        <c:scaling>
          <c:orientation val="minMax"/>
        </c:scaling>
        <c:axPos val="b"/>
        <c:numFmt formatCode="General" sourceLinked="0"/>
        <c:majorTickMark val="none"/>
        <c:tickLblPos val="nextTo"/>
        <c:crossAx val="98059776"/>
        <c:crosses val="autoZero"/>
        <c:auto val="1"/>
        <c:lblAlgn val="ctr"/>
        <c:lblOffset val="100"/>
      </c:catAx>
      <c:valAx>
        <c:axId val="98059776"/>
        <c:scaling>
          <c:orientation val="minMax"/>
        </c:scaling>
        <c:delete val="1"/>
        <c:axPos val="l"/>
        <c:numFmt formatCode="General" sourceLinked="1"/>
        <c:majorTickMark val="none"/>
        <c:tickLblPos val="none"/>
        <c:crossAx val="98058240"/>
        <c:crosses val="autoZero"/>
        <c:crossBetween val="between"/>
      </c:valAx>
    </c:plotArea>
    <c:legend>
      <c:legendPos val="b"/>
    </c:legend>
    <c:plotVisOnly val="1"/>
    <c:dispBlanksAs val="gap"/>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5000000000000001E-2"/>
          <c:y val="0.14340296004666184"/>
          <c:w val="0.93888888888889221"/>
          <c:h val="0.52249147623092562"/>
        </c:manualLayout>
      </c:layout>
      <c:barChart>
        <c:barDir val="col"/>
        <c:grouping val="clustered"/>
        <c:ser>
          <c:idx val="0"/>
          <c:order val="0"/>
          <c:tx>
            <c:strRef>
              <c:f>'Ggraphiques note chômage et sou'!$C$134</c:f>
              <c:strCache>
                <c:ptCount val="1"/>
                <c:pt idx="0">
                  <c:v>2022</c:v>
                </c:pt>
              </c:strCache>
            </c:strRef>
          </c:tx>
          <c:spPr>
            <a:solidFill>
              <a:schemeClr val="accent1">
                <a:lumMod val="60000"/>
                <a:lumOff val="40000"/>
              </a:schemeClr>
            </a:solidFill>
          </c:spPr>
          <c:dLbls>
            <c:showVal val="1"/>
          </c:dLbls>
          <c:cat>
            <c:strRef>
              <c:f>'Ggraphiques note chômage et sou'!$B$135:$B$138</c:f>
              <c:strCache>
                <c:ptCount val="4"/>
                <c:pt idx="0">
                  <c:v>Agriculture, forêt et pêche</c:v>
                </c:pt>
                <c:pt idx="1">
                  <c:v>Industrie (y compris artisanat)</c:v>
                </c:pt>
                <c:pt idx="2">
                  <c:v>BTP</c:v>
                </c:pt>
                <c:pt idx="3">
                  <c:v>Services</c:v>
                </c:pt>
              </c:strCache>
            </c:strRef>
          </c:cat>
          <c:val>
            <c:numRef>
              <c:f>'Ggraphiques note chômage et sou'!$C$135:$C$138</c:f>
              <c:numCache>
                <c:formatCode>0.0</c:formatCode>
                <c:ptCount val="4"/>
                <c:pt idx="0">
                  <c:v>10.394811223311818</c:v>
                </c:pt>
                <c:pt idx="1">
                  <c:v>6.2210783452071992</c:v>
                </c:pt>
                <c:pt idx="2">
                  <c:v>16.383311617762789</c:v>
                </c:pt>
                <c:pt idx="3">
                  <c:v>7.1832697423090517</c:v>
                </c:pt>
              </c:numCache>
            </c:numRef>
          </c:val>
        </c:ser>
        <c:ser>
          <c:idx val="1"/>
          <c:order val="1"/>
          <c:tx>
            <c:strRef>
              <c:f>'Ggraphiques note chômage et sou'!$D$134</c:f>
              <c:strCache>
                <c:ptCount val="1"/>
                <c:pt idx="0">
                  <c:v>2023</c:v>
                </c:pt>
              </c:strCache>
            </c:strRef>
          </c:tx>
          <c:spPr>
            <a:solidFill>
              <a:schemeClr val="accent6">
                <a:lumMod val="60000"/>
                <a:lumOff val="40000"/>
              </a:schemeClr>
            </a:solidFill>
          </c:spPr>
          <c:dLbls>
            <c:showVal val="1"/>
          </c:dLbls>
          <c:cat>
            <c:strRef>
              <c:f>'Ggraphiques note chômage et sou'!$B$135:$B$138</c:f>
              <c:strCache>
                <c:ptCount val="4"/>
                <c:pt idx="0">
                  <c:v>Agriculture, forêt et pêche</c:v>
                </c:pt>
                <c:pt idx="1">
                  <c:v>Industrie (y compris artisanat)</c:v>
                </c:pt>
                <c:pt idx="2">
                  <c:v>BTP</c:v>
                </c:pt>
                <c:pt idx="3">
                  <c:v>Services</c:v>
                </c:pt>
              </c:strCache>
            </c:strRef>
          </c:cat>
          <c:val>
            <c:numRef>
              <c:f>'Ggraphiques note chômage et sou'!$D$135:$D$138</c:f>
              <c:numCache>
                <c:formatCode>0.0</c:formatCode>
                <c:ptCount val="4"/>
                <c:pt idx="0">
                  <c:v>11.214610991063369</c:v>
                </c:pt>
                <c:pt idx="1">
                  <c:v>6.4172910055089334</c:v>
                </c:pt>
                <c:pt idx="2">
                  <c:v>19.189121677725669</c:v>
                </c:pt>
                <c:pt idx="3">
                  <c:v>7.6870776963781315</c:v>
                </c:pt>
              </c:numCache>
            </c:numRef>
          </c:val>
        </c:ser>
        <c:gapWidth val="75"/>
        <c:overlap val="-25"/>
        <c:axId val="98093312"/>
        <c:axId val="98373632"/>
      </c:barChart>
      <c:catAx>
        <c:axId val="98093312"/>
        <c:scaling>
          <c:orientation val="minMax"/>
        </c:scaling>
        <c:axPos val="b"/>
        <c:majorTickMark val="none"/>
        <c:tickLblPos val="nextTo"/>
        <c:crossAx val="98373632"/>
        <c:crosses val="autoZero"/>
        <c:auto val="1"/>
        <c:lblAlgn val="ctr"/>
        <c:lblOffset val="100"/>
      </c:catAx>
      <c:valAx>
        <c:axId val="98373632"/>
        <c:scaling>
          <c:orientation val="minMax"/>
        </c:scaling>
        <c:delete val="1"/>
        <c:axPos val="l"/>
        <c:numFmt formatCode="0.0" sourceLinked="1"/>
        <c:majorTickMark val="none"/>
        <c:tickLblPos val="none"/>
        <c:crossAx val="98093312"/>
        <c:crosses val="autoZero"/>
        <c:crossBetween val="between"/>
      </c:valAx>
    </c:plotArea>
    <c:legend>
      <c:legendPos val="b"/>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1.4542385865333261E-2"/>
          <c:y val="6.0185185185185147E-2"/>
          <c:w val="0.93888888888889765"/>
          <c:h val="0.64382327209101164"/>
        </c:manualLayout>
      </c:layout>
      <c:barChart>
        <c:barDir val="col"/>
        <c:grouping val="clustered"/>
        <c:ser>
          <c:idx val="0"/>
          <c:order val="0"/>
          <c:tx>
            <c:strRef>
              <c:f>Feuil1!$D$34</c:f>
              <c:strCache>
                <c:ptCount val="1"/>
                <c:pt idx="0">
                  <c:v>2022</c:v>
                </c:pt>
              </c:strCache>
            </c:strRef>
          </c:tx>
          <c:spPr>
            <a:solidFill>
              <a:schemeClr val="accent1">
                <a:lumMod val="60000"/>
                <a:lumOff val="40000"/>
              </a:schemeClr>
            </a:solidFill>
            <a:ln>
              <a:noFill/>
            </a:ln>
            <a:effectLst/>
          </c:spPr>
          <c:dLbls>
            <c:spPr>
              <a:noFill/>
              <a:ln>
                <a:noFill/>
              </a:ln>
              <a:effectLst/>
            </c:spPr>
            <c:txPr>
              <a:bodyPr rot="0" vert="horz"/>
              <a:lstStyle/>
              <a:p>
                <a:pPr>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Feuil1!$C$35:$C$42</c:f>
              <c:strCache>
                <c:ptCount val="8"/>
                <c:pt idx="0">
                  <c:v>Urbain</c:v>
                </c:pt>
                <c:pt idx="1">
                  <c:v>Rural</c:v>
                </c:pt>
                <c:pt idx="2">
                  <c:v>Masculain</c:v>
                </c:pt>
                <c:pt idx="3">
                  <c:v>Féminin</c:v>
                </c:pt>
                <c:pt idx="4">
                  <c:v>15-24 ans</c:v>
                </c:pt>
                <c:pt idx="5">
                  <c:v>Aucun diplôme</c:v>
                </c:pt>
                <c:pt idx="6">
                  <c:v>Ayant un diplôme</c:v>
                </c:pt>
                <c:pt idx="7">
                  <c:v>National</c:v>
                </c:pt>
              </c:strCache>
            </c:strRef>
          </c:cat>
          <c:val>
            <c:numRef>
              <c:f>Feuil1!$D$35:$D$42</c:f>
              <c:numCache>
                <c:formatCode>0.0</c:formatCode>
                <c:ptCount val="8"/>
                <c:pt idx="0">
                  <c:v>15.8253620084378</c:v>
                </c:pt>
                <c:pt idx="1">
                  <c:v>5.2304955007036824</c:v>
                </c:pt>
                <c:pt idx="2">
                  <c:v>10.264565814841674</c:v>
                </c:pt>
                <c:pt idx="3">
                  <c:v>17.168833140951079</c:v>
                </c:pt>
                <c:pt idx="4">
                  <c:v>32.654309181684894</c:v>
                </c:pt>
                <c:pt idx="5">
                  <c:v>4.2203605611621935</c:v>
                </c:pt>
                <c:pt idx="6">
                  <c:v>18.595868924691167</c:v>
                </c:pt>
                <c:pt idx="7">
                  <c:v>11.828058272390148</c:v>
                </c:pt>
              </c:numCache>
            </c:numRef>
          </c:val>
          <c:extLst xmlns:c16r2="http://schemas.microsoft.com/office/drawing/2015/06/chart">
            <c:ext xmlns:c16="http://schemas.microsoft.com/office/drawing/2014/chart" uri="{C3380CC4-5D6E-409C-BE32-E72D297353CC}">
              <c16:uniqueId val="{00000000-3704-41AC-924A-6AB65002D980}"/>
            </c:ext>
          </c:extLst>
        </c:ser>
        <c:ser>
          <c:idx val="1"/>
          <c:order val="1"/>
          <c:tx>
            <c:strRef>
              <c:f>Feuil1!$E$34</c:f>
              <c:strCache>
                <c:ptCount val="1"/>
                <c:pt idx="0">
                  <c:v>2023</c:v>
                </c:pt>
              </c:strCache>
            </c:strRef>
          </c:tx>
          <c:spPr>
            <a:solidFill>
              <a:schemeClr val="accent6">
                <a:lumMod val="60000"/>
                <a:lumOff val="40000"/>
              </a:schemeClr>
            </a:solidFill>
            <a:ln>
              <a:noFill/>
            </a:ln>
            <a:effectLst/>
          </c:spPr>
          <c:dLbls>
            <c:dLbl>
              <c:idx val="0"/>
              <c:layout>
                <c:manualLayout>
                  <c:x val="1.0735117241252501E-2"/>
                  <c:y val="-9.2592592592596057E-3"/>
                </c:manualLayout>
              </c:layout>
              <c:showVal val="1"/>
              <c:extLst>
                <c:ext xmlns:c15="http://schemas.microsoft.com/office/drawing/2012/chart" uri="{CE6537A1-D6FC-4f65-9D91-7224C49458BB}"/>
              </c:extLst>
            </c:dLbl>
            <c:dLbl>
              <c:idx val="1"/>
              <c:layout>
                <c:manualLayout>
                  <c:x val="2.7777777777779318E-3"/>
                  <c:y val="-1.388888888888928E-2"/>
                </c:manualLayout>
              </c:layout>
              <c:showVal val="1"/>
              <c:extLst>
                <c:ext xmlns:c15="http://schemas.microsoft.com/office/drawing/2012/chart" uri="{CE6537A1-D6FC-4f65-9D91-7224C49458BB}"/>
              </c:extLst>
            </c:dLbl>
            <c:dLbl>
              <c:idx val="2"/>
              <c:layout>
                <c:manualLayout>
                  <c:x val="1.388888888888928E-2"/>
                  <c:y val="-2.3148148148148147E-2"/>
                </c:manualLayout>
              </c:layout>
              <c:showVal val="1"/>
              <c:extLst>
                <c:ext xmlns:c15="http://schemas.microsoft.com/office/drawing/2012/chart" uri="{CE6537A1-D6FC-4f65-9D91-7224C49458BB}"/>
              </c:extLst>
            </c:dLbl>
            <c:dLbl>
              <c:idx val="3"/>
              <c:layout>
                <c:manualLayout>
                  <c:x val="1.1111111111111165E-2"/>
                  <c:y val="-2.7777777777779077E-2"/>
                </c:manualLayout>
              </c:layout>
              <c:showVal val="1"/>
              <c:extLst>
                <c:ext xmlns:c15="http://schemas.microsoft.com/office/drawing/2012/chart" uri="{CE6537A1-D6FC-4f65-9D91-7224C49458BB}"/>
              </c:extLst>
            </c:dLbl>
            <c:dLbl>
              <c:idx val="6"/>
              <c:layout>
                <c:manualLayout>
                  <c:x val="1.2173290917881378E-2"/>
                  <c:y val="4.2437781360071079E-17"/>
                </c:manualLayout>
              </c:layout>
              <c:showVal val="1"/>
              <c:extLst>
                <c:ext xmlns:c15="http://schemas.microsoft.com/office/drawing/2012/chart" uri="{CE6537A1-D6FC-4f65-9D91-7224C49458BB}"/>
              </c:extLst>
            </c:dLbl>
            <c:dLbl>
              <c:idx val="7"/>
              <c:layout>
                <c:manualLayout>
                  <c:x val="1.9477265468610463E-2"/>
                  <c:y val="-9.2592592592596057E-3"/>
                </c:manualLayout>
              </c:layout>
              <c:showVal val="1"/>
              <c:extLst>
                <c:ext xmlns:c15="http://schemas.microsoft.com/office/drawing/2012/chart" uri="{CE6537A1-D6FC-4f65-9D91-7224C49458BB}"/>
              </c:extLst>
            </c:dLbl>
            <c:spPr>
              <a:noFill/>
              <a:ln>
                <a:noFill/>
              </a:ln>
              <a:effectLst/>
            </c:spPr>
            <c:txPr>
              <a:bodyPr rot="0" vert="horz"/>
              <a:lstStyle/>
              <a:p>
                <a:pPr>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Feuil1!$C$35:$C$42</c:f>
              <c:strCache>
                <c:ptCount val="8"/>
                <c:pt idx="0">
                  <c:v>Urbain</c:v>
                </c:pt>
                <c:pt idx="1">
                  <c:v>Rural</c:v>
                </c:pt>
                <c:pt idx="2">
                  <c:v>Masculain</c:v>
                </c:pt>
                <c:pt idx="3">
                  <c:v>Féminin</c:v>
                </c:pt>
                <c:pt idx="4">
                  <c:v>15-24 ans</c:v>
                </c:pt>
                <c:pt idx="5">
                  <c:v>Aucun diplôme</c:v>
                </c:pt>
                <c:pt idx="6">
                  <c:v>Ayant un diplôme</c:v>
                </c:pt>
                <c:pt idx="7">
                  <c:v>National</c:v>
                </c:pt>
              </c:strCache>
            </c:strRef>
          </c:cat>
          <c:val>
            <c:numRef>
              <c:f>Feuil1!$E$35:$E$42</c:f>
              <c:numCache>
                <c:formatCode>0.0</c:formatCode>
                <c:ptCount val="8"/>
                <c:pt idx="0">
                  <c:v>16.8</c:v>
                </c:pt>
                <c:pt idx="1">
                  <c:v>6.3</c:v>
                </c:pt>
                <c:pt idx="2">
                  <c:v>11.5</c:v>
                </c:pt>
                <c:pt idx="3">
                  <c:v>18.3</c:v>
                </c:pt>
                <c:pt idx="4">
                  <c:v>35.800000000000004</c:v>
                </c:pt>
                <c:pt idx="5">
                  <c:v>4.9000000000000004</c:v>
                </c:pt>
                <c:pt idx="6">
                  <c:v>19.7</c:v>
                </c:pt>
                <c:pt idx="7">
                  <c:v>13</c:v>
                </c:pt>
              </c:numCache>
            </c:numRef>
          </c:val>
          <c:extLst xmlns:c16r2="http://schemas.microsoft.com/office/drawing/2015/06/chart">
            <c:ext xmlns:c16="http://schemas.microsoft.com/office/drawing/2014/chart" uri="{C3380CC4-5D6E-409C-BE32-E72D297353CC}">
              <c16:uniqueId val="{00000001-3704-41AC-924A-6AB65002D980}"/>
            </c:ext>
          </c:extLst>
        </c:ser>
        <c:gapWidth val="219"/>
        <c:overlap val="-27"/>
        <c:axId val="98429568"/>
        <c:axId val="98124160"/>
      </c:barChart>
      <c:catAx>
        <c:axId val="98429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fr-FR"/>
          </a:p>
        </c:txPr>
        <c:crossAx val="98124160"/>
        <c:crosses val="autoZero"/>
        <c:auto val="1"/>
        <c:lblAlgn val="ctr"/>
        <c:lblOffset val="100"/>
      </c:catAx>
      <c:valAx>
        <c:axId val="98124160"/>
        <c:scaling>
          <c:orientation val="minMax"/>
        </c:scaling>
        <c:delete val="1"/>
        <c:axPos val="l"/>
        <c:numFmt formatCode="0.0" sourceLinked="1"/>
        <c:majorTickMark val="none"/>
        <c:tickLblPos val="none"/>
        <c:crossAx val="98429568"/>
        <c:crosses val="autoZero"/>
        <c:crossBetween val="between"/>
      </c:valAx>
      <c:spPr>
        <a:noFill/>
        <a:ln>
          <a:noFill/>
        </a:ln>
        <a:effectLst/>
      </c:spPr>
    </c:plotArea>
    <c:legend>
      <c:legendPos val="b"/>
      <c:spPr>
        <a:noFill/>
        <a:ln>
          <a:noFill/>
        </a:ln>
        <a:effectLst/>
      </c:spPr>
      <c:txPr>
        <a:bodyPr rot="0" vert="horz"/>
        <a:lstStyle/>
        <a:p>
          <a:pPr>
            <a:defRPr/>
          </a:pPr>
          <a:endParaRPr lang="fr-FR"/>
        </a:p>
      </c:txPr>
    </c:legend>
    <c:plotVisOnly val="1"/>
    <c:dispBlanksAs val="gap"/>
  </c:chart>
  <c:spPr>
    <a:solidFill>
      <a:schemeClr val="bg1"/>
    </a:solidFill>
    <a:ln w="9525" cap="flat" cmpd="sng" algn="ctr">
      <a:noFill/>
      <a:round/>
    </a:ln>
    <a:effectLst/>
  </c:spPr>
  <c:txPr>
    <a:bodyPr/>
    <a:lstStyle/>
    <a:p>
      <a:pPr>
        <a:defRPr>
          <a:ln>
            <a:noFill/>
          </a:ln>
          <a:latin typeface="Times New Roman" pitchFamily="18" charset="0"/>
          <a:cs typeface="Times New Roman"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tx>
            <c:strRef>
              <c:f>Feuil1!$C$50</c:f>
              <c:strCache>
                <c:ptCount val="1"/>
                <c:pt idx="0">
                  <c:v>2023</c:v>
                </c:pt>
              </c:strCache>
            </c:strRef>
          </c:tx>
          <c:spPr>
            <a:solidFill>
              <a:schemeClr val="accent6">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Feuil1!$B$51:$B$60</c:f>
              <c:strCache>
                <c:ptCount val="10"/>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pt idx="9">
                  <c:v>Ensemble</c:v>
                </c:pt>
              </c:strCache>
            </c:strRef>
          </c:cat>
          <c:val>
            <c:numRef>
              <c:f>Feuil1!$C$51:$C$60</c:f>
              <c:numCache>
                <c:formatCode>0.0</c:formatCode>
                <c:ptCount val="10"/>
                <c:pt idx="0">
                  <c:v>14.644289921430968</c:v>
                </c:pt>
                <c:pt idx="1">
                  <c:v>23.322612575012489</c:v>
                </c:pt>
                <c:pt idx="2">
                  <c:v>27.535292014214498</c:v>
                </c:pt>
                <c:pt idx="3">
                  <c:v>9.3909276388198624</c:v>
                </c:pt>
                <c:pt idx="4">
                  <c:v>25.904485441389902</c:v>
                </c:pt>
                <c:pt idx="5">
                  <c:v>30.956695234112289</c:v>
                </c:pt>
                <c:pt idx="6">
                  <c:v>22.40923336728358</c:v>
                </c:pt>
                <c:pt idx="7">
                  <c:v>27.461477831496989</c:v>
                </c:pt>
                <c:pt idx="8">
                  <c:v>4.9227437208907014</c:v>
                </c:pt>
                <c:pt idx="9">
                  <c:v>12.979486329217373</c:v>
                </c:pt>
              </c:numCache>
            </c:numRef>
          </c:val>
        </c:ser>
        <c:ser>
          <c:idx val="1"/>
          <c:order val="1"/>
          <c:tx>
            <c:strRef>
              <c:f>Feuil1!$D$50</c:f>
              <c:strCache>
                <c:ptCount val="1"/>
                <c:pt idx="0">
                  <c:v>2022</c:v>
                </c:pt>
              </c:strCache>
            </c:strRef>
          </c:tx>
          <c:spPr>
            <a:solidFill>
              <a:schemeClr val="accent1">
                <a:lumMod val="60000"/>
                <a:lumOff val="40000"/>
              </a:schemeClr>
            </a:solidFill>
          </c:spPr>
          <c:dLbls>
            <c:spPr>
              <a:noFill/>
              <a:ln>
                <a:noFill/>
              </a:ln>
              <a:effectLst/>
            </c:spPr>
            <c:showVal val="1"/>
            <c:extLst>
              <c:ext xmlns:c15="http://schemas.microsoft.com/office/drawing/2012/chart" uri="{CE6537A1-D6FC-4f65-9D91-7224C49458BB}">
                <c15:showLeaderLines val="0"/>
              </c:ext>
            </c:extLst>
          </c:dLbls>
          <c:cat>
            <c:strRef>
              <c:f>Feuil1!$B$51:$B$60</c:f>
              <c:strCache>
                <c:ptCount val="10"/>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pt idx="9">
                  <c:v>Ensemble</c:v>
                </c:pt>
              </c:strCache>
            </c:strRef>
          </c:cat>
          <c:val>
            <c:numRef>
              <c:f>Feuil1!$D$51:$D$60</c:f>
              <c:numCache>
                <c:formatCode>0.0</c:formatCode>
                <c:ptCount val="10"/>
                <c:pt idx="0">
                  <c:v>12.804658561932785</c:v>
                </c:pt>
                <c:pt idx="1">
                  <c:v>21.782147552274342</c:v>
                </c:pt>
                <c:pt idx="2">
                  <c:v>28.104743969245565</c:v>
                </c:pt>
                <c:pt idx="3">
                  <c:v>8.6537456856660047</c:v>
                </c:pt>
                <c:pt idx="4">
                  <c:v>25.965433123444889</c:v>
                </c:pt>
                <c:pt idx="5">
                  <c:v>31.324230228952405</c:v>
                </c:pt>
                <c:pt idx="6">
                  <c:v>22.641931871853533</c:v>
                </c:pt>
                <c:pt idx="7">
                  <c:v>24.953113601512989</c:v>
                </c:pt>
                <c:pt idx="8">
                  <c:v>4.2203605611619555</c:v>
                </c:pt>
                <c:pt idx="9">
                  <c:v>11.828058272389022</c:v>
                </c:pt>
              </c:numCache>
            </c:numRef>
          </c:val>
        </c:ser>
        <c:axId val="98141312"/>
        <c:axId val="98142848"/>
      </c:barChart>
      <c:catAx>
        <c:axId val="98141312"/>
        <c:scaling>
          <c:orientation val="minMax"/>
        </c:scaling>
        <c:axPos val="l"/>
        <c:numFmt formatCode="General" sourceLinked="0"/>
        <c:tickLblPos val="nextTo"/>
        <c:txPr>
          <a:bodyPr/>
          <a:lstStyle/>
          <a:p>
            <a:pPr>
              <a:defRPr sz="600" b="0"/>
            </a:pPr>
            <a:endParaRPr lang="fr-FR"/>
          </a:p>
        </c:txPr>
        <c:crossAx val="98142848"/>
        <c:crosses val="autoZero"/>
        <c:auto val="1"/>
        <c:lblAlgn val="ctr"/>
        <c:lblOffset val="100"/>
      </c:catAx>
      <c:valAx>
        <c:axId val="98142848"/>
        <c:scaling>
          <c:orientation val="minMax"/>
        </c:scaling>
        <c:delete val="1"/>
        <c:axPos val="b"/>
        <c:numFmt formatCode="0.0" sourceLinked="1"/>
        <c:tickLblPos val="none"/>
        <c:crossAx val="98141312"/>
        <c:crosses val="autoZero"/>
        <c:crossBetween val="between"/>
      </c:valAx>
    </c:plotArea>
    <c:legend>
      <c:legendPos val="r"/>
    </c:legend>
    <c:plotVisOnly val="1"/>
    <c:dispBlanksAs val="gap"/>
  </c:chart>
  <c:spPr>
    <a:ln>
      <a:noFill/>
    </a:ln>
  </c:spPr>
  <c:txPr>
    <a:bodyPr/>
    <a:lstStyle/>
    <a:p>
      <a:pPr>
        <a:defRPr sz="900"/>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FC92-D17A-454F-923F-55E1B034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2534</Words>
  <Characters>13937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HCP</cp:lastModifiedBy>
  <cp:revision>10</cp:revision>
  <cp:lastPrinted>2024-03-12T10:26:00Z</cp:lastPrinted>
  <dcterms:created xsi:type="dcterms:W3CDTF">2024-03-12T14:03:00Z</dcterms:created>
  <dcterms:modified xsi:type="dcterms:W3CDTF">2024-03-18T16:58:00Z</dcterms:modified>
</cp:coreProperties>
</file>