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6D4951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710775">
        <w:rPr>
          <w:rFonts w:cs="Arial"/>
          <w:b/>
          <w:bCs/>
          <w:color w:val="632423"/>
          <w:sz w:val="36"/>
          <w:szCs w:val="36"/>
          <w:rtl/>
          <w:lang w:bidi="ar-MA"/>
        </w:rPr>
        <w:t>فبراير</w:t>
      </w:r>
      <w:r w:rsidR="00A814C4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A814C4">
        <w:rPr>
          <w:rFonts w:cs="Arial"/>
          <w:b/>
          <w:bCs/>
          <w:color w:val="632423"/>
          <w:sz w:val="36"/>
          <w:szCs w:val="36"/>
          <w:lang w:bidi="ar-MA"/>
        </w:rPr>
        <w:t>2024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670A93" w:rsidRDefault="004E60FA" w:rsidP="00EF2804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4E60FA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4E60FA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6D128D" w:rsidRPr="00670A93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536502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EF2804" w:rsidRPr="00670A93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F2804" w:rsidRPr="00670A93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B110A0" w:rsidRPr="00670A93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Pr="00670A93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B325E6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3D2E6B" w:rsidRPr="00670A93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Pr="00670A93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670A9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70A93" w:rsidRDefault="00176998" w:rsidP="00AC7B27">
      <w:pPr>
        <w:tabs>
          <w:tab w:val="left" w:pos="708"/>
        </w:tabs>
        <w:bidi/>
        <w:spacing w:line="320" w:lineRule="exact"/>
        <w:ind w:left="281" w:right="284"/>
        <w:rPr>
          <w:rFonts w:ascii="Arial" w:hAnsi="Arial" w:cs="Arial"/>
          <w:sz w:val="28"/>
          <w:szCs w:val="28"/>
          <w:lang w:bidi="ar-MA"/>
        </w:rPr>
      </w:pPr>
    </w:p>
    <w:p w:rsidR="00176998" w:rsidRPr="00670A93" w:rsidRDefault="002A31E4" w:rsidP="00EF280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/>
          <w:sz w:val="28"/>
          <w:szCs w:val="28"/>
          <w:rtl/>
          <w:lang w:bidi="ar-MA"/>
        </w:rPr>
        <w:t>فبراير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814C4" w:rsidRPr="00670A93">
        <w:rPr>
          <w:rFonts w:ascii="Arial" w:hAnsi="Arial" w:cs="Arial"/>
          <w:sz w:val="28"/>
          <w:szCs w:val="28"/>
          <w:lang w:bidi="ar-MA"/>
        </w:rPr>
        <w:t>2024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>تراجع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7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EF2804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الرقم الاستدلالي للمواد غير الغذائية ب %</w:t>
      </w:r>
      <w:r w:rsidR="00EF2804" w:rsidRPr="00670A93">
        <w:rPr>
          <w:rFonts w:ascii="Arial" w:hAnsi="Arial" w:cs="Arial"/>
          <w:sz w:val="28"/>
          <w:szCs w:val="28"/>
          <w:lang w:bidi="ar-MA"/>
        </w:rPr>
        <w:t>1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EF2804" w:rsidRPr="00670A93">
        <w:rPr>
          <w:rFonts w:ascii="Arial" w:hAnsi="Arial" w:cs="Arial"/>
          <w:sz w:val="28"/>
          <w:szCs w:val="28"/>
          <w:lang w:bidi="ar-MA"/>
        </w:rPr>
        <w:t>0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670A93" w:rsidRDefault="00176998" w:rsidP="009F72D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70A93" w:rsidRDefault="002A31E4" w:rsidP="003C3FC0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670A93">
        <w:rPr>
          <w:rFonts w:ascii="Arial" w:hAnsi="Arial" w:cs="Arial"/>
          <w:sz w:val="28"/>
          <w:szCs w:val="28"/>
          <w:rtl/>
          <w:lang w:bidi="ar-MA"/>
        </w:rPr>
        <w:t>ا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>نخفاضا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814C4" w:rsidRPr="00670A93">
        <w:rPr>
          <w:rFonts w:ascii="Arial" w:hAnsi="Arial" w:cs="Arial"/>
          <w:sz w:val="28"/>
          <w:szCs w:val="28"/>
          <w:lang w:bidi="ar-MA"/>
        </w:rPr>
        <w:t>2024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="008A7198" w:rsidRPr="00670A93">
        <w:rPr>
          <w:rFonts w:ascii="Arial" w:hAnsi="Arial" w:cs="Arial"/>
          <w:sz w:val="28"/>
          <w:szCs w:val="28"/>
          <w:rtl/>
          <w:lang w:bidi="ar-MA"/>
        </w:rPr>
        <w:t>الخضر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" ب 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9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5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2,1%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>وعلى العكس من ذلك، ارتفعت أثمان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7198" w:rsidRPr="00670A93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9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10775" w:rsidRPr="00670A93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B7555F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710775"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1</w:t>
      </w:r>
      <w:r w:rsidR="00710775" w:rsidRPr="00670A93">
        <w:rPr>
          <w:rFonts w:ascii="Arial" w:hAnsi="Arial" w:cs="Arial"/>
          <w:sz w:val="28"/>
          <w:szCs w:val="28"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1</w:t>
      </w:r>
      <w:r w:rsidR="00710775" w:rsidRPr="00670A93">
        <w:rPr>
          <w:rFonts w:ascii="Arial" w:hAnsi="Arial" w:cs="Arial"/>
          <w:sz w:val="28"/>
          <w:szCs w:val="28"/>
          <w:lang w:bidi="ar-MA"/>
        </w:rPr>
        <w:t>%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 w:rsidRPr="00670A9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F2804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"السكر والمربى والعسل والشوكولاتة والحلويات" ب </w:t>
      </w:r>
      <w:r w:rsidR="00EF2804" w:rsidRPr="00670A93">
        <w:rPr>
          <w:rFonts w:ascii="Arial" w:hAnsi="Arial" w:cs="Arial"/>
          <w:sz w:val="28"/>
          <w:szCs w:val="28"/>
          <w:lang w:bidi="ar-MA"/>
        </w:rPr>
        <w:t>0,5%</w:t>
      </w:r>
      <w:r w:rsidR="00EF2804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و"الخبز والحبوب" ب</w:t>
      </w:r>
      <w:r w:rsidR="00EF2804" w:rsidRPr="00670A93">
        <w:rPr>
          <w:rFonts w:ascii="Arial" w:hAnsi="Arial" w:cs="Arial"/>
          <w:sz w:val="28"/>
          <w:szCs w:val="28"/>
          <w:lang w:bidi="ar-MA"/>
        </w:rPr>
        <w:t xml:space="preserve"> 0,3% </w:t>
      </w:r>
      <w:r w:rsidR="00EF2804" w:rsidRPr="00670A9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5431E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5431E" w:rsidRPr="00670A93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5431E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880167" w:rsidRPr="00670A93">
        <w:rPr>
          <w:rFonts w:ascii="Arial" w:hAnsi="Arial" w:cs="Arial"/>
          <w:sz w:val="28"/>
          <w:szCs w:val="28"/>
          <w:rtl/>
          <w:lang w:bidi="ar-MA"/>
        </w:rPr>
        <w:t>%0,2</w:t>
      </w:r>
      <w:r w:rsidR="000A2C5C"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670A93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B6797" w:rsidRPr="00670A9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710775" w:rsidRPr="00670A93">
        <w:rPr>
          <w:rFonts w:ascii="Arial" w:hAnsi="Arial" w:cs="Arial"/>
          <w:sz w:val="28"/>
          <w:szCs w:val="28"/>
          <w:lang w:bidi="ar-MA"/>
        </w:rPr>
        <w:t>1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670A93" w:rsidRDefault="00256CFA" w:rsidP="009F72D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Pr="00670A93" w:rsidRDefault="002A31E4" w:rsidP="00670A93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592018" w:rsidRPr="00670A93">
        <w:rPr>
          <w:rFonts w:ascii="Arial" w:hAnsi="Arial" w:cs="Arial"/>
          <w:sz w:val="28"/>
          <w:szCs w:val="28"/>
          <w:rtl/>
          <w:lang w:bidi="ar-MA"/>
        </w:rPr>
        <w:t>نخفاضا</w:t>
      </w:r>
      <w:r w:rsidR="00592018" w:rsidRPr="00670A93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71FBD" w:rsidRPr="00670A93">
        <w:rPr>
          <w:rFonts w:ascii="Arial" w:hAnsi="Arial" w:cs="Arial"/>
          <w:sz w:val="28"/>
          <w:szCs w:val="28"/>
          <w:rtl/>
          <w:lang w:bidi="ar-MA"/>
        </w:rPr>
        <w:t>في</w:t>
      </w:r>
      <w:r w:rsidR="00092745"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الحسيمة ب %0,8 وفي بني ملال ب %0,7 وفي</w:t>
      </w:r>
      <w:r w:rsidR="00670A93"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الرشيدية ب %0,6 وفي آسفي ب %0,4 وفي الدار البيضاء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فاس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 xml:space="preserve">القنيطرة 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 xml:space="preserve">مراكش 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مكناس والداخلة ب %0,3 وفي أكادير ب %0,2</w:t>
      </w:r>
      <w:r w:rsidR="00771FBD" w:rsidRPr="00670A93">
        <w:rPr>
          <w:rFonts w:ascii="Arial" w:hAnsi="Arial" w:cs="Arial"/>
          <w:sz w:val="28"/>
          <w:szCs w:val="28"/>
          <w:rtl/>
          <w:lang w:bidi="ar-MA"/>
        </w:rPr>
        <w:t>.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بينما سجل ارتفاع في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D092C">
        <w:rPr>
          <w:rFonts w:ascii="Arial" w:hAnsi="Arial" w:cs="Arial" w:hint="cs"/>
          <w:sz w:val="28"/>
          <w:szCs w:val="28"/>
          <w:rtl/>
          <w:lang w:bidi="ar-MA"/>
        </w:rPr>
        <w:t xml:space="preserve">كل من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 xml:space="preserve">كلميم </w:t>
      </w:r>
      <w:r w:rsidR="006447F4" w:rsidRPr="00670A93">
        <w:rPr>
          <w:rFonts w:ascii="Arial" w:hAnsi="Arial" w:cs="Arial" w:hint="cs"/>
          <w:sz w:val="28"/>
          <w:szCs w:val="28"/>
          <w:rtl/>
          <w:lang w:bidi="ar-MA"/>
        </w:rPr>
        <w:t>وسطات ب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 xml:space="preserve"> %0,2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670A93" w:rsidRDefault="00771FBD" w:rsidP="009F72DD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C73C2E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="00E24BF3" w:rsidRPr="00670A93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6D4951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814C4" w:rsidRPr="00670A93">
        <w:rPr>
          <w:rFonts w:ascii="Arial" w:hAnsi="Arial" w:cs="Arial"/>
          <w:sz w:val="28"/>
          <w:szCs w:val="28"/>
          <w:rtl/>
          <w:lang w:bidi="ar-MA"/>
        </w:rPr>
        <w:t>2024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.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وقد نتج هذا الارتفاع عن </w:t>
      </w:r>
      <w:r w:rsidR="007D092C" w:rsidRPr="007D092C">
        <w:rPr>
          <w:rFonts w:ascii="Arial" w:hAnsi="Arial" w:cs="Arial"/>
          <w:sz w:val="28"/>
          <w:szCs w:val="28"/>
          <w:rtl/>
          <w:lang w:bidi="ar-MA"/>
        </w:rPr>
        <w:t>تزايد</w:t>
      </w:r>
      <w:r w:rsidR="007D092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C73C2E" w:rsidRPr="00C73C2E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7D092C">
        <w:rPr>
          <w:rFonts w:ascii="Arial" w:hAnsi="Arial" w:cs="Arial"/>
          <w:sz w:val="28"/>
          <w:szCs w:val="28"/>
          <w:lang w:bidi="ar-MA"/>
        </w:rPr>
        <w:t>9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D092C" w:rsidRPr="007D092C">
        <w:rPr>
          <w:rtl/>
        </w:rPr>
        <w:t xml:space="preserve"> </w:t>
      </w:r>
      <w:r w:rsidR="007D092C" w:rsidRPr="007D092C">
        <w:rPr>
          <w:rFonts w:ascii="Arial" w:hAnsi="Arial" w:cs="Arial"/>
          <w:sz w:val="28"/>
          <w:szCs w:val="28"/>
          <w:rtl/>
          <w:lang w:bidi="ar-MA"/>
        </w:rPr>
        <w:t xml:space="preserve">تراجع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7D092C">
        <w:rPr>
          <w:rFonts w:ascii="Arial" w:hAnsi="Arial" w:cs="Arial"/>
          <w:sz w:val="28"/>
          <w:szCs w:val="28"/>
          <w:lang w:bidi="ar-MA"/>
        </w:rPr>
        <w:t>4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. وتراوحت نسب التغير للمواد غير الغذائية ما بين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DE54AA" w:rsidRPr="00670A93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DE54AA"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1</w:t>
      </w:r>
      <w:r w:rsidR="00DE54AA" w:rsidRPr="00670A93">
        <w:rPr>
          <w:rFonts w:ascii="Arial" w:hAnsi="Arial" w:cs="Arial"/>
          <w:sz w:val="28"/>
          <w:szCs w:val="28"/>
          <w:lang w:bidi="ar-MA"/>
        </w:rPr>
        <w:t>,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1</w:t>
      </w:r>
      <w:r w:rsidR="00DE54AA"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Pr="00670A93">
        <w:rPr>
          <w:rFonts w:ascii="Arial" w:hAnsi="Arial" w:cs="Arial"/>
          <w:sz w:val="28"/>
          <w:szCs w:val="28"/>
          <w:lang w:bidi="ar-MA"/>
        </w:rPr>
        <w:t> 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670A93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8C1A30" w:rsidRPr="00670A93">
        <w:rPr>
          <w:rFonts w:ascii="Arial" w:hAnsi="Arial" w:cs="Arial" w:hint="cs"/>
          <w:sz w:val="28"/>
          <w:szCs w:val="28"/>
          <w:rtl/>
          <w:lang w:bidi="ar-MA"/>
        </w:rPr>
        <w:t>وارتفاع</w:t>
      </w:r>
      <w:r w:rsidR="008C1A30">
        <w:rPr>
          <w:rFonts w:ascii="Arial" w:hAnsi="Arial" w:cs="Arial" w:hint="cs"/>
          <w:sz w:val="28"/>
          <w:szCs w:val="28"/>
          <w:rtl/>
          <w:lang w:bidi="ar-MA"/>
        </w:rPr>
        <w:t xml:space="preserve"> قدره</w:t>
      </w:r>
      <w:r w:rsidR="001E4AD0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182807" w:rsidRPr="00670A93">
        <w:rPr>
          <w:rFonts w:ascii="Arial" w:hAnsi="Arial" w:cs="Arial"/>
          <w:sz w:val="28"/>
          <w:szCs w:val="28"/>
          <w:lang w:bidi="ar-MA"/>
        </w:rPr>
        <w:t>5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بالنسبة ل "ال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مطاعم والفنادق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Pr="00670A93"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104988" w:rsidP="00104988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lang w:bidi="ar-MA"/>
        </w:rPr>
        <w:t xml:space="preserve">   </w:t>
      </w:r>
    </w:p>
    <w:p w:rsidR="002A31E4" w:rsidRDefault="002A31E4" w:rsidP="0045183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A814C4">
        <w:rPr>
          <w:rFonts w:ascii="Arial" w:hAnsi="Arial" w:cs="Arial"/>
          <w:sz w:val="28"/>
          <w:szCs w:val="28"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B110A0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45183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814C4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451837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CA3C3A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A814C4">
        <w:rPr>
          <w:rFonts w:ascii="Arial" w:hAnsi="Arial" w:cs="Arial"/>
          <w:sz w:val="28"/>
          <w:szCs w:val="28"/>
          <w:lang w:bidi="ar-MA"/>
        </w:rPr>
        <w:t>2023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70A93" w:rsidRDefault="00670A93" w:rsidP="00670A9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2"/>
          <w:szCs w:val="42"/>
          <w:lang w:bidi="ar-MA"/>
        </w:rPr>
      </w:pPr>
      <w:bookmarkStart w:id="0" w:name="_GoBack"/>
      <w:bookmarkEnd w:id="0"/>
      <w:r w:rsidRPr="00C420F8">
        <w:rPr>
          <w:rFonts w:ascii="Arial" w:hAnsi="Arial" w:cs="Arial"/>
          <w:b/>
          <w:bCs/>
          <w:color w:val="E36C0A"/>
          <w:sz w:val="42"/>
          <w:szCs w:val="42"/>
          <w:rtl/>
          <w:lang w:bidi="ar-MA"/>
        </w:rPr>
        <w:lastRenderedPageBreak/>
        <w:t>الأثمــان</w:t>
      </w:r>
    </w:p>
    <w:p w:rsidR="004C1E12" w:rsidRPr="004C1E12" w:rsidRDefault="004C1E12" w:rsidP="004C1E12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20"/>
          <w:lang w:bidi="ar-MA"/>
        </w:rPr>
      </w:pPr>
    </w:p>
    <w:p w:rsidR="00176998" w:rsidRPr="00C420F8" w:rsidRDefault="00176998" w:rsidP="00176998">
      <w:pPr>
        <w:pStyle w:val="Corpsdetexte"/>
        <w:bidi/>
        <w:jc w:val="center"/>
        <w:rPr>
          <w:rFonts w:cs="Arial"/>
          <w:b/>
          <w:bCs/>
          <w:sz w:val="32"/>
          <w:szCs w:val="32"/>
          <w:rtl/>
          <w:lang w:bidi="ar-MA"/>
        </w:rPr>
      </w:pPr>
      <w:r w:rsidRPr="00C420F8">
        <w:rPr>
          <w:rFonts w:cs="Arial"/>
          <w:b/>
          <w:bCs/>
          <w:sz w:val="32"/>
          <w:szCs w:val="32"/>
          <w:rtl/>
          <w:lang w:bidi="ar-MA"/>
        </w:rPr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A814C4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  <w:r w:rsidR="006D4951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DB2ED1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A814C4" w:rsidRPr="00DB2ED1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710775" w:rsidRPr="00DB2ED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Pr="00DB2ED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</w:tr>
      <w:tr w:rsidR="00E4231B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4231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E4231B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176998" w:rsidRPr="004671FE" w:rsidRDefault="00176998" w:rsidP="003136E0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 w:rsidRPr="003136E0">
        <w:rPr>
          <w:rFonts w:cs="Arial"/>
          <w:sz w:val="20"/>
          <w:szCs w:val="20"/>
          <w:rtl/>
          <w:lang w:bidi="ar-MA"/>
        </w:rPr>
        <w:t xml:space="preserve">        </w:t>
      </w:r>
      <w:r w:rsidRPr="003136E0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: </w:t>
      </w:r>
      <w:r w:rsidRPr="003136E0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1036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3"/>
        <w:gridCol w:w="1276"/>
        <w:gridCol w:w="1275"/>
        <w:gridCol w:w="851"/>
        <w:gridCol w:w="850"/>
        <w:gridCol w:w="851"/>
        <w:gridCol w:w="790"/>
      </w:tblGrid>
      <w:tr w:rsidR="00176998" w:rsidRPr="008631BC" w:rsidTr="00AC34A6">
        <w:trPr>
          <w:trHeight w:val="276"/>
          <w:jc w:val="center"/>
        </w:trPr>
        <w:tc>
          <w:tcPr>
            <w:tcW w:w="447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49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8631BC" w:rsidTr="00AC34A6">
        <w:trPr>
          <w:trHeight w:val="276"/>
          <w:jc w:val="center"/>
        </w:trPr>
        <w:tc>
          <w:tcPr>
            <w:tcW w:w="447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491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063667">
        <w:trPr>
          <w:trHeight w:val="416"/>
          <w:jc w:val="center"/>
        </w:trPr>
        <w:tc>
          <w:tcPr>
            <w:tcW w:w="447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31E4" w:rsidRPr="00A153EC" w:rsidRDefault="00710775" w:rsidP="00063667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D495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A814C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31E4" w:rsidRPr="00A153EC" w:rsidRDefault="00710775" w:rsidP="0006366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A814C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31E4" w:rsidRPr="00793709" w:rsidRDefault="00A814C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A814C4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8631B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E4231B" w:rsidRPr="008631BC" w:rsidTr="00AC34A6">
        <w:trPr>
          <w:trHeight w:val="259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8631B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8631B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8631B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0,9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-1,1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E4231B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E4231B" w:rsidRPr="008631BC" w:rsidTr="00AC34A6">
        <w:trPr>
          <w:trHeight w:val="31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1F441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E4231B" w:rsidRPr="008631BC" w:rsidTr="00AC34A6">
        <w:trPr>
          <w:trHeight w:val="28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E4231B" w:rsidRPr="008631B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176998" w:rsidRPr="00105996" w:rsidRDefault="00176998" w:rsidP="003136E0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206"/>
        <w:gridCol w:w="1204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9A50AF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A4E4C" w:rsidRPr="00A153EC" w:rsidRDefault="00A814C4" w:rsidP="00D714CD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4A4E4C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4A4E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A4E4C" w:rsidRPr="00D714CD" w:rsidRDefault="00A814C4" w:rsidP="009A50A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714CD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  <w:r w:rsidR="00D714CD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710775" w:rsidRPr="00D714C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A4E4C" w:rsidRPr="00A153EC" w:rsidRDefault="004A4E4C" w:rsidP="009A50A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A4E4C" w:rsidRPr="00A153EC" w:rsidRDefault="00A814C4" w:rsidP="009A50A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E4C" w:rsidRPr="00A153EC" w:rsidRDefault="00A814C4" w:rsidP="009A50A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A4E4C" w:rsidRPr="00A153EC" w:rsidRDefault="004A4E4C" w:rsidP="009A50A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1,4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3,8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2,1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E4231B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E4231B" w:rsidRPr="00A153EC" w:rsidTr="007D3B90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E4231B" w:rsidRPr="00A153EC" w:rsidRDefault="00E4231B" w:rsidP="00E4231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117,4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E4231B" w:rsidRDefault="00E4231B" w:rsidP="00E423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1,3</w:t>
            </w:r>
          </w:p>
        </w:tc>
      </w:tr>
    </w:tbl>
    <w:p w:rsidR="00176998" w:rsidRPr="00712C9E" w:rsidRDefault="00176998" w:rsidP="003136E0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3136E0">
        <w:rPr>
          <w:rFonts w:cs="Arial"/>
          <w:sz w:val="20"/>
          <w:szCs w:val="20"/>
          <w:rtl/>
          <w:lang w:bidi="ar-MA"/>
        </w:rPr>
        <w:t xml:space="preserve">               </w:t>
      </w:r>
      <w:r w:rsidRPr="003136E0">
        <w:rPr>
          <w:rFonts w:cs="Arial"/>
          <w:b/>
          <w:bCs/>
          <w:sz w:val="20"/>
          <w:szCs w:val="20"/>
          <w:u w:val="single"/>
          <w:rtl/>
          <w:lang w:bidi="ar-MA"/>
        </w:rPr>
        <w:t>المصدر:</w:t>
      </w:r>
      <w:r w:rsidRPr="004671FE">
        <w:rPr>
          <w:rFonts w:cs="Arial"/>
          <w:b/>
          <w:bCs/>
          <w:rtl/>
          <w:lang w:bidi="ar-MA"/>
        </w:rPr>
        <w:t xml:space="preserve"> </w:t>
      </w:r>
      <w:r w:rsidRPr="003136E0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32" w:rsidRDefault="00C86732">
      <w:r>
        <w:separator/>
      </w:r>
    </w:p>
  </w:endnote>
  <w:endnote w:type="continuationSeparator" w:id="0">
    <w:p w:rsidR="00C86732" w:rsidRDefault="00C86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A064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2A064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4C1E1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4C1E12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2A064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2" type="#_x0000_t202" style="position:absolute;margin-left:-53.95pt;margin-top:-15.95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kJbgg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2" o:spid="_x0000_s4101" type="#_x0000_t202" style="position:absolute;margin-left:249.3pt;margin-top:-14.4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DIgwIAABY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0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hc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3Ef3Etko9gS6MApoA4bhMYFFq8w3jAYYzBrbrztiOEbdOwnaKrOi8JMcNsX0KoeNObdszi1EUoCq&#10;scMoLlcuTv9OG7FtIVJUs1S3oMdGBKk8Z3VQMQxfqOnwUPjpPt8Hr+fnbPET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Dl&#10;Byhc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32" w:rsidRDefault="00C86732">
      <w:r>
        <w:separator/>
      </w:r>
    </w:p>
  </w:footnote>
  <w:footnote w:type="continuationSeparator" w:id="0">
    <w:p w:rsidR="00C86732" w:rsidRDefault="00C86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16424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3667"/>
    <w:rsid w:val="00064386"/>
    <w:rsid w:val="0006553F"/>
    <w:rsid w:val="00065DCD"/>
    <w:rsid w:val="00070037"/>
    <w:rsid w:val="00081BE5"/>
    <w:rsid w:val="00085E86"/>
    <w:rsid w:val="00092745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4988"/>
    <w:rsid w:val="00105996"/>
    <w:rsid w:val="001063C7"/>
    <w:rsid w:val="00106AB7"/>
    <w:rsid w:val="00107113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2807"/>
    <w:rsid w:val="00184FC4"/>
    <w:rsid w:val="001877D5"/>
    <w:rsid w:val="00191E8A"/>
    <w:rsid w:val="00197747"/>
    <w:rsid w:val="001A1A9C"/>
    <w:rsid w:val="001A282E"/>
    <w:rsid w:val="001A4530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A0645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5833"/>
    <w:rsid w:val="002C6433"/>
    <w:rsid w:val="002D022C"/>
    <w:rsid w:val="002D3BD2"/>
    <w:rsid w:val="002D4302"/>
    <w:rsid w:val="002D49EF"/>
    <w:rsid w:val="002E346C"/>
    <w:rsid w:val="002E53FD"/>
    <w:rsid w:val="002F237C"/>
    <w:rsid w:val="002F3B72"/>
    <w:rsid w:val="0030560D"/>
    <w:rsid w:val="0030605C"/>
    <w:rsid w:val="003121A0"/>
    <w:rsid w:val="003136E0"/>
    <w:rsid w:val="00314191"/>
    <w:rsid w:val="003151E9"/>
    <w:rsid w:val="00316A57"/>
    <w:rsid w:val="0031735D"/>
    <w:rsid w:val="00323830"/>
    <w:rsid w:val="003243B5"/>
    <w:rsid w:val="00326824"/>
    <w:rsid w:val="00327972"/>
    <w:rsid w:val="003347C0"/>
    <w:rsid w:val="0033724B"/>
    <w:rsid w:val="00341857"/>
    <w:rsid w:val="00341BE6"/>
    <w:rsid w:val="00341DEE"/>
    <w:rsid w:val="003465EA"/>
    <w:rsid w:val="00346F33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3FC0"/>
    <w:rsid w:val="003D2E6B"/>
    <w:rsid w:val="003D3BE5"/>
    <w:rsid w:val="003D765E"/>
    <w:rsid w:val="003E5DDB"/>
    <w:rsid w:val="003F28EA"/>
    <w:rsid w:val="003F384E"/>
    <w:rsid w:val="003F445E"/>
    <w:rsid w:val="00401D3E"/>
    <w:rsid w:val="00403A20"/>
    <w:rsid w:val="00413B91"/>
    <w:rsid w:val="0041796D"/>
    <w:rsid w:val="004275D6"/>
    <w:rsid w:val="00431B02"/>
    <w:rsid w:val="0043322E"/>
    <w:rsid w:val="00446DB7"/>
    <w:rsid w:val="00447FBC"/>
    <w:rsid w:val="00451837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E12"/>
    <w:rsid w:val="004C43FD"/>
    <w:rsid w:val="004E36E2"/>
    <w:rsid w:val="004E604A"/>
    <w:rsid w:val="004E60FA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27D5F"/>
    <w:rsid w:val="00536502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85BDE"/>
    <w:rsid w:val="00590E1B"/>
    <w:rsid w:val="00592018"/>
    <w:rsid w:val="00594250"/>
    <w:rsid w:val="00594D60"/>
    <w:rsid w:val="00595235"/>
    <w:rsid w:val="00595E8C"/>
    <w:rsid w:val="00596CDD"/>
    <w:rsid w:val="00597BCA"/>
    <w:rsid w:val="005A0F4F"/>
    <w:rsid w:val="005A4D96"/>
    <w:rsid w:val="005A7CF7"/>
    <w:rsid w:val="005B0675"/>
    <w:rsid w:val="005B07E2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25B07"/>
    <w:rsid w:val="00630E13"/>
    <w:rsid w:val="0063123E"/>
    <w:rsid w:val="00633846"/>
    <w:rsid w:val="00633BBA"/>
    <w:rsid w:val="00635AEC"/>
    <w:rsid w:val="006418B5"/>
    <w:rsid w:val="00642073"/>
    <w:rsid w:val="006447F4"/>
    <w:rsid w:val="006472A6"/>
    <w:rsid w:val="00650FBE"/>
    <w:rsid w:val="00656EDF"/>
    <w:rsid w:val="0065766E"/>
    <w:rsid w:val="00661B0F"/>
    <w:rsid w:val="00665592"/>
    <w:rsid w:val="00667E75"/>
    <w:rsid w:val="00667ECC"/>
    <w:rsid w:val="006707C0"/>
    <w:rsid w:val="00670A93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A6171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30D"/>
    <w:rsid w:val="006D7AEF"/>
    <w:rsid w:val="006D7FA4"/>
    <w:rsid w:val="006E2C7A"/>
    <w:rsid w:val="006E456F"/>
    <w:rsid w:val="006E5679"/>
    <w:rsid w:val="006E7909"/>
    <w:rsid w:val="006F25E8"/>
    <w:rsid w:val="00700E75"/>
    <w:rsid w:val="00705F2E"/>
    <w:rsid w:val="007079A4"/>
    <w:rsid w:val="00707AC0"/>
    <w:rsid w:val="00710775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092C"/>
    <w:rsid w:val="007D3B90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B80"/>
    <w:rsid w:val="00867FAB"/>
    <w:rsid w:val="0087042E"/>
    <w:rsid w:val="008712A1"/>
    <w:rsid w:val="0087409F"/>
    <w:rsid w:val="00877C3F"/>
    <w:rsid w:val="00877E3C"/>
    <w:rsid w:val="0088015C"/>
    <w:rsid w:val="00880167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32BE"/>
    <w:rsid w:val="008C1A30"/>
    <w:rsid w:val="008C2C3C"/>
    <w:rsid w:val="008C2EF3"/>
    <w:rsid w:val="008C5B87"/>
    <w:rsid w:val="008C79BB"/>
    <w:rsid w:val="008D1587"/>
    <w:rsid w:val="008D38D9"/>
    <w:rsid w:val="008D767F"/>
    <w:rsid w:val="008E57C2"/>
    <w:rsid w:val="008E5D62"/>
    <w:rsid w:val="008E6DC5"/>
    <w:rsid w:val="008F3AB6"/>
    <w:rsid w:val="008F416D"/>
    <w:rsid w:val="008F6D54"/>
    <w:rsid w:val="008F72F2"/>
    <w:rsid w:val="008F75ED"/>
    <w:rsid w:val="008F7B26"/>
    <w:rsid w:val="008F7F80"/>
    <w:rsid w:val="00900744"/>
    <w:rsid w:val="00900B2E"/>
    <w:rsid w:val="0090344B"/>
    <w:rsid w:val="00910948"/>
    <w:rsid w:val="00914415"/>
    <w:rsid w:val="00914F99"/>
    <w:rsid w:val="00930BC1"/>
    <w:rsid w:val="00931126"/>
    <w:rsid w:val="00931BAE"/>
    <w:rsid w:val="00944B4F"/>
    <w:rsid w:val="0095153B"/>
    <w:rsid w:val="00953DB4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A50AF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F3563"/>
    <w:rsid w:val="009F5937"/>
    <w:rsid w:val="009F72DD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5F64"/>
    <w:rsid w:val="00A76F8C"/>
    <w:rsid w:val="00A814C4"/>
    <w:rsid w:val="00A821C4"/>
    <w:rsid w:val="00A82BA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A95"/>
    <w:rsid w:val="00AC09CB"/>
    <w:rsid w:val="00AC198C"/>
    <w:rsid w:val="00AC3133"/>
    <w:rsid w:val="00AC34A6"/>
    <w:rsid w:val="00AC3EF4"/>
    <w:rsid w:val="00AC44F5"/>
    <w:rsid w:val="00AC5B9D"/>
    <w:rsid w:val="00AC7B27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0A0"/>
    <w:rsid w:val="00B12082"/>
    <w:rsid w:val="00B1398A"/>
    <w:rsid w:val="00B144C0"/>
    <w:rsid w:val="00B14CE3"/>
    <w:rsid w:val="00B247B4"/>
    <w:rsid w:val="00B25334"/>
    <w:rsid w:val="00B3147C"/>
    <w:rsid w:val="00B317EB"/>
    <w:rsid w:val="00B31D24"/>
    <w:rsid w:val="00B325E6"/>
    <w:rsid w:val="00B35A48"/>
    <w:rsid w:val="00B37707"/>
    <w:rsid w:val="00B417BE"/>
    <w:rsid w:val="00B42470"/>
    <w:rsid w:val="00B43C5F"/>
    <w:rsid w:val="00B476C7"/>
    <w:rsid w:val="00B5039A"/>
    <w:rsid w:val="00B5576F"/>
    <w:rsid w:val="00B607B2"/>
    <w:rsid w:val="00B61271"/>
    <w:rsid w:val="00B62ED5"/>
    <w:rsid w:val="00B643DC"/>
    <w:rsid w:val="00B64564"/>
    <w:rsid w:val="00B66FB4"/>
    <w:rsid w:val="00B674E5"/>
    <w:rsid w:val="00B70238"/>
    <w:rsid w:val="00B7412A"/>
    <w:rsid w:val="00B74508"/>
    <w:rsid w:val="00B7555F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70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230A8"/>
    <w:rsid w:val="00C26145"/>
    <w:rsid w:val="00C2678A"/>
    <w:rsid w:val="00C31EF5"/>
    <w:rsid w:val="00C36CAE"/>
    <w:rsid w:val="00C420F8"/>
    <w:rsid w:val="00C455CF"/>
    <w:rsid w:val="00C45E08"/>
    <w:rsid w:val="00C509B9"/>
    <w:rsid w:val="00C5584A"/>
    <w:rsid w:val="00C55A3C"/>
    <w:rsid w:val="00C560D8"/>
    <w:rsid w:val="00C569B9"/>
    <w:rsid w:val="00C57DE2"/>
    <w:rsid w:val="00C73C2E"/>
    <w:rsid w:val="00C77AA4"/>
    <w:rsid w:val="00C86732"/>
    <w:rsid w:val="00C90DF4"/>
    <w:rsid w:val="00C92504"/>
    <w:rsid w:val="00C92E38"/>
    <w:rsid w:val="00C94FAA"/>
    <w:rsid w:val="00C97001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4CD"/>
    <w:rsid w:val="00D71FF6"/>
    <w:rsid w:val="00D820EB"/>
    <w:rsid w:val="00D82174"/>
    <w:rsid w:val="00DA73ED"/>
    <w:rsid w:val="00DB27A9"/>
    <w:rsid w:val="00DB293A"/>
    <w:rsid w:val="00DB2ED1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4AA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BF3"/>
    <w:rsid w:val="00E24DC2"/>
    <w:rsid w:val="00E26241"/>
    <w:rsid w:val="00E30992"/>
    <w:rsid w:val="00E32D1F"/>
    <w:rsid w:val="00E343C3"/>
    <w:rsid w:val="00E37F80"/>
    <w:rsid w:val="00E40104"/>
    <w:rsid w:val="00E41A5C"/>
    <w:rsid w:val="00E4231B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804"/>
    <w:rsid w:val="00EF2E82"/>
    <w:rsid w:val="00EF5FA4"/>
    <w:rsid w:val="00F042FD"/>
    <w:rsid w:val="00F06689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28</cp:revision>
  <cp:lastPrinted>2024-03-18T11:18:00Z</cp:lastPrinted>
  <dcterms:created xsi:type="dcterms:W3CDTF">2024-03-18T10:51:00Z</dcterms:created>
  <dcterms:modified xsi:type="dcterms:W3CDTF">2024-03-20T15:58:00Z</dcterms:modified>
</cp:coreProperties>
</file>