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594FBA" w:rsidP="004B4D2F">
      <w:pPr>
        <w:pStyle w:val="NormalWeb"/>
        <w:spacing w:before="0" w:beforeAutospacing="0" w:after="0" w:afterAutospacing="0" w:line="240" w:lineRule="exact"/>
        <w:rPr>
          <w:b/>
          <w:bCs/>
        </w:rPr>
      </w:pPr>
      <w:r>
        <w:rPr>
          <w:b/>
          <w:bCs/>
          <w:noProof/>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30350" cy="3810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rPr>
          <w:b/>
          <w:bCs/>
        </w:rPr>
      </w:pPr>
    </w:p>
    <w:p w:rsidR="009E4B05" w:rsidRDefault="009E4B05" w:rsidP="004B4D2F">
      <w:pPr>
        <w:pStyle w:val="NormalWeb"/>
        <w:spacing w:before="0" w:beforeAutospacing="0" w:after="0" w:afterAutospacing="0" w:line="240" w:lineRule="exact"/>
        <w:rPr>
          <w:b/>
          <w:bCs/>
        </w:rPr>
      </w:pPr>
    </w:p>
    <w:p w:rsidR="009E4B05" w:rsidRDefault="009E4B05" w:rsidP="004B4D2F">
      <w:pPr>
        <w:pStyle w:val="NormalWeb"/>
        <w:spacing w:before="0" w:beforeAutospacing="0" w:after="0" w:afterAutospacing="0" w:line="240" w:lineRule="exact"/>
        <w:rPr>
          <w:b/>
          <w:bCs/>
        </w:rPr>
      </w:pPr>
    </w:p>
    <w:p w:rsidR="00E1209A" w:rsidRDefault="00E1209A" w:rsidP="004B4D2F">
      <w:pPr>
        <w:pStyle w:val="NormalWeb"/>
        <w:spacing w:before="0" w:beforeAutospacing="0" w:after="0" w:afterAutospacing="0" w:line="240" w:lineRule="exact"/>
        <w:rPr>
          <w:b/>
          <w:bCs/>
        </w:rPr>
      </w:pPr>
    </w:p>
    <w:p w:rsidR="00E1209A" w:rsidRDefault="00E1209A" w:rsidP="004B4D2F">
      <w:pPr>
        <w:pStyle w:val="NormalWeb"/>
        <w:spacing w:before="0" w:beforeAutospacing="0" w:after="0" w:afterAutospacing="0" w:line="240" w:lineRule="exact"/>
        <w:rPr>
          <w:b/>
          <w:bCs/>
        </w:rPr>
      </w:pPr>
    </w:p>
    <w:p w:rsidR="00E1209A" w:rsidRDefault="00E1209A" w:rsidP="004B4D2F">
      <w:pPr>
        <w:pStyle w:val="NormalWeb"/>
        <w:spacing w:before="0" w:beforeAutospacing="0" w:after="0" w:afterAutospacing="0" w:line="240" w:lineRule="exact"/>
        <w:rPr>
          <w:b/>
          <w:bCs/>
        </w:rPr>
      </w:pPr>
    </w:p>
    <w:p w:rsidR="00E1209A" w:rsidRDefault="00E1209A" w:rsidP="004B4D2F">
      <w:pPr>
        <w:pStyle w:val="NormalWeb"/>
        <w:spacing w:before="0" w:beforeAutospacing="0" w:after="0" w:afterAutospacing="0" w:line="240" w:lineRule="exact"/>
        <w:rPr>
          <w:b/>
          <w:bCs/>
        </w:rPr>
      </w:pPr>
    </w:p>
    <w:p w:rsidR="009E4B05" w:rsidRPr="003015A5" w:rsidRDefault="009E4B05" w:rsidP="009E4B05">
      <w:pPr>
        <w:rPr>
          <w:rFonts w:asciiTheme="majorBidi" w:hAnsiTheme="majorBidi" w:cstheme="majorBidi"/>
          <w:b/>
          <w:bCs/>
          <w:shadow/>
          <w:color w:val="FFC000"/>
          <w:sz w:val="26"/>
          <w:szCs w:val="26"/>
        </w:rPr>
      </w:pPr>
      <w:r w:rsidRPr="003015A5">
        <w:rPr>
          <w:rFonts w:asciiTheme="majorBidi" w:hAnsiTheme="majorBidi" w:cstheme="majorBidi"/>
          <w:b/>
          <w:bCs/>
          <w:shadow/>
          <w:color w:val="FFC000"/>
          <w:sz w:val="26"/>
          <w:szCs w:val="26"/>
        </w:rPr>
        <w:t>COMMUNIQUE</w:t>
      </w:r>
    </w:p>
    <w:p w:rsidR="009E4B05" w:rsidRDefault="009E4B05" w:rsidP="00C7482E">
      <w:pPr>
        <w:spacing w:line="360" w:lineRule="auto"/>
        <w:jc w:val="both"/>
        <w:rPr>
          <w:rFonts w:ascii="Book Antiqua" w:hAnsi="Book Antiqua"/>
          <w:b/>
          <w:bCs/>
          <w:spacing w:val="5"/>
          <w:kern w:val="28"/>
        </w:rPr>
      </w:pPr>
    </w:p>
    <w:p w:rsidR="00700E49" w:rsidRPr="00D011F6" w:rsidRDefault="00700E49" w:rsidP="00C7482E">
      <w:pPr>
        <w:spacing w:line="360" w:lineRule="auto"/>
        <w:jc w:val="both"/>
        <w:rPr>
          <w:rFonts w:ascii="Book Antiqua" w:hAnsi="Book Antiqua"/>
          <w:b/>
          <w:bCs/>
          <w:spacing w:val="5"/>
          <w:kern w:val="28"/>
        </w:rPr>
      </w:pPr>
    </w:p>
    <w:p w:rsidR="00B06ADB" w:rsidRDefault="004E2977" w:rsidP="004E2977">
      <w:pPr>
        <w:spacing w:line="288" w:lineRule="auto"/>
        <w:rPr>
          <w:rFonts w:ascii="Book Antiqua" w:hAnsi="Book Antiqua"/>
          <w:b/>
          <w:bCs/>
          <w:shadow/>
          <w:color w:val="7030A0"/>
        </w:rPr>
      </w:pPr>
      <w:r w:rsidRPr="004E2977">
        <w:rPr>
          <w:rFonts w:ascii="Book Antiqua" w:hAnsi="Book Antiqua"/>
          <w:b/>
          <w:bCs/>
          <w:shadow/>
          <w:color w:val="7030A0"/>
        </w:rPr>
        <w:t xml:space="preserve">Le HCP lance la campagne de communication du RGPH 2024 </w:t>
      </w:r>
    </w:p>
    <w:p w:rsidR="00B06ADB" w:rsidRDefault="00B06ADB" w:rsidP="004E2977">
      <w:pPr>
        <w:spacing w:line="288" w:lineRule="auto"/>
        <w:rPr>
          <w:rFonts w:ascii="Book Antiqua" w:hAnsi="Book Antiqua"/>
          <w:b/>
          <w:bCs/>
          <w:shadow/>
          <w:color w:val="7030A0"/>
        </w:rPr>
      </w:pPr>
      <w:r>
        <w:rPr>
          <w:rFonts w:ascii="Book Antiqua" w:hAnsi="Book Antiqua"/>
          <w:b/>
          <w:bCs/>
          <w:shadow/>
          <w:color w:val="7030A0"/>
        </w:rPr>
        <w:t>ET</w:t>
      </w:r>
    </w:p>
    <w:p w:rsidR="00B06ADB" w:rsidRDefault="00B06ADB" w:rsidP="004E2977">
      <w:pPr>
        <w:spacing w:line="288" w:lineRule="auto"/>
        <w:rPr>
          <w:rFonts w:ascii="Book Antiqua" w:hAnsi="Book Antiqua"/>
          <w:b/>
          <w:bCs/>
          <w:shadow/>
          <w:color w:val="7030A0"/>
        </w:rPr>
      </w:pPr>
      <w:r w:rsidRPr="004E2977">
        <w:rPr>
          <w:rFonts w:ascii="Book Antiqua" w:hAnsi="Book Antiqua"/>
          <w:b/>
          <w:bCs/>
          <w:shadow/>
          <w:color w:val="7030A0"/>
        </w:rPr>
        <w:t>Présente</w:t>
      </w:r>
      <w:r w:rsidR="004E2977" w:rsidRPr="004E2977">
        <w:rPr>
          <w:rFonts w:ascii="Book Antiqua" w:hAnsi="Book Antiqua"/>
          <w:b/>
          <w:bCs/>
          <w:shadow/>
          <w:color w:val="7030A0"/>
        </w:rPr>
        <w:t xml:space="preserve"> les bases cartographiques et statistiques d’une </w:t>
      </w:r>
    </w:p>
    <w:p w:rsidR="004E2977" w:rsidRPr="004E2977" w:rsidRDefault="004E2977" w:rsidP="004E2977">
      <w:pPr>
        <w:spacing w:line="288" w:lineRule="auto"/>
        <w:rPr>
          <w:rFonts w:ascii="Book Antiqua" w:hAnsi="Book Antiqua"/>
          <w:b/>
          <w:bCs/>
          <w:shadow/>
          <w:color w:val="7030A0"/>
        </w:rPr>
      </w:pPr>
      <w:r w:rsidRPr="004E2977">
        <w:rPr>
          <w:rFonts w:ascii="Book Antiqua" w:hAnsi="Book Antiqua"/>
          <w:b/>
          <w:bCs/>
          <w:shadow/>
          <w:color w:val="7030A0"/>
        </w:rPr>
        <w:t>géographie humaine et économique du Maroc</w:t>
      </w:r>
    </w:p>
    <w:p w:rsidR="009E4B05" w:rsidRPr="004E2977" w:rsidRDefault="009E4B05" w:rsidP="009E4B05">
      <w:pPr>
        <w:rPr>
          <w:rFonts w:ascii="Book Antiqua" w:hAnsi="Book Antiqua"/>
          <w:b/>
          <w:bCs/>
          <w:shadow/>
          <w:color w:val="7030A0"/>
        </w:rPr>
      </w:pPr>
    </w:p>
    <w:p w:rsidR="00956390" w:rsidRDefault="00956390" w:rsidP="009E4B05">
      <w:pPr>
        <w:ind w:left="851" w:hanging="851"/>
        <w:jc w:val="both"/>
        <w:rPr>
          <w:rFonts w:ascii="Book Antiqua" w:hAnsi="Book Antiqua"/>
          <w:b/>
          <w:bCs/>
          <w:color w:val="7F7F7F"/>
          <w:sz w:val="26"/>
          <w:szCs w:val="26"/>
        </w:rPr>
      </w:pPr>
    </w:p>
    <w:p w:rsidR="002A6CDA" w:rsidRPr="005A0A40" w:rsidRDefault="002A6CDA" w:rsidP="002A6CDA">
      <w:pPr>
        <w:tabs>
          <w:tab w:val="left" w:pos="1843"/>
        </w:tabs>
        <w:spacing w:line="276" w:lineRule="auto"/>
        <w:jc w:val="both"/>
        <w:rPr>
          <w:rFonts w:asciiTheme="majorHAnsi" w:hAnsiTheme="majorHAnsi"/>
          <w:b/>
          <w:bCs/>
          <w:color w:val="7F7F7F"/>
          <w:sz w:val="26"/>
          <w:szCs w:val="26"/>
        </w:rPr>
      </w:pPr>
      <w:r w:rsidRPr="005A0A40">
        <w:rPr>
          <w:rFonts w:asciiTheme="majorHAnsi" w:hAnsiTheme="majorHAnsi"/>
          <w:b/>
          <w:bCs/>
          <w:color w:val="7F7F7F"/>
          <w:sz w:val="26"/>
          <w:szCs w:val="26"/>
        </w:rPr>
        <w:t>Le Haut-commissariat au Plan annonce, pour le mercredi 03 juillet 2024 à Rabat, le coup d’envoi de la campagne de communication du Recensement Général de la Population et de l’Habitat 2024 et la présentation dans ce cadre de l’identité visuelle et des slogans qui l’accompagnent et qui portent</w:t>
      </w:r>
      <w:bookmarkStart w:id="0" w:name="_GoBack"/>
      <w:bookmarkEnd w:id="0"/>
      <w:r w:rsidRPr="005A0A40">
        <w:rPr>
          <w:rFonts w:asciiTheme="majorHAnsi" w:hAnsiTheme="majorHAnsi"/>
          <w:b/>
          <w:bCs/>
          <w:color w:val="7F7F7F"/>
          <w:sz w:val="26"/>
          <w:szCs w:val="26"/>
        </w:rPr>
        <w:t xml:space="preserve"> les valeurs qui ont présidé à sa conception.</w:t>
      </w:r>
    </w:p>
    <w:p w:rsidR="002A6CDA" w:rsidRPr="0070536C" w:rsidRDefault="002A6CDA" w:rsidP="002A6CDA">
      <w:pPr>
        <w:tabs>
          <w:tab w:val="left" w:pos="1843"/>
        </w:tabs>
        <w:jc w:val="both"/>
        <w:rPr>
          <w:sz w:val="28"/>
          <w:szCs w:val="28"/>
        </w:rPr>
      </w:pPr>
    </w:p>
    <w:p w:rsidR="002A6CDA" w:rsidRPr="005A0A40" w:rsidRDefault="002A6CDA" w:rsidP="002A6CDA">
      <w:pPr>
        <w:tabs>
          <w:tab w:val="left" w:pos="1843"/>
        </w:tabs>
        <w:spacing w:line="276" w:lineRule="auto"/>
        <w:jc w:val="both"/>
        <w:rPr>
          <w:rFonts w:asciiTheme="majorHAnsi" w:hAnsiTheme="majorHAnsi"/>
          <w:b/>
          <w:bCs/>
          <w:color w:val="7F7F7F"/>
          <w:sz w:val="26"/>
          <w:szCs w:val="26"/>
        </w:rPr>
      </w:pPr>
      <w:bookmarkStart w:id="1" w:name="_heading=h.q5gwko4draq8" w:colFirst="0" w:colLast="0"/>
      <w:bookmarkEnd w:id="1"/>
      <w:r w:rsidRPr="005A0A40">
        <w:rPr>
          <w:rFonts w:asciiTheme="majorHAnsi" w:hAnsiTheme="majorHAnsi"/>
          <w:b/>
          <w:bCs/>
          <w:color w:val="7F7F7F"/>
          <w:sz w:val="26"/>
          <w:szCs w:val="26"/>
        </w:rPr>
        <w:t>A cette occasion, le HCP prévoit, pour la première fois, la projection dynamique des cartographies géoréférencées des constructions et logements ainsi que celles des établissements économiques actifs, telles qu’elles ont été réalisées dans le cadre de la préparation du RGPH 2024, entre avril 2023 et mai 2024, sur l’ensemble du territoire national, et qui devraient constituer les bases d’une géographie humaine et économique du Maroc.</w:t>
      </w:r>
    </w:p>
    <w:sectPr w:rsidR="002A6CDA" w:rsidRPr="005A0A40" w:rsidSect="00F537A0">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3DF" w:rsidRDefault="002613DF">
      <w:r>
        <w:separator/>
      </w:r>
    </w:p>
  </w:endnote>
  <w:endnote w:type="continuationSeparator" w:id="0">
    <w:p w:rsidR="002613DF" w:rsidRDefault="00261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6F27CC"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6F27CC"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831E2A">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831E2A">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6F27CC">
    <w:pPr>
      <w:pStyle w:val="Pieddepage"/>
    </w:pPr>
    <w:r>
      <w:rPr>
        <w:noProof/>
      </w:rPr>
      <w:pict>
        <v:shapetype id="_x0000_t202" coordsize="21600,21600" o:spt="202" path="m,l,21600r21600,l21600,xe">
          <v:stroke joinstyle="miter"/>
          <v:path gradientshapeok="t" o:connecttype="rect"/>
        </v:shapetype>
        <v:shape id="_x0000_s2051" type="#_x0000_t202" style="position:absolute;left:0;text-align:left;margin-left:-55pt;margin-top:2.05pt;width:212.95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sidR="00F02A80">
                  <w:rPr>
                    <w:rFonts w:ascii="Arial" w:hAnsi="Arial" w:cs="Arial"/>
                    <w:color w:val="993366"/>
                    <w:sz w:val="20"/>
                    <w:szCs w:val="20"/>
                  </w:rPr>
                  <w:t xml:space="preserve">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left:0;text-align:left;margin-left:-75.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sidR="00F02A80">
                  <w:rPr>
                    <w:rFonts w:ascii="Arial" w:hAnsi="Arial" w:cs="Arial"/>
                    <w:color w:val="993366"/>
                    <w:sz w:val="20"/>
                    <w:szCs w:val="20"/>
                    <w:lang w:val="en-US"/>
                  </w:rPr>
                  <w:t xml:space="preserve">     </w:t>
                </w:r>
                <w:r>
                  <w:rPr>
                    <w:rFonts w:ascii="Arial" w:hAnsi="Arial" w:cs="Arial"/>
                    <w:color w:val="993366"/>
                    <w:sz w:val="20"/>
                    <w:szCs w:val="20"/>
                    <w:lang w:val="en-US"/>
                  </w:rPr>
                  <w:t xml:space="preserve">BP : 178 </w:t>
                </w:r>
              </w:p>
              <w:p w:rsidR="00AE3BF1" w:rsidRPr="00773F09" w:rsidRDefault="00AE3BF1" w:rsidP="00DB293A">
                <w:pP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rect id="_x0000_s2057" style="position:absolute;left:0;text-align:left;margin-left:-168.2pt;margin-top:-365.45pt;width:684.15pt;height:403.5pt;z-index:-251654656" o:preferrelative="t" filled="f" stroked="f" insetpen="t" o:cliptowrap="t">
          <v:imagedata r:id="rId1" o:title=""/>
          <v:path o:extrusionok="f"/>
          <o:lock v:ext="edit" aspectratio="t"/>
          <w10:wrap anchorx="page"/>
        </v:rect>
        <o:OLEObject Type="Embed" ProgID="PBrush" ShapeID="_x0000_s2057" DrawAspect="Content" ObjectID="_1781187402" r:id="rId2"/>
      </w:pict>
    </w:r>
    <w:r>
      <w:rPr>
        <w:noProof/>
      </w:rPr>
      <w:pict>
        <v:shape id="_x0000_s2055" type="#_x0000_t202" style="position:absolute;left:0;text-align:left;margin-left:164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3" type="#_x0000_t202" style="position:absolute;left:0;text-align:left;margin-left:264.95pt;margin-top:.7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0" type="#_x0000_t202" style="position:absolute;left:0;text-align:left;margin-left:236pt;margin-top:-15.2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4" type="#_x0000_t202" style="position:absolute;left:0;text-align:left;margin-left:142.95pt;margin-top:.7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w:t>
                </w:r>
                <w:r w:rsidR="00F02A80">
                  <w:rPr>
                    <w:rFonts w:ascii="Arial" w:hAnsi="Arial" w:cs="Arial"/>
                    <w:color w:val="993366"/>
                    <w:sz w:val="20"/>
                    <w:szCs w:val="20"/>
                  </w:rPr>
                  <w:t xml:space="preserve">     </w:t>
                </w:r>
                <w:r>
                  <w:rPr>
                    <w:rFonts w:ascii="Arial" w:hAnsi="Arial" w:cs="Arial"/>
                    <w:color w:val="993366"/>
                    <w:sz w:val="20"/>
                    <w:szCs w:val="20"/>
                  </w:rPr>
                  <w:t xml:space="preserve">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3DF" w:rsidRDefault="002613DF">
      <w:r>
        <w:separator/>
      </w:r>
    </w:p>
  </w:footnote>
  <w:footnote w:type="continuationSeparator" w:id="0">
    <w:p w:rsidR="002613DF" w:rsidRDefault="00261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-1518285</wp:posOffset>
          </wp:positionH>
          <wp:positionV relativeFrom="paragraph">
            <wp:posOffset>-437515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8370"/>
    <o:shapelayout v:ext="edit">
      <o:idmap v:ext="edit" data="2"/>
    </o:shapelayout>
  </w:hdrShapeDefaults>
  <w:footnotePr>
    <w:footnote w:id="-1"/>
    <w:footnote w:id="0"/>
  </w:footnotePr>
  <w:endnotePr>
    <w:endnote w:id="-1"/>
    <w:endnote w:id="0"/>
  </w:endnotePr>
  <w:compat/>
  <w:rsids>
    <w:rsidRoot w:val="00A7067D"/>
    <w:rsid w:val="000025B3"/>
    <w:rsid w:val="00002BA4"/>
    <w:rsid w:val="00010F70"/>
    <w:rsid w:val="000121C7"/>
    <w:rsid w:val="0001390E"/>
    <w:rsid w:val="00013A7F"/>
    <w:rsid w:val="00013C22"/>
    <w:rsid w:val="000152BC"/>
    <w:rsid w:val="0001611A"/>
    <w:rsid w:val="00016D3B"/>
    <w:rsid w:val="000205FA"/>
    <w:rsid w:val="00024095"/>
    <w:rsid w:val="00027850"/>
    <w:rsid w:val="000355D9"/>
    <w:rsid w:val="00050A6E"/>
    <w:rsid w:val="000539D4"/>
    <w:rsid w:val="000554EE"/>
    <w:rsid w:val="00056F99"/>
    <w:rsid w:val="00060321"/>
    <w:rsid w:val="00064386"/>
    <w:rsid w:val="0006553F"/>
    <w:rsid w:val="00066C04"/>
    <w:rsid w:val="00070037"/>
    <w:rsid w:val="00070F24"/>
    <w:rsid w:val="00071E37"/>
    <w:rsid w:val="00081BE5"/>
    <w:rsid w:val="00085E86"/>
    <w:rsid w:val="00091170"/>
    <w:rsid w:val="00093DC5"/>
    <w:rsid w:val="00096831"/>
    <w:rsid w:val="000A162D"/>
    <w:rsid w:val="000A199F"/>
    <w:rsid w:val="000A3BE9"/>
    <w:rsid w:val="000A4F68"/>
    <w:rsid w:val="000B2A3E"/>
    <w:rsid w:val="000B7948"/>
    <w:rsid w:val="000C1943"/>
    <w:rsid w:val="000C5E54"/>
    <w:rsid w:val="000C673D"/>
    <w:rsid w:val="000C7682"/>
    <w:rsid w:val="000D25AF"/>
    <w:rsid w:val="000D3227"/>
    <w:rsid w:val="000E21D3"/>
    <w:rsid w:val="000E7503"/>
    <w:rsid w:val="00100AF5"/>
    <w:rsid w:val="001063C7"/>
    <w:rsid w:val="00107113"/>
    <w:rsid w:val="00110139"/>
    <w:rsid w:val="00114C7E"/>
    <w:rsid w:val="00116B4A"/>
    <w:rsid w:val="00120AF1"/>
    <w:rsid w:val="0012265F"/>
    <w:rsid w:val="00137652"/>
    <w:rsid w:val="001379C2"/>
    <w:rsid w:val="001437B0"/>
    <w:rsid w:val="00144157"/>
    <w:rsid w:val="001513A6"/>
    <w:rsid w:val="00153DC3"/>
    <w:rsid w:val="00155095"/>
    <w:rsid w:val="00155EBB"/>
    <w:rsid w:val="00157C1D"/>
    <w:rsid w:val="00161B21"/>
    <w:rsid w:val="001630F0"/>
    <w:rsid w:val="0016363C"/>
    <w:rsid w:val="001640AC"/>
    <w:rsid w:val="001661DE"/>
    <w:rsid w:val="00173DF2"/>
    <w:rsid w:val="00174719"/>
    <w:rsid w:val="00176CC0"/>
    <w:rsid w:val="00177EC0"/>
    <w:rsid w:val="00181EFF"/>
    <w:rsid w:val="001907EE"/>
    <w:rsid w:val="001A01E4"/>
    <w:rsid w:val="001A1A9C"/>
    <w:rsid w:val="001A2FF3"/>
    <w:rsid w:val="001A7093"/>
    <w:rsid w:val="001B2CB8"/>
    <w:rsid w:val="001C3920"/>
    <w:rsid w:val="001C4BE1"/>
    <w:rsid w:val="001D0516"/>
    <w:rsid w:val="001D07F7"/>
    <w:rsid w:val="001D0B13"/>
    <w:rsid w:val="001D34E6"/>
    <w:rsid w:val="001D57E1"/>
    <w:rsid w:val="001D647D"/>
    <w:rsid w:val="001E05D5"/>
    <w:rsid w:val="001E6C1F"/>
    <w:rsid w:val="001F1343"/>
    <w:rsid w:val="001F3482"/>
    <w:rsid w:val="001F4836"/>
    <w:rsid w:val="001F6AD9"/>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13DF"/>
    <w:rsid w:val="00262AA7"/>
    <w:rsid w:val="00264343"/>
    <w:rsid w:val="00264D30"/>
    <w:rsid w:val="00271922"/>
    <w:rsid w:val="00273D78"/>
    <w:rsid w:val="0028585A"/>
    <w:rsid w:val="00286F23"/>
    <w:rsid w:val="00287656"/>
    <w:rsid w:val="00290B88"/>
    <w:rsid w:val="002A281B"/>
    <w:rsid w:val="002A5A7C"/>
    <w:rsid w:val="002A688F"/>
    <w:rsid w:val="002A6CDA"/>
    <w:rsid w:val="002A7075"/>
    <w:rsid w:val="002B2CF6"/>
    <w:rsid w:val="002C02CC"/>
    <w:rsid w:val="002C09B2"/>
    <w:rsid w:val="002C6433"/>
    <w:rsid w:val="002D022C"/>
    <w:rsid w:val="002D2CCE"/>
    <w:rsid w:val="002D3BD2"/>
    <w:rsid w:val="002D49EF"/>
    <w:rsid w:val="002E0891"/>
    <w:rsid w:val="002E3ABA"/>
    <w:rsid w:val="002F3B72"/>
    <w:rsid w:val="0030536A"/>
    <w:rsid w:val="0030605C"/>
    <w:rsid w:val="003121A0"/>
    <w:rsid w:val="00314191"/>
    <w:rsid w:val="00316A57"/>
    <w:rsid w:val="0031735D"/>
    <w:rsid w:val="003243B5"/>
    <w:rsid w:val="00326824"/>
    <w:rsid w:val="00327972"/>
    <w:rsid w:val="003347C0"/>
    <w:rsid w:val="0033724B"/>
    <w:rsid w:val="00341BE6"/>
    <w:rsid w:val="00346F33"/>
    <w:rsid w:val="003474E7"/>
    <w:rsid w:val="00351D4C"/>
    <w:rsid w:val="00354764"/>
    <w:rsid w:val="003557D2"/>
    <w:rsid w:val="00363029"/>
    <w:rsid w:val="003671BE"/>
    <w:rsid w:val="00376C2C"/>
    <w:rsid w:val="00376C4A"/>
    <w:rsid w:val="00385013"/>
    <w:rsid w:val="0039063A"/>
    <w:rsid w:val="00393B90"/>
    <w:rsid w:val="00393EF8"/>
    <w:rsid w:val="003A14B5"/>
    <w:rsid w:val="003A17E2"/>
    <w:rsid w:val="003A5CB2"/>
    <w:rsid w:val="003B7C9A"/>
    <w:rsid w:val="003C357A"/>
    <w:rsid w:val="003C54F3"/>
    <w:rsid w:val="003D1732"/>
    <w:rsid w:val="003E5DDB"/>
    <w:rsid w:val="003F28EA"/>
    <w:rsid w:val="003F445E"/>
    <w:rsid w:val="00401D3E"/>
    <w:rsid w:val="00403A20"/>
    <w:rsid w:val="00421487"/>
    <w:rsid w:val="0042664F"/>
    <w:rsid w:val="004275D6"/>
    <w:rsid w:val="00436566"/>
    <w:rsid w:val="00440EAF"/>
    <w:rsid w:val="00446DB7"/>
    <w:rsid w:val="00447FBC"/>
    <w:rsid w:val="00455305"/>
    <w:rsid w:val="00455540"/>
    <w:rsid w:val="0047032B"/>
    <w:rsid w:val="004744FF"/>
    <w:rsid w:val="004749FD"/>
    <w:rsid w:val="00481E24"/>
    <w:rsid w:val="00484E8D"/>
    <w:rsid w:val="0049060D"/>
    <w:rsid w:val="004A1173"/>
    <w:rsid w:val="004A225B"/>
    <w:rsid w:val="004A2819"/>
    <w:rsid w:val="004A73C5"/>
    <w:rsid w:val="004B1A9E"/>
    <w:rsid w:val="004B3780"/>
    <w:rsid w:val="004B3B09"/>
    <w:rsid w:val="004B42B1"/>
    <w:rsid w:val="004B4D2F"/>
    <w:rsid w:val="004B5569"/>
    <w:rsid w:val="004B6126"/>
    <w:rsid w:val="004B66EA"/>
    <w:rsid w:val="004C3138"/>
    <w:rsid w:val="004C43FD"/>
    <w:rsid w:val="004D550D"/>
    <w:rsid w:val="004D7A5D"/>
    <w:rsid w:val="004E1CDD"/>
    <w:rsid w:val="004E2977"/>
    <w:rsid w:val="004E36E2"/>
    <w:rsid w:val="004E51D6"/>
    <w:rsid w:val="004E67F8"/>
    <w:rsid w:val="004E6CF3"/>
    <w:rsid w:val="004E7393"/>
    <w:rsid w:val="004F512A"/>
    <w:rsid w:val="004F572F"/>
    <w:rsid w:val="004F57F8"/>
    <w:rsid w:val="004F60EB"/>
    <w:rsid w:val="004F62DC"/>
    <w:rsid w:val="005052E3"/>
    <w:rsid w:val="0051103B"/>
    <w:rsid w:val="005111B4"/>
    <w:rsid w:val="005126CC"/>
    <w:rsid w:val="005178FE"/>
    <w:rsid w:val="005221A2"/>
    <w:rsid w:val="0052236C"/>
    <w:rsid w:val="0052635A"/>
    <w:rsid w:val="00533EE5"/>
    <w:rsid w:val="00537897"/>
    <w:rsid w:val="00541C46"/>
    <w:rsid w:val="00542043"/>
    <w:rsid w:val="00542E3A"/>
    <w:rsid w:val="00547ECD"/>
    <w:rsid w:val="00550169"/>
    <w:rsid w:val="00564AE3"/>
    <w:rsid w:val="005678E6"/>
    <w:rsid w:val="0057148E"/>
    <w:rsid w:val="00571918"/>
    <w:rsid w:val="005746EB"/>
    <w:rsid w:val="005754A6"/>
    <w:rsid w:val="00575765"/>
    <w:rsid w:val="005814DE"/>
    <w:rsid w:val="00582403"/>
    <w:rsid w:val="005841F7"/>
    <w:rsid w:val="005909CA"/>
    <w:rsid w:val="00590E1B"/>
    <w:rsid w:val="005933D5"/>
    <w:rsid w:val="00594250"/>
    <w:rsid w:val="00594D60"/>
    <w:rsid w:val="00594FBA"/>
    <w:rsid w:val="00595235"/>
    <w:rsid w:val="005A0A40"/>
    <w:rsid w:val="005B0675"/>
    <w:rsid w:val="005B3499"/>
    <w:rsid w:val="005B3582"/>
    <w:rsid w:val="005B48EA"/>
    <w:rsid w:val="005C28E5"/>
    <w:rsid w:val="005C5B32"/>
    <w:rsid w:val="005C707A"/>
    <w:rsid w:val="005C7D21"/>
    <w:rsid w:val="005D0550"/>
    <w:rsid w:val="005D14CD"/>
    <w:rsid w:val="005D71A1"/>
    <w:rsid w:val="005D72D0"/>
    <w:rsid w:val="005E3BDC"/>
    <w:rsid w:val="005E4938"/>
    <w:rsid w:val="00602674"/>
    <w:rsid w:val="00604836"/>
    <w:rsid w:val="0061089F"/>
    <w:rsid w:val="00610ADF"/>
    <w:rsid w:val="00611B94"/>
    <w:rsid w:val="0061442D"/>
    <w:rsid w:val="00615F4A"/>
    <w:rsid w:val="00621F5D"/>
    <w:rsid w:val="00630E13"/>
    <w:rsid w:val="00631175"/>
    <w:rsid w:val="0063123E"/>
    <w:rsid w:val="00633846"/>
    <w:rsid w:val="00633BBA"/>
    <w:rsid w:val="006351D0"/>
    <w:rsid w:val="00635AEC"/>
    <w:rsid w:val="00637A38"/>
    <w:rsid w:val="00637BB1"/>
    <w:rsid w:val="006418B5"/>
    <w:rsid w:val="00650FBE"/>
    <w:rsid w:val="00656EDF"/>
    <w:rsid w:val="00661B0F"/>
    <w:rsid w:val="00665592"/>
    <w:rsid w:val="00667E75"/>
    <w:rsid w:val="00667ECC"/>
    <w:rsid w:val="0067021B"/>
    <w:rsid w:val="006707C0"/>
    <w:rsid w:val="006732B3"/>
    <w:rsid w:val="006737F1"/>
    <w:rsid w:val="00674081"/>
    <w:rsid w:val="00682878"/>
    <w:rsid w:val="0068506D"/>
    <w:rsid w:val="00687A8F"/>
    <w:rsid w:val="00690CED"/>
    <w:rsid w:val="00692552"/>
    <w:rsid w:val="00694FF6"/>
    <w:rsid w:val="00695BAE"/>
    <w:rsid w:val="006A3883"/>
    <w:rsid w:val="006A77BF"/>
    <w:rsid w:val="006B5F68"/>
    <w:rsid w:val="006C77C9"/>
    <w:rsid w:val="006D0113"/>
    <w:rsid w:val="006D22BC"/>
    <w:rsid w:val="006D4F49"/>
    <w:rsid w:val="006D7AEF"/>
    <w:rsid w:val="006D7FA4"/>
    <w:rsid w:val="006E2C7A"/>
    <w:rsid w:val="006E456F"/>
    <w:rsid w:val="006E55FD"/>
    <w:rsid w:val="006E5679"/>
    <w:rsid w:val="006E608B"/>
    <w:rsid w:val="006E7909"/>
    <w:rsid w:val="006F27CC"/>
    <w:rsid w:val="00700E49"/>
    <w:rsid w:val="00700E75"/>
    <w:rsid w:val="007064CC"/>
    <w:rsid w:val="007206D4"/>
    <w:rsid w:val="0072573B"/>
    <w:rsid w:val="007273F0"/>
    <w:rsid w:val="00730CFE"/>
    <w:rsid w:val="007320F2"/>
    <w:rsid w:val="00737D26"/>
    <w:rsid w:val="00737E9A"/>
    <w:rsid w:val="007418E0"/>
    <w:rsid w:val="00752832"/>
    <w:rsid w:val="00761703"/>
    <w:rsid w:val="00762728"/>
    <w:rsid w:val="00763262"/>
    <w:rsid w:val="0076370A"/>
    <w:rsid w:val="00765F4E"/>
    <w:rsid w:val="00772673"/>
    <w:rsid w:val="00773F09"/>
    <w:rsid w:val="00774608"/>
    <w:rsid w:val="007760AE"/>
    <w:rsid w:val="00776F26"/>
    <w:rsid w:val="00782073"/>
    <w:rsid w:val="00785179"/>
    <w:rsid w:val="00790B01"/>
    <w:rsid w:val="00791486"/>
    <w:rsid w:val="00792680"/>
    <w:rsid w:val="00793800"/>
    <w:rsid w:val="00794363"/>
    <w:rsid w:val="00796547"/>
    <w:rsid w:val="00797E37"/>
    <w:rsid w:val="007A3834"/>
    <w:rsid w:val="007A4BAD"/>
    <w:rsid w:val="007A6298"/>
    <w:rsid w:val="007B0E89"/>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803256"/>
    <w:rsid w:val="008043F5"/>
    <w:rsid w:val="0080593A"/>
    <w:rsid w:val="00806946"/>
    <w:rsid w:val="00807DC4"/>
    <w:rsid w:val="0081097D"/>
    <w:rsid w:val="00811CEF"/>
    <w:rsid w:val="008148E1"/>
    <w:rsid w:val="00817D3A"/>
    <w:rsid w:val="00822820"/>
    <w:rsid w:val="00831E2A"/>
    <w:rsid w:val="008373A3"/>
    <w:rsid w:val="00837514"/>
    <w:rsid w:val="0084269C"/>
    <w:rsid w:val="00847DB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F416D"/>
    <w:rsid w:val="008F6D54"/>
    <w:rsid w:val="00900744"/>
    <w:rsid w:val="00900B2E"/>
    <w:rsid w:val="009122A3"/>
    <w:rsid w:val="00930BC1"/>
    <w:rsid w:val="00931126"/>
    <w:rsid w:val="00944B4F"/>
    <w:rsid w:val="0095153B"/>
    <w:rsid w:val="00953DB4"/>
    <w:rsid w:val="00956390"/>
    <w:rsid w:val="00960C51"/>
    <w:rsid w:val="00961216"/>
    <w:rsid w:val="00965163"/>
    <w:rsid w:val="00965E2B"/>
    <w:rsid w:val="00970294"/>
    <w:rsid w:val="009750B7"/>
    <w:rsid w:val="009801E4"/>
    <w:rsid w:val="00984C53"/>
    <w:rsid w:val="00990C6F"/>
    <w:rsid w:val="00996F92"/>
    <w:rsid w:val="009A205F"/>
    <w:rsid w:val="009A3A8A"/>
    <w:rsid w:val="009A4BB0"/>
    <w:rsid w:val="009B2B2B"/>
    <w:rsid w:val="009C0E61"/>
    <w:rsid w:val="009C384D"/>
    <w:rsid w:val="009C66B0"/>
    <w:rsid w:val="009D0EEB"/>
    <w:rsid w:val="009D1867"/>
    <w:rsid w:val="009D3F74"/>
    <w:rsid w:val="009D664A"/>
    <w:rsid w:val="009E1925"/>
    <w:rsid w:val="009E3005"/>
    <w:rsid w:val="009E4032"/>
    <w:rsid w:val="009E4B05"/>
    <w:rsid w:val="009E4BD5"/>
    <w:rsid w:val="009E6697"/>
    <w:rsid w:val="009F5937"/>
    <w:rsid w:val="00A028B9"/>
    <w:rsid w:val="00A03537"/>
    <w:rsid w:val="00A03BBB"/>
    <w:rsid w:val="00A06843"/>
    <w:rsid w:val="00A07E32"/>
    <w:rsid w:val="00A11972"/>
    <w:rsid w:val="00A16299"/>
    <w:rsid w:val="00A17CEA"/>
    <w:rsid w:val="00A250DB"/>
    <w:rsid w:val="00A27B98"/>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2D51"/>
    <w:rsid w:val="00AA3E6A"/>
    <w:rsid w:val="00AA48F7"/>
    <w:rsid w:val="00AA5B45"/>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74CA"/>
    <w:rsid w:val="00B01F8F"/>
    <w:rsid w:val="00B03879"/>
    <w:rsid w:val="00B04AEA"/>
    <w:rsid w:val="00B065DA"/>
    <w:rsid w:val="00B06ADB"/>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97E89"/>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4DCE"/>
    <w:rsid w:val="00C1543C"/>
    <w:rsid w:val="00C26145"/>
    <w:rsid w:val="00C31EF5"/>
    <w:rsid w:val="00C36CAE"/>
    <w:rsid w:val="00C37563"/>
    <w:rsid w:val="00C455CF"/>
    <w:rsid w:val="00C45E08"/>
    <w:rsid w:val="00C509B9"/>
    <w:rsid w:val="00C5584A"/>
    <w:rsid w:val="00C569B9"/>
    <w:rsid w:val="00C57DE2"/>
    <w:rsid w:val="00C645E1"/>
    <w:rsid w:val="00C7482E"/>
    <w:rsid w:val="00C77AA4"/>
    <w:rsid w:val="00C825C2"/>
    <w:rsid w:val="00C92504"/>
    <w:rsid w:val="00C92E38"/>
    <w:rsid w:val="00CA0180"/>
    <w:rsid w:val="00CA2232"/>
    <w:rsid w:val="00CA5B96"/>
    <w:rsid w:val="00CA7648"/>
    <w:rsid w:val="00CB05C8"/>
    <w:rsid w:val="00CB3A44"/>
    <w:rsid w:val="00CC0D73"/>
    <w:rsid w:val="00CC289A"/>
    <w:rsid w:val="00CC5A17"/>
    <w:rsid w:val="00CC5F3B"/>
    <w:rsid w:val="00CD1784"/>
    <w:rsid w:val="00CD6E99"/>
    <w:rsid w:val="00CD7C5C"/>
    <w:rsid w:val="00CE08CE"/>
    <w:rsid w:val="00CE718A"/>
    <w:rsid w:val="00CE7BB5"/>
    <w:rsid w:val="00CF3217"/>
    <w:rsid w:val="00D01031"/>
    <w:rsid w:val="00D02AC8"/>
    <w:rsid w:val="00D07E75"/>
    <w:rsid w:val="00D12FA1"/>
    <w:rsid w:val="00D15EC7"/>
    <w:rsid w:val="00D224CC"/>
    <w:rsid w:val="00D303C9"/>
    <w:rsid w:val="00D30672"/>
    <w:rsid w:val="00D30B74"/>
    <w:rsid w:val="00D3608E"/>
    <w:rsid w:val="00D40AE4"/>
    <w:rsid w:val="00D43226"/>
    <w:rsid w:val="00D46A93"/>
    <w:rsid w:val="00D4763E"/>
    <w:rsid w:val="00D60382"/>
    <w:rsid w:val="00D71C17"/>
    <w:rsid w:val="00D71FF6"/>
    <w:rsid w:val="00D801F5"/>
    <w:rsid w:val="00D820EB"/>
    <w:rsid w:val="00D82174"/>
    <w:rsid w:val="00D827F9"/>
    <w:rsid w:val="00DA5A4B"/>
    <w:rsid w:val="00DB27A9"/>
    <w:rsid w:val="00DB293A"/>
    <w:rsid w:val="00DB41D2"/>
    <w:rsid w:val="00DB5B3F"/>
    <w:rsid w:val="00DC0C38"/>
    <w:rsid w:val="00DD1685"/>
    <w:rsid w:val="00DD4344"/>
    <w:rsid w:val="00DD4AEF"/>
    <w:rsid w:val="00DD4E19"/>
    <w:rsid w:val="00DD5A2F"/>
    <w:rsid w:val="00DE1986"/>
    <w:rsid w:val="00DE635A"/>
    <w:rsid w:val="00DE7A2F"/>
    <w:rsid w:val="00E022E3"/>
    <w:rsid w:val="00E03B7C"/>
    <w:rsid w:val="00E052C6"/>
    <w:rsid w:val="00E10773"/>
    <w:rsid w:val="00E11DF5"/>
    <w:rsid w:val="00E1209A"/>
    <w:rsid w:val="00E1478F"/>
    <w:rsid w:val="00E204BA"/>
    <w:rsid w:val="00E2252B"/>
    <w:rsid w:val="00E225AC"/>
    <w:rsid w:val="00E24DC2"/>
    <w:rsid w:val="00E30992"/>
    <w:rsid w:val="00E32D1F"/>
    <w:rsid w:val="00E343C3"/>
    <w:rsid w:val="00E40104"/>
    <w:rsid w:val="00E41A5C"/>
    <w:rsid w:val="00E52A17"/>
    <w:rsid w:val="00E54E88"/>
    <w:rsid w:val="00E62E93"/>
    <w:rsid w:val="00E643D8"/>
    <w:rsid w:val="00E6596F"/>
    <w:rsid w:val="00E675B1"/>
    <w:rsid w:val="00E81203"/>
    <w:rsid w:val="00E81537"/>
    <w:rsid w:val="00E819FA"/>
    <w:rsid w:val="00E82E2E"/>
    <w:rsid w:val="00E84D02"/>
    <w:rsid w:val="00E85B18"/>
    <w:rsid w:val="00E86900"/>
    <w:rsid w:val="00E947A6"/>
    <w:rsid w:val="00E9733C"/>
    <w:rsid w:val="00EA38CD"/>
    <w:rsid w:val="00EA5644"/>
    <w:rsid w:val="00EB537F"/>
    <w:rsid w:val="00EB5AC5"/>
    <w:rsid w:val="00EB7741"/>
    <w:rsid w:val="00EC44C9"/>
    <w:rsid w:val="00EC6140"/>
    <w:rsid w:val="00EE0046"/>
    <w:rsid w:val="00EE549F"/>
    <w:rsid w:val="00EE5D39"/>
    <w:rsid w:val="00EE7406"/>
    <w:rsid w:val="00EF13CA"/>
    <w:rsid w:val="00F02A80"/>
    <w:rsid w:val="00F04FE2"/>
    <w:rsid w:val="00F1016F"/>
    <w:rsid w:val="00F11331"/>
    <w:rsid w:val="00F13493"/>
    <w:rsid w:val="00F15891"/>
    <w:rsid w:val="00F16832"/>
    <w:rsid w:val="00F20013"/>
    <w:rsid w:val="00F220B7"/>
    <w:rsid w:val="00F24784"/>
    <w:rsid w:val="00F2657B"/>
    <w:rsid w:val="00F30486"/>
    <w:rsid w:val="00F30675"/>
    <w:rsid w:val="00F35B0B"/>
    <w:rsid w:val="00F35C32"/>
    <w:rsid w:val="00F43984"/>
    <w:rsid w:val="00F4704E"/>
    <w:rsid w:val="00F51740"/>
    <w:rsid w:val="00F52F2E"/>
    <w:rsid w:val="00F537A0"/>
    <w:rsid w:val="00F549CF"/>
    <w:rsid w:val="00F566E9"/>
    <w:rsid w:val="00F61F8F"/>
    <w:rsid w:val="00F63B2E"/>
    <w:rsid w:val="00F66232"/>
    <w:rsid w:val="00F6696A"/>
    <w:rsid w:val="00F72EC6"/>
    <w:rsid w:val="00F74831"/>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2B9C"/>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
    <w:qFormat/>
    <w:rsid w:val="00AC3133"/>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818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2011-02-07T12:41:00Z</cp:lastPrinted>
  <dcterms:created xsi:type="dcterms:W3CDTF">2024-06-29T17:30:00Z</dcterms:created>
  <dcterms:modified xsi:type="dcterms:W3CDTF">2024-06-29T17:30:00Z</dcterms:modified>
</cp:coreProperties>
</file>