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83" w:rsidRPr="00F10683" w:rsidRDefault="00F10683" w:rsidP="0076744D">
      <w:pPr>
        <w:pStyle w:val="Corpsdetexte"/>
        <w:spacing w:line="276" w:lineRule="auto"/>
        <w:jc w:val="center"/>
        <w:rPr>
          <w:b/>
          <w:bCs/>
          <w:i/>
          <w:iCs/>
          <w:color w:val="C00000"/>
          <w:sz w:val="32"/>
          <w:szCs w:val="32"/>
        </w:rPr>
      </w:pPr>
      <w:r w:rsidRPr="00F10683">
        <w:rPr>
          <w:b/>
          <w:bCs/>
          <w:i/>
          <w:iCs/>
          <w:color w:val="C00000"/>
          <w:sz w:val="32"/>
          <w:szCs w:val="32"/>
        </w:rPr>
        <w:t>Note d’information du Haut</w:t>
      </w:r>
      <w:r>
        <w:rPr>
          <w:b/>
          <w:bCs/>
          <w:i/>
          <w:iCs/>
          <w:color w:val="C00000"/>
          <w:sz w:val="32"/>
          <w:szCs w:val="32"/>
        </w:rPr>
        <w:t>-</w:t>
      </w:r>
      <w:r w:rsidRPr="00F10683">
        <w:rPr>
          <w:b/>
          <w:bCs/>
          <w:i/>
          <w:iCs/>
          <w:color w:val="C00000"/>
          <w:sz w:val="32"/>
          <w:szCs w:val="32"/>
        </w:rPr>
        <w:t>Commissariat au Plan</w:t>
      </w:r>
      <w:r w:rsidRPr="00F10683">
        <w:rPr>
          <w:b/>
          <w:bCs/>
          <w:i/>
          <w:iCs/>
          <w:color w:val="C00000"/>
          <w:sz w:val="32"/>
          <w:szCs w:val="32"/>
        </w:rPr>
        <w:br/>
        <w:t xml:space="preserve">A </w:t>
      </w:r>
      <w:r w:rsidR="0076744D" w:rsidRPr="00F10683">
        <w:rPr>
          <w:b/>
          <w:bCs/>
          <w:i/>
          <w:iCs/>
          <w:color w:val="C00000"/>
          <w:sz w:val="32"/>
          <w:szCs w:val="32"/>
        </w:rPr>
        <w:t>l’occasion</w:t>
      </w:r>
      <w:r w:rsidRPr="00F10683">
        <w:rPr>
          <w:b/>
          <w:bCs/>
          <w:i/>
          <w:iCs/>
          <w:color w:val="C00000"/>
          <w:sz w:val="32"/>
          <w:szCs w:val="32"/>
        </w:rPr>
        <w:t xml:space="preserve"> de la journée mondiale</w:t>
      </w:r>
      <w:r w:rsidRPr="00F10683">
        <w:rPr>
          <w:b/>
          <w:bCs/>
          <w:i/>
          <w:iCs/>
          <w:color w:val="C00000"/>
          <w:sz w:val="32"/>
          <w:szCs w:val="32"/>
        </w:rPr>
        <w:br/>
        <w:t xml:space="preserve"> de la population 202</w:t>
      </w:r>
      <w:r>
        <w:rPr>
          <w:b/>
          <w:bCs/>
          <w:i/>
          <w:iCs/>
          <w:color w:val="C00000"/>
          <w:sz w:val="32"/>
          <w:szCs w:val="32"/>
        </w:rPr>
        <w:t>4</w:t>
      </w:r>
    </w:p>
    <w:p w:rsidR="00F10683" w:rsidRDefault="00F10683" w:rsidP="00027367">
      <w:pPr>
        <w:pStyle w:val="Corpsdetexte"/>
        <w:spacing w:line="276" w:lineRule="auto"/>
      </w:pPr>
    </w:p>
    <w:p w:rsidR="00BF75C5" w:rsidRPr="00AD27F6" w:rsidRDefault="00BF75C5" w:rsidP="00027367">
      <w:pPr>
        <w:autoSpaceDE w:val="0"/>
        <w:autoSpaceDN w:val="0"/>
        <w:adjustRightInd w:val="0"/>
        <w:spacing w:after="0" w:line="276" w:lineRule="auto"/>
        <w:jc w:val="both"/>
        <w:rPr>
          <w:rFonts w:ascii="Times New Roman" w:hAnsi="Times New Roman" w:cs="Times New Roman"/>
          <w:bCs/>
          <w:iCs/>
          <w:sz w:val="24"/>
          <w:szCs w:val="24"/>
        </w:rPr>
      </w:pPr>
    </w:p>
    <w:p w:rsidR="00027367" w:rsidRDefault="00BF75C5"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111F7F">
        <w:rPr>
          <w:rFonts w:ascii="Times New Roman" w:hAnsi="Times New Roman" w:cs="Times New Roman"/>
          <w:bCs/>
          <w:iCs/>
          <w:sz w:val="24"/>
          <w:szCs w:val="24"/>
        </w:rPr>
        <w:t xml:space="preserve">La communauté internationale célèbre le 11 juillet </w:t>
      </w:r>
      <w:r w:rsidR="00AA2C17" w:rsidRPr="00111F7F">
        <w:rPr>
          <w:rFonts w:ascii="Times New Roman" w:hAnsi="Times New Roman" w:cs="Times New Roman"/>
          <w:bCs/>
          <w:iCs/>
          <w:sz w:val="24"/>
          <w:szCs w:val="24"/>
        </w:rPr>
        <w:t xml:space="preserve">de </w:t>
      </w:r>
      <w:r w:rsidR="00026BAF" w:rsidRPr="00111F7F">
        <w:rPr>
          <w:rFonts w:ascii="Times New Roman" w:hAnsi="Times New Roman" w:cs="Times New Roman"/>
          <w:bCs/>
          <w:iCs/>
          <w:sz w:val="24"/>
          <w:szCs w:val="24"/>
        </w:rPr>
        <w:t>chaque</w:t>
      </w:r>
      <w:r w:rsidR="00AA2C17" w:rsidRPr="00111F7F">
        <w:rPr>
          <w:rFonts w:ascii="Times New Roman" w:hAnsi="Times New Roman" w:cs="Times New Roman"/>
          <w:bCs/>
          <w:iCs/>
          <w:sz w:val="24"/>
          <w:szCs w:val="24"/>
        </w:rPr>
        <w:t xml:space="preserve"> année </w:t>
      </w:r>
      <w:r w:rsidRPr="00111F7F">
        <w:rPr>
          <w:rFonts w:ascii="Times New Roman" w:hAnsi="Times New Roman" w:cs="Times New Roman"/>
          <w:bCs/>
          <w:iCs/>
          <w:sz w:val="24"/>
          <w:szCs w:val="24"/>
        </w:rPr>
        <w:t xml:space="preserve">la </w:t>
      </w:r>
      <w:r w:rsidR="00925F4D" w:rsidRPr="00111F7F">
        <w:rPr>
          <w:rFonts w:ascii="Times New Roman" w:hAnsi="Times New Roman" w:cs="Times New Roman"/>
          <w:bCs/>
          <w:iCs/>
          <w:sz w:val="24"/>
          <w:szCs w:val="24"/>
        </w:rPr>
        <w:t>J</w:t>
      </w:r>
      <w:r w:rsidRPr="00111F7F">
        <w:rPr>
          <w:rFonts w:ascii="Times New Roman" w:hAnsi="Times New Roman" w:cs="Times New Roman"/>
          <w:bCs/>
          <w:iCs/>
          <w:sz w:val="24"/>
          <w:szCs w:val="24"/>
        </w:rPr>
        <w:t xml:space="preserve">ournée </w:t>
      </w:r>
      <w:r w:rsidR="00111F7F">
        <w:rPr>
          <w:rFonts w:ascii="Times New Roman" w:hAnsi="Times New Roman" w:cs="Times New Roman"/>
          <w:bCs/>
          <w:iCs/>
          <w:sz w:val="24"/>
          <w:szCs w:val="24"/>
        </w:rPr>
        <w:t>m</w:t>
      </w:r>
      <w:r w:rsidRPr="00111F7F">
        <w:rPr>
          <w:rFonts w:ascii="Times New Roman" w:hAnsi="Times New Roman" w:cs="Times New Roman"/>
          <w:bCs/>
          <w:iCs/>
          <w:sz w:val="24"/>
          <w:szCs w:val="24"/>
        </w:rPr>
        <w:t xml:space="preserve">ondiale de la </w:t>
      </w:r>
      <w:r w:rsidR="00111F7F">
        <w:rPr>
          <w:rFonts w:ascii="Times New Roman" w:hAnsi="Times New Roman" w:cs="Times New Roman"/>
          <w:bCs/>
          <w:iCs/>
          <w:sz w:val="24"/>
          <w:szCs w:val="24"/>
        </w:rPr>
        <w:t>p</w:t>
      </w:r>
      <w:r w:rsidRPr="00111F7F">
        <w:rPr>
          <w:rFonts w:ascii="Times New Roman" w:hAnsi="Times New Roman" w:cs="Times New Roman"/>
          <w:bCs/>
          <w:iCs/>
          <w:sz w:val="24"/>
          <w:szCs w:val="24"/>
        </w:rPr>
        <w:t>opulation</w:t>
      </w:r>
      <w:r w:rsidR="00026BAF" w:rsidRPr="00111F7F">
        <w:rPr>
          <w:rFonts w:ascii="Times New Roman" w:hAnsi="Times New Roman" w:cs="Times New Roman"/>
          <w:bCs/>
          <w:iCs/>
          <w:sz w:val="24"/>
          <w:szCs w:val="24"/>
        </w:rPr>
        <w:t>. L’</w:t>
      </w:r>
      <w:r w:rsidR="00AA2C17" w:rsidRPr="00111F7F">
        <w:rPr>
          <w:rFonts w:ascii="Times New Roman" w:hAnsi="Times New Roman" w:cs="Times New Roman"/>
          <w:bCs/>
          <w:iCs/>
          <w:sz w:val="24"/>
          <w:szCs w:val="24"/>
        </w:rPr>
        <w:t xml:space="preserve">édition </w:t>
      </w:r>
      <w:r w:rsidR="00026BAF" w:rsidRPr="00111F7F">
        <w:rPr>
          <w:rFonts w:ascii="Times New Roman" w:hAnsi="Times New Roman" w:cs="Times New Roman"/>
          <w:bCs/>
          <w:iCs/>
          <w:sz w:val="24"/>
          <w:szCs w:val="24"/>
        </w:rPr>
        <w:t>de cette année placée sous le thème « </w:t>
      </w:r>
      <w:r w:rsidR="00026BAF" w:rsidRPr="00111F7F">
        <w:rPr>
          <w:rFonts w:ascii="Times New Roman" w:hAnsi="Times New Roman" w:cs="Times New Roman"/>
          <w:b/>
          <w:i/>
          <w:sz w:val="24"/>
          <w:szCs w:val="24"/>
        </w:rPr>
        <w:t>Recenser chacune et chacun pour ne laisser personne de côté</w:t>
      </w:r>
      <w:r w:rsidR="00026BAF" w:rsidRPr="00111F7F">
        <w:rPr>
          <w:rFonts w:ascii="Times New Roman" w:hAnsi="Times New Roman" w:cs="Times New Roman"/>
          <w:bCs/>
          <w:iCs/>
          <w:sz w:val="24"/>
          <w:szCs w:val="24"/>
        </w:rPr>
        <w:t xml:space="preserve"> », </w:t>
      </w:r>
      <w:r w:rsidR="00AA2C17" w:rsidRPr="00111F7F">
        <w:rPr>
          <w:rFonts w:ascii="Times New Roman" w:hAnsi="Times New Roman" w:cs="Times New Roman"/>
          <w:bCs/>
          <w:iCs/>
          <w:sz w:val="24"/>
          <w:szCs w:val="24"/>
        </w:rPr>
        <w:t xml:space="preserve">souligne </w:t>
      </w:r>
      <w:r w:rsidRPr="00111F7F">
        <w:rPr>
          <w:rFonts w:ascii="Times New Roman" w:hAnsi="Times New Roman" w:cs="Times New Roman"/>
          <w:bCs/>
          <w:iCs/>
          <w:sz w:val="24"/>
          <w:szCs w:val="24"/>
        </w:rPr>
        <w:t xml:space="preserve">l'importance des recensements dans la planification et le développement socio-économique des nations. </w:t>
      </w:r>
      <w:r w:rsidR="00026BAF" w:rsidRPr="00111F7F">
        <w:rPr>
          <w:rFonts w:ascii="Times New Roman" w:hAnsi="Times New Roman" w:cs="Times New Roman"/>
          <w:bCs/>
          <w:iCs/>
          <w:sz w:val="24"/>
          <w:szCs w:val="24"/>
        </w:rPr>
        <w:t xml:space="preserve">Fidèle à cette vision, et en </w:t>
      </w:r>
      <w:r w:rsidR="00AA2C17" w:rsidRPr="00111F7F">
        <w:rPr>
          <w:rFonts w:ascii="Times New Roman" w:hAnsi="Times New Roman" w:cs="Times New Roman"/>
          <w:bCs/>
          <w:iCs/>
          <w:sz w:val="24"/>
          <w:szCs w:val="24"/>
        </w:rPr>
        <w:t>application des Hautes Instructions de Sa Majesté le Roi Mohammed VI et en conformité avec les recommandations de la Commission Statistique des Nations Unies, l</w:t>
      </w:r>
      <w:r w:rsidRPr="00111F7F">
        <w:rPr>
          <w:rFonts w:ascii="Times New Roman" w:hAnsi="Times New Roman" w:cs="Times New Roman"/>
          <w:bCs/>
          <w:iCs/>
          <w:sz w:val="24"/>
          <w:szCs w:val="24"/>
        </w:rPr>
        <w:t>e Maroc</w:t>
      </w:r>
      <w:r w:rsidR="00111F7F">
        <w:rPr>
          <w:rFonts w:ascii="Times New Roman" w:hAnsi="Times New Roman" w:cs="Times New Roman"/>
          <w:bCs/>
          <w:iCs/>
          <w:sz w:val="24"/>
          <w:szCs w:val="24"/>
        </w:rPr>
        <w:t xml:space="preserve"> </w:t>
      </w:r>
      <w:r w:rsidR="00AA2C17" w:rsidRPr="00111F7F">
        <w:rPr>
          <w:rFonts w:ascii="Times New Roman" w:hAnsi="Times New Roman" w:cs="Times New Roman"/>
          <w:bCs/>
          <w:iCs/>
          <w:sz w:val="24"/>
          <w:szCs w:val="24"/>
        </w:rPr>
        <w:t>réalise</w:t>
      </w:r>
      <w:r w:rsidRPr="00111F7F">
        <w:rPr>
          <w:rFonts w:ascii="Times New Roman" w:hAnsi="Times New Roman" w:cs="Times New Roman"/>
          <w:bCs/>
          <w:iCs/>
          <w:sz w:val="24"/>
          <w:szCs w:val="24"/>
        </w:rPr>
        <w:t xml:space="preserve"> son septième Recensement Général de la Population et de l'Habitat (RGPH) qui se déroulera du 1</w:t>
      </w:r>
      <w:r w:rsidRPr="00111F7F">
        <w:rPr>
          <w:rFonts w:ascii="Times New Roman" w:hAnsi="Times New Roman" w:cs="Times New Roman"/>
          <w:bCs/>
          <w:iCs/>
          <w:sz w:val="24"/>
          <w:szCs w:val="24"/>
          <w:vertAlign w:val="superscript"/>
        </w:rPr>
        <w:t>er</w:t>
      </w:r>
      <w:r w:rsidR="00111F7F">
        <w:rPr>
          <w:rFonts w:ascii="Times New Roman" w:hAnsi="Times New Roman" w:cs="Times New Roman"/>
          <w:bCs/>
          <w:iCs/>
          <w:sz w:val="24"/>
          <w:szCs w:val="24"/>
        </w:rPr>
        <w:t xml:space="preserve"> </w:t>
      </w:r>
      <w:r w:rsidRPr="00111F7F">
        <w:rPr>
          <w:rFonts w:ascii="Times New Roman" w:hAnsi="Times New Roman" w:cs="Times New Roman"/>
          <w:bCs/>
          <w:iCs/>
          <w:sz w:val="24"/>
          <w:szCs w:val="24"/>
        </w:rPr>
        <w:t>au 30 septembre 2024.</w:t>
      </w:r>
      <w:r w:rsidR="00111F7F">
        <w:rPr>
          <w:rFonts w:ascii="Times New Roman" w:hAnsi="Times New Roman" w:cs="Times New Roman"/>
          <w:bCs/>
          <w:iCs/>
          <w:sz w:val="24"/>
          <w:szCs w:val="24"/>
        </w:rPr>
        <w:t xml:space="preserve"> </w:t>
      </w:r>
      <w:r w:rsidR="00661EAE" w:rsidRPr="00111F7F">
        <w:rPr>
          <w:rFonts w:ascii="Times New Roman" w:hAnsi="Times New Roman" w:cs="Times New Roman"/>
          <w:bCs/>
          <w:iCs/>
          <w:sz w:val="24"/>
          <w:szCs w:val="24"/>
        </w:rPr>
        <w:t>Le</w:t>
      </w:r>
      <w:r w:rsidR="00925F4D" w:rsidRPr="00111F7F">
        <w:rPr>
          <w:rFonts w:ascii="Times New Roman" w:hAnsi="Times New Roman" w:cs="Times New Roman"/>
          <w:bCs/>
          <w:iCs/>
          <w:sz w:val="24"/>
          <w:szCs w:val="24"/>
        </w:rPr>
        <w:t xml:space="preserve"> Haut-commissariat au Plan (HCP), présente</w:t>
      </w:r>
      <w:r w:rsidR="00661EAE" w:rsidRPr="00111F7F">
        <w:rPr>
          <w:rFonts w:ascii="Times New Roman" w:hAnsi="Times New Roman" w:cs="Times New Roman"/>
          <w:bCs/>
          <w:iCs/>
          <w:sz w:val="24"/>
          <w:szCs w:val="24"/>
        </w:rPr>
        <w:t>, à cette occasion,</w:t>
      </w:r>
      <w:r w:rsidR="00925F4D" w:rsidRPr="00111F7F">
        <w:rPr>
          <w:rFonts w:ascii="Times New Roman" w:hAnsi="Times New Roman" w:cs="Times New Roman"/>
          <w:bCs/>
          <w:iCs/>
          <w:sz w:val="24"/>
          <w:szCs w:val="24"/>
        </w:rPr>
        <w:t xml:space="preserve"> quelques éléments d’information sur les principaux objectifs du RGPH et mettra également </w:t>
      </w:r>
      <w:r w:rsidR="00661EAE" w:rsidRPr="00111F7F">
        <w:rPr>
          <w:rFonts w:ascii="Times New Roman" w:hAnsi="Times New Roman" w:cs="Times New Roman"/>
          <w:bCs/>
          <w:iCs/>
          <w:sz w:val="24"/>
          <w:szCs w:val="24"/>
        </w:rPr>
        <w:t>l’accent sur</w:t>
      </w:r>
      <w:r w:rsidR="00925F4D" w:rsidRPr="00111F7F">
        <w:rPr>
          <w:rFonts w:ascii="Times New Roman" w:hAnsi="Times New Roman" w:cs="Times New Roman"/>
          <w:bCs/>
          <w:iCs/>
          <w:sz w:val="24"/>
          <w:szCs w:val="24"/>
        </w:rPr>
        <w:t xml:space="preserve"> les nouveautés technologiques qui caractérise cette opération</w:t>
      </w:r>
      <w:r w:rsidR="00661EAE" w:rsidRPr="00111F7F">
        <w:rPr>
          <w:rFonts w:ascii="Times New Roman" w:hAnsi="Times New Roman" w:cs="Times New Roman"/>
          <w:bCs/>
          <w:iCs/>
          <w:sz w:val="24"/>
          <w:szCs w:val="24"/>
        </w:rPr>
        <w:t xml:space="preserve"> d’envergure nationale</w:t>
      </w:r>
      <w:r w:rsidR="00925F4D" w:rsidRPr="00111F7F">
        <w:rPr>
          <w:rFonts w:ascii="Times New Roman" w:hAnsi="Times New Roman" w:cs="Times New Roman"/>
          <w:bCs/>
          <w:iCs/>
          <w:sz w:val="24"/>
          <w:szCs w:val="24"/>
        </w:rPr>
        <w:t xml:space="preserve">. </w:t>
      </w:r>
    </w:p>
    <w:p w:rsidR="00BA6DD5" w:rsidRPr="00111F7F" w:rsidRDefault="007E177B"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111F7F">
        <w:rPr>
          <w:rFonts w:ascii="Times New Roman" w:hAnsi="Times New Roman" w:cs="Times New Roman"/>
          <w:bCs/>
          <w:iCs/>
          <w:sz w:val="24"/>
          <w:szCs w:val="24"/>
        </w:rPr>
        <w:t>Le RGPH 2024 intervient dans un contexte où le Maroc a surmonté des crises telles que la pandémie de Covid-19, les sécheresses, et l'inflation. Malgré ces épreuves, le Maroc a su faire preuve de résilience. Aujourd'hui, notre pays s'oriente vers des perspectives prometteuses, soutenu par sa position géographique, son riche patrimoine historique, et les initiatives Royales visant à renforcer sa position stratégique sur les plans régional et international. Dans ce sens, le slogan "</w:t>
      </w:r>
      <w:r w:rsidRPr="00111F7F">
        <w:rPr>
          <w:rFonts w:ascii="Times New Roman" w:hAnsi="Times New Roman" w:cs="Times New Roman"/>
          <w:b/>
          <w:i/>
          <w:sz w:val="24"/>
          <w:szCs w:val="24"/>
        </w:rPr>
        <w:t>Demain est à portée de nos mains</w:t>
      </w:r>
      <w:r w:rsidRPr="00111F7F">
        <w:rPr>
          <w:rFonts w:ascii="Times New Roman" w:hAnsi="Times New Roman" w:cs="Times New Roman"/>
          <w:bCs/>
          <w:iCs/>
          <w:sz w:val="24"/>
          <w:szCs w:val="24"/>
        </w:rPr>
        <w:t>", choisi pour le RGPH 2024, renvoie à l'optimisme et à la responsabilité, rappelant que la construction de l'avenir repose sur l'engagement et la responsabilité individuelle et collective.</w:t>
      </w:r>
    </w:p>
    <w:p w:rsidR="0047431B" w:rsidRPr="00111F7F" w:rsidRDefault="00BA6DD5"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111F7F">
        <w:rPr>
          <w:rFonts w:ascii="Times New Roman" w:hAnsi="Times New Roman" w:cs="Times New Roman"/>
          <w:bCs/>
          <w:iCs/>
          <w:sz w:val="24"/>
          <w:szCs w:val="24"/>
        </w:rPr>
        <w:t>L'un des principaux objectifs du RGPH est de déterminer la population légale au niveau de toutes les unités administratives du Royaume. Cela permettra de s'assurer que chaque individu et chaque logement sont comptabilisés séparément, garantissant une couverture complète</w:t>
      </w:r>
      <w:r w:rsidR="00661EAE" w:rsidRPr="00111F7F">
        <w:rPr>
          <w:rFonts w:ascii="Times New Roman" w:hAnsi="Times New Roman" w:cs="Times New Roman"/>
          <w:bCs/>
          <w:iCs/>
          <w:sz w:val="24"/>
          <w:szCs w:val="24"/>
        </w:rPr>
        <w:t xml:space="preserve"> et exhaustive</w:t>
      </w:r>
      <w:r w:rsidRPr="00111F7F">
        <w:rPr>
          <w:rFonts w:ascii="Times New Roman" w:hAnsi="Times New Roman" w:cs="Times New Roman"/>
          <w:bCs/>
          <w:iCs/>
          <w:sz w:val="24"/>
          <w:szCs w:val="24"/>
        </w:rPr>
        <w:t xml:space="preserve"> du territoire national sans omissions ni double compte. La simultanéité des opérations de recensement, avec toutes les données recueillies se référant à la même date de référence, est essentielle pour obtenir des résultats précis et fiables.</w:t>
      </w:r>
    </w:p>
    <w:p w:rsidR="00BA6DD5" w:rsidRPr="00111F7F" w:rsidRDefault="002649B2"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2649B2">
        <w:rPr>
          <w:rFonts w:ascii="Times New Roman" w:hAnsi="Times New Roman" w:cs="Times New Roman"/>
          <w:bCs/>
          <w:iCs/>
          <w:sz w:val="24"/>
          <w:szCs w:val="24"/>
        </w:rPr>
        <w:t>Le recensement permet également de déterminer les caractéristiques démographiques et socio-économiques de la population ainsi que les conditions d'habitat des ménages. Pour ce faire, le RGPH 2024 utilise deux types de questionnaires</w:t>
      </w:r>
      <w:r>
        <w:rPr>
          <w:rFonts w:ascii="Times New Roman" w:hAnsi="Times New Roman" w:cs="Times New Roman"/>
          <w:bCs/>
          <w:iCs/>
          <w:sz w:val="24"/>
          <w:szCs w:val="24"/>
        </w:rPr>
        <w:t> :</w:t>
      </w:r>
      <w:r w:rsidR="00BA6DD5" w:rsidRPr="00111F7F">
        <w:rPr>
          <w:rFonts w:ascii="Times New Roman" w:hAnsi="Times New Roman" w:cs="Times New Roman"/>
          <w:bCs/>
          <w:iCs/>
          <w:sz w:val="24"/>
          <w:szCs w:val="24"/>
        </w:rPr>
        <w:t xml:space="preserve"> un questionnaire court pour l'ensemble de la population, abordant les structures démographiques et les phénomènes rares tels que la migration internationale et la mortalité, et un questionnaire long pour un échantillon de 20% des ménages, couvrant des thématiques comme la couverture médicale, l'usage des TIC, et l'environnement. Cette approche</w:t>
      </w:r>
      <w:r w:rsidR="00661EAE" w:rsidRPr="00111F7F">
        <w:rPr>
          <w:rFonts w:ascii="Times New Roman" w:hAnsi="Times New Roman" w:cs="Times New Roman"/>
          <w:bCs/>
          <w:iCs/>
          <w:sz w:val="24"/>
          <w:szCs w:val="24"/>
        </w:rPr>
        <w:t>, utilisée pour la première fois au Maroc,</w:t>
      </w:r>
      <w:r w:rsidR="00BA6DD5" w:rsidRPr="00111F7F">
        <w:rPr>
          <w:rFonts w:ascii="Times New Roman" w:hAnsi="Times New Roman" w:cs="Times New Roman"/>
          <w:bCs/>
          <w:iCs/>
          <w:sz w:val="24"/>
          <w:szCs w:val="24"/>
        </w:rPr>
        <w:t xml:space="preserve"> permet d'approfondir les connaissances sur des </w:t>
      </w:r>
      <w:r w:rsidR="00661EAE" w:rsidRPr="00111F7F">
        <w:rPr>
          <w:rFonts w:ascii="Times New Roman" w:hAnsi="Times New Roman" w:cs="Times New Roman"/>
          <w:bCs/>
          <w:iCs/>
          <w:sz w:val="24"/>
          <w:szCs w:val="24"/>
        </w:rPr>
        <w:t>thématiques</w:t>
      </w:r>
      <w:r w:rsidR="00BA6DD5" w:rsidRPr="00111F7F">
        <w:rPr>
          <w:rFonts w:ascii="Times New Roman" w:hAnsi="Times New Roman" w:cs="Times New Roman"/>
          <w:bCs/>
          <w:iCs/>
          <w:sz w:val="24"/>
          <w:szCs w:val="24"/>
        </w:rPr>
        <w:t xml:space="preserve"> comme la fécondité, l'analphabétisme, l'éducation, l'activité économique, la mobilité, le handicap, et les conditions d'habita</w:t>
      </w:r>
      <w:r w:rsidR="00E81BB1" w:rsidRPr="00111F7F">
        <w:rPr>
          <w:rFonts w:ascii="Times New Roman" w:hAnsi="Times New Roman" w:cs="Times New Roman"/>
          <w:bCs/>
          <w:iCs/>
          <w:sz w:val="24"/>
          <w:szCs w:val="24"/>
        </w:rPr>
        <w:t>t.</w:t>
      </w:r>
    </w:p>
    <w:p w:rsidR="00F1772A" w:rsidRDefault="00F1772A" w:rsidP="00CD2D5B">
      <w:pPr>
        <w:pStyle w:val="NormalWeb"/>
        <w:spacing w:before="120" w:beforeAutospacing="0" w:after="120" w:afterAutospacing="0" w:line="276" w:lineRule="auto"/>
        <w:jc w:val="both"/>
      </w:pPr>
      <w:r>
        <w:lastRenderedPageBreak/>
        <w:t>Grâce au recensement, il est possible de constituer une base de sondage indispensable pour la réalisation des enquêtes nationales auprès des ménages. Cette base de données sera essentielle pour mener des études approfondies et spécifiques, facilitant ainsi la planification de politiques publiques adaptées aux besoins réels de la population.</w:t>
      </w:r>
    </w:p>
    <w:p w:rsidR="00E10C8F" w:rsidRDefault="00F1772A"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787F58">
        <w:rPr>
          <w:rFonts w:ascii="Times New Roman" w:hAnsi="Times New Roman" w:cs="Times New Roman"/>
          <w:bCs/>
          <w:iCs/>
          <w:sz w:val="24"/>
          <w:szCs w:val="24"/>
        </w:rPr>
        <w:t>Par ailleurs, l</w:t>
      </w:r>
      <w:r w:rsidR="00E81BB1" w:rsidRPr="00787F58">
        <w:rPr>
          <w:rFonts w:ascii="Times New Roman" w:hAnsi="Times New Roman" w:cs="Times New Roman"/>
          <w:bCs/>
          <w:iCs/>
          <w:sz w:val="24"/>
          <w:szCs w:val="24"/>
        </w:rPr>
        <w:t xml:space="preserve">e RGPH 2024 </w:t>
      </w:r>
      <w:r w:rsidR="00787F58" w:rsidRPr="00787F58">
        <w:rPr>
          <w:rFonts w:ascii="Times New Roman" w:hAnsi="Times New Roman" w:cs="Times New Roman"/>
          <w:bCs/>
          <w:iCs/>
          <w:sz w:val="24"/>
          <w:szCs w:val="24"/>
        </w:rPr>
        <w:t>m</w:t>
      </w:r>
      <w:r w:rsidR="00E81BB1" w:rsidRPr="00787F58">
        <w:rPr>
          <w:rFonts w:ascii="Times New Roman" w:hAnsi="Times New Roman" w:cs="Times New Roman"/>
          <w:bCs/>
          <w:iCs/>
          <w:sz w:val="24"/>
          <w:szCs w:val="24"/>
        </w:rPr>
        <w:t>arqu</w:t>
      </w:r>
      <w:r w:rsidR="00787F58" w:rsidRPr="00787F58">
        <w:rPr>
          <w:rFonts w:ascii="Times New Roman" w:hAnsi="Times New Roman" w:cs="Times New Roman"/>
          <w:bCs/>
          <w:iCs/>
          <w:sz w:val="24"/>
          <w:szCs w:val="24"/>
        </w:rPr>
        <w:t xml:space="preserve">era </w:t>
      </w:r>
      <w:r w:rsidR="00E81BB1" w:rsidRPr="00787F58">
        <w:rPr>
          <w:rFonts w:ascii="Times New Roman" w:hAnsi="Times New Roman" w:cs="Times New Roman"/>
          <w:bCs/>
          <w:iCs/>
          <w:sz w:val="24"/>
          <w:szCs w:val="24"/>
        </w:rPr>
        <w:t>une transition significative vers la transformation digitale, amorcée par le HCP</w:t>
      </w:r>
      <w:r w:rsidRPr="00787F58">
        <w:rPr>
          <w:rFonts w:ascii="Times New Roman" w:hAnsi="Times New Roman" w:cs="Times New Roman"/>
          <w:bCs/>
          <w:iCs/>
          <w:sz w:val="24"/>
          <w:szCs w:val="24"/>
        </w:rPr>
        <w:t xml:space="preserve"> </w:t>
      </w:r>
      <w:r w:rsidR="00E81BB1" w:rsidRPr="00787F58">
        <w:rPr>
          <w:rFonts w:ascii="Times New Roman" w:hAnsi="Times New Roman" w:cs="Times New Roman"/>
          <w:bCs/>
          <w:iCs/>
          <w:sz w:val="24"/>
          <w:szCs w:val="24"/>
        </w:rPr>
        <w:t xml:space="preserve">depuis 2019. L'utilisation de tablettes pour </w:t>
      </w:r>
      <w:r w:rsidR="00D8038E" w:rsidRPr="00787F58">
        <w:rPr>
          <w:rFonts w:ascii="Times New Roman" w:hAnsi="Times New Roman" w:cs="Times New Roman"/>
          <w:bCs/>
          <w:iCs/>
          <w:sz w:val="24"/>
          <w:szCs w:val="24"/>
        </w:rPr>
        <w:t>les travaux cartographiques et les travaux de</w:t>
      </w:r>
      <w:r w:rsidR="00E81BB1" w:rsidRPr="00787F58">
        <w:rPr>
          <w:rFonts w:ascii="Times New Roman" w:hAnsi="Times New Roman" w:cs="Times New Roman"/>
          <w:bCs/>
          <w:iCs/>
          <w:sz w:val="24"/>
          <w:szCs w:val="24"/>
        </w:rPr>
        <w:t xml:space="preserve"> collecte des données illustrent cette avancée. Ces innovations garantissent une couverture</w:t>
      </w:r>
      <w:r w:rsidR="008941B8" w:rsidRPr="00787F58">
        <w:rPr>
          <w:rFonts w:ascii="Times New Roman" w:hAnsi="Times New Roman" w:cs="Times New Roman"/>
          <w:bCs/>
          <w:iCs/>
          <w:sz w:val="24"/>
          <w:szCs w:val="24"/>
        </w:rPr>
        <w:t>, en temps réel,</w:t>
      </w:r>
      <w:r w:rsidR="00E81BB1" w:rsidRPr="00787F58">
        <w:rPr>
          <w:rFonts w:ascii="Times New Roman" w:hAnsi="Times New Roman" w:cs="Times New Roman"/>
          <w:bCs/>
          <w:iCs/>
          <w:sz w:val="24"/>
          <w:szCs w:val="24"/>
        </w:rPr>
        <w:t xml:space="preserve"> complète et précise de la population, éliminant les risques d'omissions ou de doublons. Des applications permettent le suivi des travaux de terrain au niveau central, régional et provincial, optimisant ainsi l'ensemble du processus de réalisation.</w:t>
      </w:r>
      <w:r w:rsidRPr="00787F58">
        <w:rPr>
          <w:rFonts w:ascii="Times New Roman" w:hAnsi="Times New Roman" w:cs="Times New Roman"/>
          <w:bCs/>
          <w:iCs/>
          <w:sz w:val="24"/>
          <w:szCs w:val="24"/>
        </w:rPr>
        <w:t xml:space="preserve"> </w:t>
      </w:r>
      <w:r w:rsidR="00E10C8F" w:rsidRPr="00E10C8F">
        <w:rPr>
          <w:rFonts w:ascii="Times New Roman" w:hAnsi="Times New Roman" w:cs="Times New Roman"/>
          <w:bCs/>
          <w:iCs/>
          <w:sz w:val="24"/>
          <w:szCs w:val="24"/>
        </w:rPr>
        <w:t>Il convient de noter que cette initiative est entièrement marocaine et repose sur l'expertise des ressources humaines du HCP.</w:t>
      </w:r>
    </w:p>
    <w:p w:rsidR="00B724A9" w:rsidRPr="00111F7F" w:rsidRDefault="00B724A9" w:rsidP="00CD2D5B">
      <w:pPr>
        <w:autoSpaceDE w:val="0"/>
        <w:autoSpaceDN w:val="0"/>
        <w:adjustRightInd w:val="0"/>
        <w:spacing w:before="120" w:after="120" w:line="276" w:lineRule="auto"/>
        <w:jc w:val="both"/>
        <w:rPr>
          <w:rFonts w:ascii="Times New Roman" w:hAnsi="Times New Roman" w:cs="Times New Roman"/>
          <w:bCs/>
          <w:iCs/>
          <w:sz w:val="24"/>
          <w:szCs w:val="24"/>
        </w:rPr>
      </w:pPr>
      <w:r w:rsidRPr="00111F7F">
        <w:rPr>
          <w:rFonts w:ascii="Times New Roman" w:hAnsi="Times New Roman" w:cs="Times New Roman"/>
          <w:bCs/>
          <w:iCs/>
          <w:sz w:val="24"/>
          <w:szCs w:val="24"/>
        </w:rPr>
        <w:t xml:space="preserve">La collecte digitalisée permettra un traitement, une analyse et une communication des résultats dans des délais très courts, conformément aux </w:t>
      </w:r>
      <w:r w:rsidR="003C026B">
        <w:rPr>
          <w:rFonts w:ascii="Times New Roman" w:hAnsi="Times New Roman" w:cs="Times New Roman"/>
          <w:bCs/>
          <w:iCs/>
          <w:sz w:val="24"/>
          <w:szCs w:val="24"/>
        </w:rPr>
        <w:t>I</w:t>
      </w:r>
      <w:r w:rsidRPr="00111F7F">
        <w:rPr>
          <w:rFonts w:ascii="Times New Roman" w:hAnsi="Times New Roman" w:cs="Times New Roman"/>
          <w:bCs/>
          <w:iCs/>
          <w:sz w:val="24"/>
          <w:szCs w:val="24"/>
        </w:rPr>
        <w:t>nstructions Royales insistants sur l'importance de traiter et d'analyser les données avec diligence afin de rendre les résultats rapidement accessibles et utilisables par les décideurs et les acteurs concernés. Cette rapidité dans l'exploitation des données permettra également d'identifier rapidement les tendances émergentes, facilitant ainsi l'élaboration de politiques publiques pertinentes et l'adaptation de divers programmes pour le bien de la nation et le bien-être d</w:t>
      </w:r>
      <w:r w:rsidR="008941B8" w:rsidRPr="00111F7F">
        <w:rPr>
          <w:rFonts w:ascii="Times New Roman" w:hAnsi="Times New Roman" w:cs="Times New Roman"/>
          <w:bCs/>
          <w:iCs/>
          <w:sz w:val="24"/>
          <w:szCs w:val="24"/>
        </w:rPr>
        <w:t>e la population</w:t>
      </w:r>
      <w:r w:rsidRPr="00111F7F">
        <w:rPr>
          <w:rFonts w:ascii="Times New Roman" w:hAnsi="Times New Roman" w:cs="Times New Roman"/>
          <w:bCs/>
          <w:iCs/>
          <w:sz w:val="24"/>
          <w:szCs w:val="24"/>
        </w:rPr>
        <w:t>.</w:t>
      </w:r>
    </w:p>
    <w:sectPr w:rsidR="00B724A9" w:rsidRPr="00111F7F" w:rsidSect="00F320D4">
      <w:footerReference w:type="default" r:id="rId6"/>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A69" w:rsidRDefault="00D80A69" w:rsidP="009A62EB">
      <w:pPr>
        <w:spacing w:after="0" w:line="240" w:lineRule="auto"/>
      </w:pPr>
      <w:r>
        <w:separator/>
      </w:r>
    </w:p>
  </w:endnote>
  <w:endnote w:type="continuationSeparator" w:id="0">
    <w:p w:rsidR="00D80A69" w:rsidRDefault="00D80A69" w:rsidP="009A6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733486"/>
      <w:docPartObj>
        <w:docPartGallery w:val="Page Numbers (Bottom of Page)"/>
        <w:docPartUnique/>
      </w:docPartObj>
    </w:sdtPr>
    <w:sdtContent>
      <w:p w:rsidR="009A62EB" w:rsidRDefault="006A7F0D">
        <w:pPr>
          <w:pStyle w:val="Pieddepage"/>
          <w:jc w:val="center"/>
        </w:pPr>
        <w:fldSimple w:instr=" PAGE   \* MERGEFORMAT ">
          <w:r w:rsidR="00BA7CF4">
            <w:rPr>
              <w:noProof/>
            </w:rPr>
            <w:t>2</w:t>
          </w:r>
        </w:fldSimple>
      </w:p>
    </w:sdtContent>
  </w:sdt>
  <w:p w:rsidR="009A62EB" w:rsidRDefault="009A62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A69" w:rsidRDefault="00D80A69" w:rsidP="009A62EB">
      <w:pPr>
        <w:spacing w:after="0" w:line="240" w:lineRule="auto"/>
      </w:pPr>
      <w:r>
        <w:separator/>
      </w:r>
    </w:p>
  </w:footnote>
  <w:footnote w:type="continuationSeparator" w:id="0">
    <w:p w:rsidR="00D80A69" w:rsidRDefault="00D80A69" w:rsidP="009A62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92AEF"/>
    <w:rsid w:val="00026BAF"/>
    <w:rsid w:val="00027367"/>
    <w:rsid w:val="000916B6"/>
    <w:rsid w:val="000B1E44"/>
    <w:rsid w:val="00111F7F"/>
    <w:rsid w:val="002649B2"/>
    <w:rsid w:val="003C026B"/>
    <w:rsid w:val="0047431B"/>
    <w:rsid w:val="00492AEF"/>
    <w:rsid w:val="004D5DCF"/>
    <w:rsid w:val="00593A07"/>
    <w:rsid w:val="00622381"/>
    <w:rsid w:val="00661EAE"/>
    <w:rsid w:val="006A3700"/>
    <w:rsid w:val="006A77C8"/>
    <w:rsid w:val="006A7F0D"/>
    <w:rsid w:val="00753755"/>
    <w:rsid w:val="0076744D"/>
    <w:rsid w:val="00787F58"/>
    <w:rsid w:val="007E177B"/>
    <w:rsid w:val="008941B8"/>
    <w:rsid w:val="008B3C47"/>
    <w:rsid w:val="00925F4D"/>
    <w:rsid w:val="0096290E"/>
    <w:rsid w:val="009A62EB"/>
    <w:rsid w:val="009B3F65"/>
    <w:rsid w:val="009B5D77"/>
    <w:rsid w:val="009C5ADC"/>
    <w:rsid w:val="00A2602C"/>
    <w:rsid w:val="00A60D01"/>
    <w:rsid w:val="00AA2C17"/>
    <w:rsid w:val="00AA394D"/>
    <w:rsid w:val="00AF0F98"/>
    <w:rsid w:val="00B724A9"/>
    <w:rsid w:val="00BA6DD5"/>
    <w:rsid w:val="00BA7CF4"/>
    <w:rsid w:val="00BF75C5"/>
    <w:rsid w:val="00CB5E54"/>
    <w:rsid w:val="00CD2D5B"/>
    <w:rsid w:val="00D452A4"/>
    <w:rsid w:val="00D8038E"/>
    <w:rsid w:val="00D80A69"/>
    <w:rsid w:val="00DA22A0"/>
    <w:rsid w:val="00E10C8F"/>
    <w:rsid w:val="00E81BB1"/>
    <w:rsid w:val="00EA152D"/>
    <w:rsid w:val="00F10683"/>
    <w:rsid w:val="00F1772A"/>
    <w:rsid w:val="00F320D4"/>
    <w:rsid w:val="00FD0897"/>
    <w:rsid w:val="00FE3F5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67"/>
    <w:pPr>
      <w:spacing w:after="240"/>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BF75C5"/>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BF75C5"/>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F75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9A62E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A62EB"/>
    <w:rPr>
      <w:rFonts w:ascii="Calibri" w:eastAsia="Calibri" w:hAnsi="Calibri" w:cs="Arial"/>
    </w:rPr>
  </w:style>
  <w:style w:type="paragraph" w:styleId="Pieddepage">
    <w:name w:val="footer"/>
    <w:basedOn w:val="Normal"/>
    <w:link w:val="PieddepageCar"/>
    <w:uiPriority w:val="99"/>
    <w:unhideWhenUsed/>
    <w:rsid w:val="009A62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2EB"/>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569117250">
      <w:bodyDiv w:val="1"/>
      <w:marLeft w:val="0"/>
      <w:marRight w:val="0"/>
      <w:marTop w:val="0"/>
      <w:marBottom w:val="0"/>
      <w:divBdr>
        <w:top w:val="none" w:sz="0" w:space="0" w:color="auto"/>
        <w:left w:val="none" w:sz="0" w:space="0" w:color="auto"/>
        <w:bottom w:val="none" w:sz="0" w:space="0" w:color="auto"/>
        <w:right w:val="none" w:sz="0" w:space="0" w:color="auto"/>
      </w:divBdr>
      <w:divsChild>
        <w:div w:id="828790047">
          <w:marLeft w:val="0"/>
          <w:marRight w:val="0"/>
          <w:marTop w:val="0"/>
          <w:marBottom w:val="0"/>
          <w:divBdr>
            <w:top w:val="none" w:sz="0" w:space="0" w:color="auto"/>
            <w:left w:val="none" w:sz="0" w:space="0" w:color="auto"/>
            <w:bottom w:val="none" w:sz="0" w:space="0" w:color="auto"/>
            <w:right w:val="none" w:sz="0" w:space="0" w:color="auto"/>
          </w:divBdr>
          <w:divsChild>
            <w:div w:id="327565418">
              <w:marLeft w:val="0"/>
              <w:marRight w:val="0"/>
              <w:marTop w:val="0"/>
              <w:marBottom w:val="0"/>
              <w:divBdr>
                <w:top w:val="none" w:sz="0" w:space="0" w:color="auto"/>
                <w:left w:val="none" w:sz="0" w:space="0" w:color="auto"/>
                <w:bottom w:val="none" w:sz="0" w:space="0" w:color="auto"/>
                <w:right w:val="none" w:sz="0" w:space="0" w:color="auto"/>
              </w:divBdr>
              <w:divsChild>
                <w:div w:id="181820403">
                  <w:marLeft w:val="0"/>
                  <w:marRight w:val="0"/>
                  <w:marTop w:val="0"/>
                  <w:marBottom w:val="0"/>
                  <w:divBdr>
                    <w:top w:val="none" w:sz="0" w:space="0" w:color="auto"/>
                    <w:left w:val="none" w:sz="0" w:space="0" w:color="auto"/>
                    <w:bottom w:val="none" w:sz="0" w:space="0" w:color="auto"/>
                    <w:right w:val="none" w:sz="0" w:space="0" w:color="auto"/>
                  </w:divBdr>
                  <w:divsChild>
                    <w:div w:id="1767965413">
                      <w:marLeft w:val="0"/>
                      <w:marRight w:val="0"/>
                      <w:marTop w:val="0"/>
                      <w:marBottom w:val="0"/>
                      <w:divBdr>
                        <w:top w:val="none" w:sz="0" w:space="0" w:color="auto"/>
                        <w:left w:val="none" w:sz="0" w:space="0" w:color="auto"/>
                        <w:bottom w:val="none" w:sz="0" w:space="0" w:color="auto"/>
                        <w:right w:val="none" w:sz="0" w:space="0" w:color="auto"/>
                      </w:divBdr>
                      <w:divsChild>
                        <w:div w:id="580523015">
                          <w:marLeft w:val="0"/>
                          <w:marRight w:val="0"/>
                          <w:marTop w:val="0"/>
                          <w:marBottom w:val="0"/>
                          <w:divBdr>
                            <w:top w:val="none" w:sz="0" w:space="0" w:color="auto"/>
                            <w:left w:val="none" w:sz="0" w:space="0" w:color="auto"/>
                            <w:bottom w:val="none" w:sz="0" w:space="0" w:color="auto"/>
                            <w:right w:val="none" w:sz="0" w:space="0" w:color="auto"/>
                          </w:divBdr>
                          <w:divsChild>
                            <w:div w:id="17621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6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 YASSINE</dc:creator>
  <cp:lastModifiedBy>HCP</cp:lastModifiedBy>
  <cp:revision>16</cp:revision>
  <dcterms:created xsi:type="dcterms:W3CDTF">2024-07-11T15:54:00Z</dcterms:created>
  <dcterms:modified xsi:type="dcterms:W3CDTF">2024-07-11T17:03:00Z</dcterms:modified>
</cp:coreProperties>
</file>