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BE3" w:rsidRPr="00757307" w:rsidRDefault="00283BE3" w:rsidP="00A810BF">
      <w:pPr>
        <w:pStyle w:val="MMTitle"/>
        <w:spacing w:before="240" w:after="240" w:line="312" w:lineRule="auto"/>
        <w:ind w:left="-181"/>
        <w:jc w:val="center"/>
        <w:outlineLvl w:val="0"/>
        <w:rPr>
          <w:rFonts w:ascii="Book Antiqua" w:hAnsi="Book Antiqua" w:cstheme="majorHAnsi"/>
          <w:b/>
          <w:bCs/>
          <w:color w:val="4F81BD" w:themeColor="accent1"/>
          <w:sz w:val="24"/>
          <w:szCs w:val="24"/>
        </w:rPr>
      </w:pPr>
    </w:p>
    <w:p w:rsidR="00283BE3" w:rsidRPr="00757307" w:rsidRDefault="00283BE3" w:rsidP="00A810BF">
      <w:pPr>
        <w:pStyle w:val="MMTitle"/>
        <w:spacing w:before="240" w:after="240" w:line="312" w:lineRule="auto"/>
        <w:ind w:left="-181"/>
        <w:jc w:val="center"/>
        <w:outlineLvl w:val="0"/>
        <w:rPr>
          <w:rFonts w:ascii="Book Antiqua" w:hAnsi="Book Antiqua" w:cstheme="majorHAnsi"/>
          <w:b/>
          <w:bCs/>
          <w:color w:val="4F81BD" w:themeColor="accent1"/>
          <w:sz w:val="24"/>
          <w:szCs w:val="24"/>
        </w:rPr>
      </w:pPr>
    </w:p>
    <w:p w:rsidR="00713D06" w:rsidRPr="0047463D" w:rsidRDefault="00713D06" w:rsidP="00713D06">
      <w:pPr>
        <w:pStyle w:val="MMTitle"/>
        <w:spacing w:line="312" w:lineRule="auto"/>
        <w:ind w:left="-181"/>
        <w:jc w:val="center"/>
        <w:outlineLvl w:val="0"/>
        <w:rPr>
          <w:rFonts w:asciiTheme="majorBidi" w:hAnsiTheme="majorBidi" w:cstheme="majorBidi"/>
          <w:b/>
          <w:bCs/>
          <w:color w:val="4F81BD" w:themeColor="accent1"/>
          <w:sz w:val="24"/>
          <w:szCs w:val="24"/>
        </w:rPr>
      </w:pPr>
      <w:r w:rsidRPr="0047463D">
        <w:rPr>
          <w:rFonts w:asciiTheme="majorBidi" w:hAnsiTheme="majorBidi" w:cstheme="majorBidi"/>
          <w:b/>
          <w:bCs/>
          <w:color w:val="4F81BD" w:themeColor="accent1"/>
          <w:sz w:val="24"/>
          <w:szCs w:val="24"/>
        </w:rPr>
        <w:t xml:space="preserve">NOTE D’INFORMATION DU HAUT-COMMISSARIAT AU PLAN </w:t>
      </w:r>
    </w:p>
    <w:p w:rsidR="00713D06" w:rsidRPr="0047463D" w:rsidRDefault="00713D06" w:rsidP="00713D06">
      <w:pPr>
        <w:pStyle w:val="MMTitle"/>
        <w:spacing w:line="312" w:lineRule="auto"/>
        <w:ind w:left="-181"/>
        <w:jc w:val="center"/>
        <w:outlineLvl w:val="0"/>
        <w:rPr>
          <w:rFonts w:asciiTheme="majorBidi" w:hAnsiTheme="majorBidi" w:cstheme="majorBidi"/>
          <w:b/>
          <w:bCs/>
          <w:color w:val="4F81BD" w:themeColor="accent1"/>
          <w:sz w:val="24"/>
          <w:szCs w:val="24"/>
        </w:rPr>
      </w:pPr>
      <w:r w:rsidRPr="0047463D">
        <w:rPr>
          <w:rFonts w:asciiTheme="majorBidi" w:hAnsiTheme="majorBidi" w:cstheme="majorBidi"/>
          <w:b/>
          <w:bCs/>
          <w:color w:val="4F81BD" w:themeColor="accent1"/>
          <w:sz w:val="24"/>
          <w:szCs w:val="24"/>
        </w:rPr>
        <w:t xml:space="preserve">RELATIVE À LA SITUATION DU MARCHÉ DU TRAVAIL </w:t>
      </w:r>
    </w:p>
    <w:p w:rsidR="00713D06" w:rsidRPr="0047463D" w:rsidRDefault="00713D06" w:rsidP="00713D06">
      <w:pPr>
        <w:pStyle w:val="MMTitle"/>
        <w:spacing w:line="312" w:lineRule="auto"/>
        <w:ind w:left="-181"/>
        <w:jc w:val="center"/>
        <w:outlineLvl w:val="0"/>
        <w:rPr>
          <w:rFonts w:asciiTheme="majorBidi" w:hAnsiTheme="majorBidi" w:cstheme="majorBidi"/>
          <w:b/>
          <w:bCs/>
          <w:color w:val="4F81BD" w:themeColor="accent1"/>
          <w:sz w:val="28"/>
          <w:szCs w:val="28"/>
        </w:rPr>
      </w:pPr>
      <w:r w:rsidRPr="0047463D">
        <w:rPr>
          <w:rFonts w:asciiTheme="majorBidi" w:hAnsiTheme="majorBidi" w:cstheme="majorBidi"/>
          <w:b/>
          <w:bCs/>
          <w:color w:val="4F81BD" w:themeColor="accent1"/>
          <w:sz w:val="24"/>
          <w:szCs w:val="24"/>
        </w:rPr>
        <w:t xml:space="preserve">AU TROISIÈME TRIMESTRE DE </w:t>
      </w:r>
      <w:r w:rsidR="00914D1A" w:rsidRPr="0047463D">
        <w:rPr>
          <w:rFonts w:asciiTheme="majorBidi" w:hAnsiTheme="majorBidi" w:cstheme="majorBidi"/>
          <w:b/>
          <w:bCs/>
          <w:color w:val="4F81BD" w:themeColor="accent1"/>
          <w:sz w:val="24"/>
          <w:szCs w:val="24"/>
        </w:rPr>
        <w:t>2024</w:t>
      </w:r>
    </w:p>
    <w:p w:rsidR="00283BE3" w:rsidRDefault="00283BE3" w:rsidP="00A810BF">
      <w:pPr>
        <w:spacing w:before="240" w:after="240" w:line="312" w:lineRule="auto"/>
        <w:contextualSpacing/>
        <w:jc w:val="both"/>
        <w:rPr>
          <w:rFonts w:ascii="Book Antiqua" w:eastAsia="Book Antiqua" w:hAnsi="Book Antiqua" w:cs="Book Antiqua"/>
          <w:b/>
          <w:color w:val="4472C4"/>
        </w:rPr>
      </w:pPr>
    </w:p>
    <w:p w:rsidR="00283BE3" w:rsidRDefault="00283BE3" w:rsidP="00713D06">
      <w:pPr>
        <w:pBdr>
          <w:top w:val="nil"/>
          <w:left w:val="nil"/>
          <w:bottom w:val="nil"/>
          <w:right w:val="nil"/>
          <w:between w:val="nil"/>
        </w:pBdr>
        <w:spacing w:before="240" w:after="240" w:line="312" w:lineRule="auto"/>
        <w:jc w:val="both"/>
        <w:rPr>
          <w:rFonts w:ascii="Book Antiqua" w:eastAsia="Book Antiqua" w:hAnsi="Book Antiqua" w:cs="Book Antiqua"/>
          <w:b/>
          <w:bCs/>
          <w:color w:val="4F81BD" w:themeColor="accent1"/>
          <w:sz w:val="26"/>
          <w:szCs w:val="26"/>
        </w:rPr>
      </w:pPr>
      <w:r w:rsidRPr="00E4316D">
        <w:rPr>
          <w:rFonts w:ascii="Book Antiqua" w:eastAsia="Book Antiqua" w:hAnsi="Book Antiqua" w:cs="Book Antiqua"/>
          <w:b/>
          <w:bCs/>
          <w:color w:val="4F81BD" w:themeColor="accent1"/>
          <w:sz w:val="26"/>
          <w:szCs w:val="26"/>
        </w:rPr>
        <w:t xml:space="preserve">Entre le troisième trimestre de </w:t>
      </w:r>
      <w:r w:rsidR="00914D1A" w:rsidRPr="00E4316D">
        <w:rPr>
          <w:rFonts w:ascii="Book Antiqua" w:eastAsia="Book Antiqua" w:hAnsi="Book Antiqua" w:cs="Book Antiqua"/>
          <w:b/>
          <w:bCs/>
          <w:color w:val="4F81BD" w:themeColor="accent1"/>
          <w:sz w:val="26"/>
          <w:szCs w:val="26"/>
        </w:rPr>
        <w:t>2023</w:t>
      </w:r>
      <w:r w:rsidRPr="00E4316D">
        <w:rPr>
          <w:rFonts w:ascii="Book Antiqua" w:eastAsia="Book Antiqua" w:hAnsi="Book Antiqua" w:cs="Book Antiqua"/>
          <w:b/>
          <w:bCs/>
          <w:color w:val="4F81BD" w:themeColor="accent1"/>
          <w:sz w:val="26"/>
          <w:szCs w:val="26"/>
        </w:rPr>
        <w:t xml:space="preserve"> et celui de </w:t>
      </w:r>
      <w:r w:rsidR="00914D1A" w:rsidRPr="00E4316D">
        <w:rPr>
          <w:rFonts w:ascii="Book Antiqua" w:eastAsia="Book Antiqua" w:hAnsi="Book Antiqua" w:cs="Book Antiqua"/>
          <w:b/>
          <w:bCs/>
          <w:color w:val="4F81BD" w:themeColor="accent1"/>
          <w:sz w:val="26"/>
          <w:szCs w:val="26"/>
        </w:rPr>
        <w:t>2024</w:t>
      </w:r>
      <w:r w:rsidRPr="00E4316D">
        <w:rPr>
          <w:rFonts w:ascii="Book Antiqua" w:eastAsia="Book Antiqua" w:hAnsi="Book Antiqua" w:cs="Book Antiqua"/>
          <w:b/>
          <w:bCs/>
          <w:color w:val="4F81BD" w:themeColor="accent1"/>
          <w:sz w:val="26"/>
          <w:szCs w:val="26"/>
        </w:rPr>
        <w:t>, avec</w:t>
      </w:r>
      <w:r w:rsidR="00D602D5">
        <w:rPr>
          <w:rFonts w:ascii="Book Antiqua" w:eastAsia="Book Antiqua" w:hAnsi="Book Antiqua" w:cs="Book Antiqua"/>
          <w:b/>
          <w:bCs/>
          <w:color w:val="4F81BD" w:themeColor="accent1"/>
          <w:sz w:val="26"/>
          <w:szCs w:val="26"/>
        </w:rPr>
        <w:t xml:space="preserve"> </w:t>
      </w:r>
      <w:r w:rsidR="00914D1A" w:rsidRPr="00E4316D">
        <w:rPr>
          <w:rFonts w:ascii="Book Antiqua" w:eastAsia="Book Antiqua" w:hAnsi="Book Antiqua" w:cs="Book Antiqua"/>
          <w:b/>
          <w:bCs/>
          <w:color w:val="4F81BD" w:themeColor="accent1"/>
          <w:sz w:val="26"/>
          <w:szCs w:val="26"/>
        </w:rPr>
        <w:t>une création de 231</w:t>
      </w:r>
      <w:r w:rsidRPr="00E4316D">
        <w:rPr>
          <w:rFonts w:ascii="Book Antiqua" w:eastAsia="Book Antiqua" w:hAnsi="Book Antiqua" w:cs="Book Antiqua"/>
          <w:b/>
          <w:bCs/>
          <w:color w:val="4F81BD" w:themeColor="accent1"/>
          <w:sz w:val="26"/>
          <w:szCs w:val="26"/>
        </w:rPr>
        <w:t xml:space="preserve">.000 en milieu </w:t>
      </w:r>
      <w:r w:rsidR="00914D1A" w:rsidRPr="00E4316D">
        <w:rPr>
          <w:rFonts w:ascii="Book Antiqua" w:eastAsia="Book Antiqua" w:hAnsi="Book Antiqua" w:cs="Book Antiqua"/>
          <w:b/>
          <w:bCs/>
          <w:color w:val="4F81BD" w:themeColor="accent1"/>
          <w:sz w:val="26"/>
          <w:szCs w:val="26"/>
        </w:rPr>
        <w:t>urbain</w:t>
      </w:r>
      <w:r w:rsidR="000D1638">
        <w:rPr>
          <w:rFonts w:ascii="Book Antiqua" w:eastAsia="Book Antiqua" w:hAnsi="Book Antiqua" w:cs="Book Antiqua"/>
          <w:b/>
          <w:bCs/>
          <w:color w:val="4F81BD" w:themeColor="accent1"/>
          <w:sz w:val="26"/>
          <w:szCs w:val="26"/>
        </w:rPr>
        <w:t xml:space="preserve"> et </w:t>
      </w:r>
      <w:r w:rsidR="000D1638" w:rsidRPr="00E4316D">
        <w:rPr>
          <w:rFonts w:ascii="Book Antiqua" w:eastAsia="Book Antiqua" w:hAnsi="Book Antiqua" w:cs="Book Antiqua"/>
          <w:b/>
          <w:bCs/>
          <w:color w:val="4F81BD" w:themeColor="accent1"/>
          <w:sz w:val="26"/>
          <w:szCs w:val="26"/>
        </w:rPr>
        <w:t>une perte de 17.000 postes en milieu rural</w:t>
      </w:r>
      <w:r w:rsidRPr="00E4316D">
        <w:rPr>
          <w:rFonts w:ascii="Book Antiqua" w:eastAsia="Book Antiqua" w:hAnsi="Book Antiqua" w:cs="Book Antiqua"/>
          <w:b/>
          <w:bCs/>
          <w:color w:val="4F81BD" w:themeColor="accent1"/>
          <w:sz w:val="26"/>
          <w:szCs w:val="26"/>
        </w:rPr>
        <w:t>, l</w:t>
      </w:r>
      <w:r w:rsidR="003C20E7" w:rsidRPr="00E4316D">
        <w:rPr>
          <w:rFonts w:ascii="Book Antiqua" w:eastAsia="Book Antiqua" w:hAnsi="Book Antiqua" w:cs="Book Antiqua"/>
          <w:b/>
          <w:bCs/>
          <w:color w:val="4F81BD" w:themeColor="accent1"/>
          <w:sz w:val="26"/>
          <w:szCs w:val="26"/>
        </w:rPr>
        <w:t xml:space="preserve">’économie nationale a </w:t>
      </w:r>
      <w:r w:rsidR="00914D1A" w:rsidRPr="00E4316D">
        <w:rPr>
          <w:rFonts w:ascii="Book Antiqua" w:eastAsia="Book Antiqua" w:hAnsi="Book Antiqua" w:cs="Book Antiqua"/>
          <w:b/>
          <w:bCs/>
          <w:color w:val="4F81BD" w:themeColor="accent1"/>
          <w:sz w:val="26"/>
          <w:szCs w:val="26"/>
        </w:rPr>
        <w:t>créé</w:t>
      </w:r>
      <w:r w:rsidR="00372B8D">
        <w:rPr>
          <w:rFonts w:ascii="Book Antiqua" w:eastAsia="Book Antiqua" w:hAnsi="Book Antiqua" w:cs="Book Antiqua" w:hint="cs"/>
          <w:b/>
          <w:bCs/>
          <w:color w:val="4F81BD" w:themeColor="accent1"/>
          <w:sz w:val="26"/>
          <w:szCs w:val="26"/>
          <w:rtl/>
        </w:rPr>
        <w:t xml:space="preserve"> </w:t>
      </w:r>
      <w:r w:rsidR="00914D1A" w:rsidRPr="00E4316D">
        <w:rPr>
          <w:rFonts w:ascii="Book Antiqua" w:eastAsia="Book Antiqua" w:hAnsi="Book Antiqua" w:cs="Book Antiqua"/>
          <w:b/>
          <w:bCs/>
          <w:color w:val="4F81BD" w:themeColor="accent1"/>
          <w:sz w:val="26"/>
          <w:szCs w:val="26"/>
        </w:rPr>
        <w:t>213</w:t>
      </w:r>
      <w:r w:rsidR="003C20E7" w:rsidRPr="00E4316D">
        <w:rPr>
          <w:rFonts w:ascii="Book Antiqua" w:eastAsia="Book Antiqua" w:hAnsi="Book Antiqua" w:cs="Book Antiqua"/>
          <w:b/>
          <w:bCs/>
          <w:color w:val="4F81BD" w:themeColor="accent1"/>
          <w:sz w:val="26"/>
          <w:szCs w:val="26"/>
        </w:rPr>
        <w:t>.</w:t>
      </w:r>
      <w:r w:rsidRPr="00E4316D">
        <w:rPr>
          <w:rFonts w:ascii="Book Antiqua" w:eastAsia="Book Antiqua" w:hAnsi="Book Antiqua" w:cs="Book Antiqua"/>
          <w:b/>
          <w:bCs/>
          <w:color w:val="4F81BD" w:themeColor="accent1"/>
          <w:sz w:val="26"/>
          <w:szCs w:val="26"/>
        </w:rPr>
        <w:t>000 postes d’emploi au niveau national</w:t>
      </w:r>
      <w:r w:rsidR="00914D1A" w:rsidRPr="00E4316D">
        <w:rPr>
          <w:rFonts w:ascii="Book Antiqua" w:eastAsia="Book Antiqua" w:hAnsi="Book Antiqua" w:cs="Book Antiqua"/>
          <w:b/>
          <w:bCs/>
          <w:color w:val="4F81BD" w:themeColor="accent1"/>
          <w:sz w:val="26"/>
          <w:szCs w:val="26"/>
        </w:rPr>
        <w:t xml:space="preserve">, après avoir perdu </w:t>
      </w:r>
      <w:r w:rsidR="000D1638" w:rsidRPr="002C0D7F">
        <w:rPr>
          <w:rFonts w:ascii="Book Antiqua" w:eastAsia="Book Antiqua" w:hAnsi="Book Antiqua" w:cs="Book Antiqua"/>
          <w:b/>
          <w:bCs/>
          <w:color w:val="4F81BD" w:themeColor="accent1"/>
          <w:sz w:val="26"/>
          <w:szCs w:val="26"/>
        </w:rPr>
        <w:t>297.000</w:t>
      </w:r>
      <w:r w:rsidR="002E6400">
        <w:rPr>
          <w:rFonts w:ascii="Book Antiqua" w:eastAsia="Book Antiqua" w:hAnsi="Book Antiqua" w:cs="Book Antiqua" w:hint="cs"/>
          <w:b/>
          <w:bCs/>
          <w:color w:val="4F81BD" w:themeColor="accent1"/>
          <w:sz w:val="26"/>
          <w:szCs w:val="26"/>
          <w:rtl/>
        </w:rPr>
        <w:t xml:space="preserve"> </w:t>
      </w:r>
      <w:r w:rsidR="00914D1A" w:rsidRPr="00E4316D">
        <w:rPr>
          <w:rFonts w:ascii="Book Antiqua" w:eastAsia="Book Antiqua" w:hAnsi="Book Antiqua" w:cs="Book Antiqua"/>
          <w:b/>
          <w:bCs/>
          <w:color w:val="4F81BD" w:themeColor="accent1"/>
          <w:sz w:val="26"/>
          <w:szCs w:val="26"/>
        </w:rPr>
        <w:t>postes une année auparavant.</w:t>
      </w:r>
    </w:p>
    <w:p w:rsidR="000D1638" w:rsidRDefault="000D1638" w:rsidP="000D1638">
      <w:pPr>
        <w:spacing w:before="240" w:after="240" w:line="288" w:lineRule="auto"/>
        <w:jc w:val="both"/>
        <w:rPr>
          <w:rFonts w:ascii="Book Antiqua" w:eastAsia="Book Antiqua" w:hAnsi="Book Antiqua" w:cs="Book Antiqua"/>
          <w:b/>
          <w:bCs/>
          <w:color w:val="4F81BD" w:themeColor="accent1"/>
          <w:sz w:val="26"/>
          <w:szCs w:val="26"/>
        </w:rPr>
      </w:pPr>
      <w:r w:rsidRPr="000D1638">
        <w:rPr>
          <w:rFonts w:ascii="Book Antiqua" w:eastAsia="Book Antiqua" w:hAnsi="Book Antiqua" w:cs="Book Antiqua"/>
          <w:b/>
          <w:bCs/>
          <w:color w:val="4F81BD" w:themeColor="accent1"/>
          <w:sz w:val="26"/>
          <w:szCs w:val="26"/>
        </w:rPr>
        <w:t xml:space="preserve">Par type d’emploi, </w:t>
      </w:r>
      <w:r w:rsidR="00942795">
        <w:rPr>
          <w:rFonts w:ascii="Book Antiqua" w:eastAsia="Book Antiqua" w:hAnsi="Book Antiqua" w:cs="Book Antiqua"/>
          <w:b/>
          <w:bCs/>
          <w:color w:val="4F81BD" w:themeColor="accent1"/>
          <w:sz w:val="26"/>
          <w:szCs w:val="26"/>
        </w:rPr>
        <w:t xml:space="preserve">cette </w:t>
      </w:r>
      <w:r w:rsidRPr="000D1638">
        <w:rPr>
          <w:rFonts w:ascii="Book Antiqua" w:eastAsia="Book Antiqua" w:hAnsi="Book Antiqua" w:cs="Book Antiqua"/>
          <w:b/>
          <w:bCs/>
          <w:color w:val="4F81BD" w:themeColor="accent1"/>
          <w:sz w:val="26"/>
          <w:szCs w:val="26"/>
        </w:rPr>
        <w:t xml:space="preserve">création est </w:t>
      </w:r>
      <w:r w:rsidR="00942795" w:rsidRPr="000D1638">
        <w:rPr>
          <w:rFonts w:ascii="Book Antiqua" w:eastAsia="Book Antiqua" w:hAnsi="Book Antiqua" w:cs="Book Antiqua"/>
          <w:b/>
          <w:bCs/>
          <w:color w:val="4F81BD" w:themeColor="accent1"/>
          <w:sz w:val="26"/>
          <w:szCs w:val="26"/>
        </w:rPr>
        <w:t>du</w:t>
      </w:r>
      <w:r w:rsidR="00942795">
        <w:rPr>
          <w:rFonts w:ascii="Book Antiqua" w:eastAsia="Book Antiqua" w:hAnsi="Book Antiqua" w:cs="Book Antiqua"/>
          <w:b/>
          <w:bCs/>
          <w:color w:val="4F81BD" w:themeColor="accent1"/>
          <w:sz w:val="26"/>
          <w:szCs w:val="26"/>
        </w:rPr>
        <w:t>e</w:t>
      </w:r>
      <w:r w:rsidRPr="000D1638">
        <w:rPr>
          <w:rFonts w:ascii="Book Antiqua" w:eastAsia="Book Antiqua" w:hAnsi="Book Antiqua" w:cs="Book Antiqua"/>
          <w:b/>
          <w:bCs/>
          <w:color w:val="4F81BD" w:themeColor="accent1"/>
          <w:sz w:val="26"/>
          <w:szCs w:val="26"/>
        </w:rPr>
        <w:t xml:space="preserve"> à l'augmentation d</w:t>
      </w:r>
      <w:r w:rsidR="00290BB0">
        <w:rPr>
          <w:rFonts w:ascii="Book Antiqua" w:eastAsia="Book Antiqua" w:hAnsi="Book Antiqua" w:cs="Book Antiqua"/>
          <w:b/>
          <w:bCs/>
          <w:color w:val="4F81BD" w:themeColor="accent1"/>
          <w:sz w:val="26"/>
          <w:szCs w:val="26"/>
        </w:rPr>
        <w:t>u volume de l’emploi rémunéré de</w:t>
      </w:r>
      <w:r w:rsidRPr="000D1638">
        <w:rPr>
          <w:rFonts w:ascii="Book Antiqua" w:eastAsia="Book Antiqua" w:hAnsi="Book Antiqua" w:cs="Book Antiqua"/>
          <w:b/>
          <w:bCs/>
          <w:color w:val="4F81BD" w:themeColor="accent1"/>
          <w:sz w:val="26"/>
          <w:szCs w:val="26"/>
        </w:rPr>
        <w:t xml:space="preserve"> 262</w:t>
      </w:r>
      <w:r>
        <w:rPr>
          <w:rFonts w:ascii="Book Antiqua" w:eastAsia="Book Antiqua" w:hAnsi="Book Antiqua" w:cs="Book Antiqua"/>
          <w:b/>
          <w:bCs/>
          <w:color w:val="4F81BD" w:themeColor="accent1"/>
          <w:sz w:val="26"/>
          <w:szCs w:val="26"/>
        </w:rPr>
        <w:t>.</w:t>
      </w:r>
      <w:r w:rsidRPr="000D1638">
        <w:rPr>
          <w:rFonts w:ascii="Book Antiqua" w:eastAsia="Book Antiqua" w:hAnsi="Book Antiqua" w:cs="Book Antiqua"/>
          <w:b/>
          <w:bCs/>
          <w:color w:val="4F81BD" w:themeColor="accent1"/>
          <w:sz w:val="26"/>
          <w:szCs w:val="26"/>
        </w:rPr>
        <w:t xml:space="preserve">000 et à la diminution de </w:t>
      </w:r>
      <w:r w:rsidR="00290BB0">
        <w:rPr>
          <w:rFonts w:ascii="Book Antiqua" w:eastAsia="Book Antiqua" w:hAnsi="Book Antiqua" w:cs="Book Antiqua"/>
          <w:b/>
          <w:bCs/>
          <w:color w:val="4F81BD" w:themeColor="accent1"/>
          <w:sz w:val="26"/>
          <w:szCs w:val="26"/>
        </w:rPr>
        <w:t xml:space="preserve">l’emploi non </w:t>
      </w:r>
      <w:r w:rsidR="006C6DC2">
        <w:rPr>
          <w:rFonts w:ascii="Book Antiqua" w:eastAsia="Book Antiqua" w:hAnsi="Book Antiqua" w:cs="Book Antiqua"/>
          <w:b/>
          <w:bCs/>
          <w:color w:val="4F81BD" w:themeColor="accent1"/>
          <w:sz w:val="26"/>
          <w:szCs w:val="26"/>
        </w:rPr>
        <w:t>rémunéré</w:t>
      </w:r>
      <w:r w:rsidR="006C6DC2">
        <w:rPr>
          <w:rFonts w:ascii="Book Antiqua" w:eastAsia="Book Antiqua" w:hAnsi="Book Antiqua" w:cs="Book Antiqua" w:hint="cs"/>
          <w:b/>
          <w:bCs/>
          <w:color w:val="4F81BD" w:themeColor="accent1"/>
          <w:sz w:val="26"/>
          <w:szCs w:val="26"/>
          <w:rtl/>
        </w:rPr>
        <w:t xml:space="preserve"> </w:t>
      </w:r>
      <w:r w:rsidR="002C0D7F" w:rsidRPr="00942795">
        <w:rPr>
          <w:rFonts w:ascii="Book Antiqua" w:eastAsia="Book Antiqua" w:hAnsi="Book Antiqua" w:cs="Book Antiqua"/>
          <w:b/>
          <w:bCs/>
          <w:color w:val="4F81BD" w:themeColor="accent1"/>
          <w:sz w:val="26"/>
          <w:szCs w:val="26"/>
        </w:rPr>
        <w:t>de</w:t>
      </w:r>
      <w:r w:rsidR="00290BB0" w:rsidRPr="00942795">
        <w:rPr>
          <w:rFonts w:ascii="Book Antiqua" w:eastAsia="Book Antiqua" w:hAnsi="Book Antiqua" w:cs="Book Antiqua"/>
          <w:b/>
          <w:bCs/>
          <w:color w:val="4F81BD" w:themeColor="accent1"/>
          <w:sz w:val="26"/>
          <w:szCs w:val="26"/>
        </w:rPr>
        <w:t xml:space="preserve"> 49.000</w:t>
      </w:r>
      <w:r w:rsidR="002C0D7F" w:rsidRPr="00942795">
        <w:rPr>
          <w:rFonts w:ascii="Book Antiqua" w:eastAsia="Book Antiqua" w:hAnsi="Book Antiqua" w:cs="Book Antiqua"/>
          <w:b/>
          <w:bCs/>
          <w:color w:val="4F81BD" w:themeColor="accent1"/>
          <w:sz w:val="26"/>
          <w:szCs w:val="26"/>
        </w:rPr>
        <w:t xml:space="preserve"> postes</w:t>
      </w:r>
      <w:r w:rsidR="00290BB0" w:rsidRPr="00942795">
        <w:rPr>
          <w:rFonts w:ascii="Book Antiqua" w:eastAsia="Book Antiqua" w:hAnsi="Book Antiqua" w:cs="Book Antiqua"/>
          <w:b/>
          <w:bCs/>
          <w:color w:val="4F81BD" w:themeColor="accent1"/>
          <w:sz w:val="26"/>
          <w:szCs w:val="26"/>
        </w:rPr>
        <w:t>.</w:t>
      </w:r>
    </w:p>
    <w:p w:rsidR="009C2FD8" w:rsidRPr="00E4316D" w:rsidRDefault="009C2FD8" w:rsidP="000D1638">
      <w:pPr>
        <w:spacing w:before="240" w:after="240" w:line="288" w:lineRule="auto"/>
        <w:jc w:val="both"/>
        <w:rPr>
          <w:rFonts w:ascii="Book Antiqua" w:eastAsia="Book Antiqua" w:hAnsi="Book Antiqua" w:cs="Book Antiqua"/>
          <w:b/>
          <w:bCs/>
          <w:color w:val="4F81BD" w:themeColor="accent1"/>
          <w:sz w:val="26"/>
          <w:szCs w:val="26"/>
        </w:rPr>
      </w:pPr>
      <w:r w:rsidRPr="00E4316D">
        <w:rPr>
          <w:rFonts w:ascii="Book Antiqua" w:eastAsia="Book Antiqua" w:hAnsi="Book Antiqua" w:cs="Book Antiqua"/>
          <w:b/>
          <w:bCs/>
          <w:color w:val="4F81BD" w:themeColor="accent1"/>
          <w:sz w:val="26"/>
          <w:szCs w:val="26"/>
        </w:rPr>
        <w:t>Le secteur des "Services" a créé 258.000 postes, celui des BTP 57.000 postes, l’"Industrie y compris l’artisanat" 23.000 postes, alors que l’"Agriculture, forêt et pêche" a en perdu 124.000.</w:t>
      </w:r>
    </w:p>
    <w:p w:rsidR="00283BE3" w:rsidRPr="00E4316D" w:rsidRDefault="00283BE3" w:rsidP="00A810BF">
      <w:pPr>
        <w:pBdr>
          <w:top w:val="nil"/>
          <w:left w:val="nil"/>
          <w:bottom w:val="nil"/>
          <w:right w:val="nil"/>
          <w:between w:val="nil"/>
        </w:pBdr>
        <w:spacing w:before="240" w:after="240" w:line="312" w:lineRule="auto"/>
        <w:jc w:val="both"/>
        <w:rPr>
          <w:rFonts w:ascii="Book Antiqua" w:eastAsia="Book Antiqua" w:hAnsi="Book Antiqua" w:cs="Book Antiqua"/>
          <w:b/>
          <w:bCs/>
          <w:color w:val="4F81BD" w:themeColor="accent1"/>
          <w:sz w:val="26"/>
          <w:szCs w:val="26"/>
        </w:rPr>
      </w:pPr>
      <w:r w:rsidRPr="00E4316D">
        <w:rPr>
          <w:rFonts w:ascii="Book Antiqua" w:eastAsia="Book Antiqua" w:hAnsi="Book Antiqua" w:cs="Book Antiqua"/>
          <w:b/>
          <w:bCs/>
          <w:color w:val="4F81BD" w:themeColor="accent1"/>
          <w:sz w:val="26"/>
          <w:szCs w:val="26"/>
        </w:rPr>
        <w:t xml:space="preserve">Avec une hausse de </w:t>
      </w:r>
      <w:r w:rsidR="00914D1A" w:rsidRPr="00E4316D">
        <w:rPr>
          <w:rFonts w:ascii="Book Antiqua" w:eastAsia="Book Antiqua" w:hAnsi="Book Antiqua" w:cs="Book Antiqua"/>
          <w:b/>
          <w:bCs/>
          <w:color w:val="4F81BD" w:themeColor="accent1"/>
          <w:sz w:val="26"/>
          <w:szCs w:val="26"/>
        </w:rPr>
        <w:t>58</w:t>
      </w:r>
      <w:r w:rsidRPr="00E4316D">
        <w:rPr>
          <w:rFonts w:ascii="Book Antiqua" w:eastAsia="Book Antiqua" w:hAnsi="Book Antiqua" w:cs="Book Antiqua"/>
          <w:b/>
          <w:bCs/>
          <w:color w:val="4F81BD" w:themeColor="accent1"/>
          <w:sz w:val="26"/>
          <w:szCs w:val="26"/>
        </w:rPr>
        <w:t xml:space="preserve">.000, dont </w:t>
      </w:r>
      <w:r w:rsidR="00914D1A" w:rsidRPr="00E4316D">
        <w:rPr>
          <w:rFonts w:ascii="Book Antiqua" w:eastAsia="Book Antiqua" w:hAnsi="Book Antiqua" w:cs="Book Antiqua"/>
          <w:b/>
          <w:bCs/>
          <w:color w:val="4F81BD" w:themeColor="accent1"/>
          <w:sz w:val="26"/>
          <w:szCs w:val="26"/>
        </w:rPr>
        <w:t>42</w:t>
      </w:r>
      <w:r w:rsidRPr="00E4316D">
        <w:rPr>
          <w:rFonts w:ascii="Book Antiqua" w:eastAsia="Book Antiqua" w:hAnsi="Book Antiqua" w:cs="Book Antiqua"/>
          <w:b/>
          <w:bCs/>
          <w:color w:val="4F81BD" w:themeColor="accent1"/>
          <w:sz w:val="26"/>
          <w:szCs w:val="26"/>
        </w:rPr>
        <w:t xml:space="preserve">.000 en milieu urbain et </w:t>
      </w:r>
      <w:r w:rsidR="00914D1A" w:rsidRPr="00E4316D">
        <w:rPr>
          <w:rFonts w:ascii="Book Antiqua" w:eastAsia="Book Antiqua" w:hAnsi="Book Antiqua" w:cs="Book Antiqua"/>
          <w:b/>
          <w:bCs/>
          <w:color w:val="4F81BD" w:themeColor="accent1"/>
          <w:sz w:val="26"/>
          <w:szCs w:val="26"/>
        </w:rPr>
        <w:t>16</w:t>
      </w:r>
      <w:r w:rsidRPr="00E4316D">
        <w:rPr>
          <w:rFonts w:ascii="Book Antiqua" w:eastAsia="Book Antiqua" w:hAnsi="Book Antiqua" w:cs="Book Antiqua"/>
          <w:b/>
          <w:bCs/>
          <w:color w:val="4F81BD" w:themeColor="accent1"/>
          <w:sz w:val="26"/>
          <w:szCs w:val="26"/>
        </w:rPr>
        <w:t>.000 en milieu rural, le volume du chômage a atteint 1.6</w:t>
      </w:r>
      <w:r w:rsidR="00914D1A" w:rsidRPr="00E4316D">
        <w:rPr>
          <w:rFonts w:ascii="Book Antiqua" w:eastAsia="Book Antiqua" w:hAnsi="Book Antiqua" w:cs="Book Antiqua"/>
          <w:b/>
          <w:bCs/>
          <w:color w:val="4F81BD" w:themeColor="accent1"/>
          <w:sz w:val="26"/>
          <w:szCs w:val="26"/>
        </w:rPr>
        <w:t>83</w:t>
      </w:r>
      <w:r w:rsidRPr="00E4316D">
        <w:rPr>
          <w:rFonts w:ascii="Book Antiqua" w:eastAsia="Book Antiqua" w:hAnsi="Book Antiqua" w:cs="Book Antiqua"/>
          <w:b/>
          <w:bCs/>
          <w:color w:val="4F81BD" w:themeColor="accent1"/>
          <w:sz w:val="26"/>
          <w:szCs w:val="26"/>
        </w:rPr>
        <w:t>.000 personnes au niveau national.</w:t>
      </w:r>
    </w:p>
    <w:p w:rsidR="00415370" w:rsidRPr="00415370" w:rsidRDefault="00283BE3" w:rsidP="00415370">
      <w:pPr>
        <w:pBdr>
          <w:top w:val="nil"/>
          <w:left w:val="nil"/>
          <w:bottom w:val="nil"/>
          <w:right w:val="nil"/>
          <w:between w:val="nil"/>
        </w:pBdr>
        <w:spacing w:before="240" w:after="240" w:line="312" w:lineRule="auto"/>
        <w:jc w:val="both"/>
        <w:rPr>
          <w:rFonts w:ascii="Book Antiqua" w:eastAsia="Book Antiqua" w:hAnsi="Book Antiqua" w:cs="Book Antiqua"/>
          <w:b/>
          <w:bCs/>
          <w:color w:val="4F81BD" w:themeColor="accent1"/>
          <w:sz w:val="26"/>
          <w:szCs w:val="26"/>
        </w:rPr>
      </w:pPr>
      <w:r w:rsidRPr="00E4316D">
        <w:rPr>
          <w:rFonts w:ascii="Book Antiqua" w:eastAsia="Book Antiqua" w:hAnsi="Book Antiqua" w:cs="Book Antiqua"/>
          <w:b/>
          <w:bCs/>
          <w:color w:val="4F81BD" w:themeColor="accent1"/>
          <w:sz w:val="26"/>
          <w:szCs w:val="26"/>
        </w:rPr>
        <w:t>Le taux de chômage est</w:t>
      </w:r>
      <w:r w:rsidR="00522A2C" w:rsidRPr="00E4316D">
        <w:rPr>
          <w:rFonts w:ascii="Book Antiqua" w:eastAsia="Book Antiqua" w:hAnsi="Book Antiqua" w:cs="Book Antiqua"/>
          <w:b/>
          <w:bCs/>
          <w:color w:val="4F81BD" w:themeColor="accent1"/>
          <w:sz w:val="26"/>
          <w:szCs w:val="26"/>
        </w:rPr>
        <w:t xml:space="preserve"> ainsi</w:t>
      </w:r>
      <w:r w:rsidRPr="00E4316D">
        <w:rPr>
          <w:rFonts w:ascii="Book Antiqua" w:eastAsia="Book Antiqua" w:hAnsi="Book Antiqua" w:cs="Book Antiqua"/>
          <w:b/>
          <w:bCs/>
          <w:color w:val="4F81BD" w:themeColor="accent1"/>
          <w:sz w:val="26"/>
          <w:szCs w:val="26"/>
        </w:rPr>
        <w:t xml:space="preserve"> passé de 13,5% </w:t>
      </w:r>
      <w:r w:rsidR="00914D1A" w:rsidRPr="00E4316D">
        <w:rPr>
          <w:rFonts w:ascii="Book Antiqua" w:eastAsia="Book Antiqua" w:hAnsi="Book Antiqua" w:cs="Book Antiqua"/>
          <w:b/>
          <w:bCs/>
          <w:color w:val="4F81BD" w:themeColor="accent1"/>
          <w:sz w:val="26"/>
          <w:szCs w:val="26"/>
        </w:rPr>
        <w:t xml:space="preserve">à 13,6% </w:t>
      </w:r>
      <w:r w:rsidRPr="00E4316D">
        <w:rPr>
          <w:rFonts w:ascii="Book Antiqua" w:eastAsia="Book Antiqua" w:hAnsi="Book Antiqua" w:cs="Book Antiqua"/>
          <w:b/>
          <w:bCs/>
          <w:color w:val="4F81BD" w:themeColor="accent1"/>
          <w:sz w:val="26"/>
          <w:szCs w:val="26"/>
        </w:rPr>
        <w:t>au niveau national</w:t>
      </w:r>
      <w:r w:rsidR="00942795">
        <w:rPr>
          <w:rFonts w:ascii="Book Antiqua" w:eastAsia="Book Antiqua" w:hAnsi="Book Antiqua" w:cs="Book Antiqua"/>
          <w:b/>
          <w:bCs/>
          <w:color w:val="4F81BD" w:themeColor="accent1"/>
          <w:sz w:val="26"/>
          <w:szCs w:val="26"/>
        </w:rPr>
        <w:t xml:space="preserve">, </w:t>
      </w:r>
      <w:r w:rsidR="00914D1A" w:rsidRPr="00E4316D">
        <w:rPr>
          <w:rFonts w:ascii="Book Antiqua" w:eastAsia="Book Antiqua" w:hAnsi="Book Antiqua" w:cs="Book Antiqua"/>
          <w:b/>
          <w:bCs/>
          <w:color w:val="4F81BD" w:themeColor="accent1"/>
          <w:sz w:val="26"/>
          <w:szCs w:val="26"/>
        </w:rPr>
        <w:t xml:space="preserve">en stagnant à </w:t>
      </w:r>
      <w:r w:rsidRPr="00E4316D">
        <w:rPr>
          <w:rFonts w:ascii="Book Antiqua" w:eastAsia="Book Antiqua" w:hAnsi="Book Antiqua" w:cs="Book Antiqua"/>
          <w:b/>
          <w:bCs/>
          <w:color w:val="4F81BD" w:themeColor="accent1"/>
          <w:sz w:val="26"/>
          <w:szCs w:val="26"/>
        </w:rPr>
        <w:t xml:space="preserve">17% en milieu urbain et </w:t>
      </w:r>
      <w:r w:rsidR="00914D1A" w:rsidRPr="00E4316D">
        <w:rPr>
          <w:rFonts w:ascii="Book Antiqua" w:eastAsia="Book Antiqua" w:hAnsi="Book Antiqua" w:cs="Book Antiqua"/>
          <w:b/>
          <w:bCs/>
          <w:color w:val="4F81BD" w:themeColor="accent1"/>
          <w:sz w:val="26"/>
          <w:szCs w:val="26"/>
        </w:rPr>
        <w:t xml:space="preserve">passant de </w:t>
      </w:r>
      <w:r w:rsidRPr="00E4316D">
        <w:rPr>
          <w:rFonts w:ascii="Book Antiqua" w:eastAsia="Book Antiqua" w:hAnsi="Book Antiqua" w:cs="Book Antiqua"/>
          <w:b/>
          <w:bCs/>
          <w:color w:val="4F81BD" w:themeColor="accent1"/>
          <w:sz w:val="26"/>
          <w:szCs w:val="26"/>
        </w:rPr>
        <w:t>7%</w:t>
      </w:r>
      <w:r w:rsidR="00914D1A" w:rsidRPr="00E4316D">
        <w:rPr>
          <w:rFonts w:ascii="Book Antiqua" w:eastAsia="Book Antiqua" w:hAnsi="Book Antiqua" w:cs="Book Antiqua"/>
          <w:b/>
          <w:bCs/>
          <w:color w:val="4F81BD" w:themeColor="accent1"/>
          <w:sz w:val="26"/>
          <w:szCs w:val="26"/>
        </w:rPr>
        <w:t xml:space="preserve"> à 7,4</w:t>
      </w:r>
      <w:r w:rsidR="00BA209F">
        <w:rPr>
          <w:rFonts w:ascii="Book Antiqua" w:eastAsia="Book Antiqua" w:hAnsi="Book Antiqua" w:cs="Book Antiqua"/>
          <w:b/>
          <w:bCs/>
          <w:color w:val="4F81BD" w:themeColor="accent1"/>
          <w:sz w:val="26"/>
          <w:szCs w:val="26"/>
        </w:rPr>
        <w:t xml:space="preserve"> </w:t>
      </w:r>
      <w:r w:rsidRPr="00E4316D">
        <w:rPr>
          <w:rFonts w:ascii="Book Antiqua" w:eastAsia="Book Antiqua" w:hAnsi="Book Antiqua" w:cs="Book Antiqua"/>
          <w:b/>
          <w:bCs/>
          <w:color w:val="4F81BD" w:themeColor="accent1"/>
          <w:sz w:val="26"/>
          <w:szCs w:val="26"/>
        </w:rPr>
        <w:t>en milieu rural.</w:t>
      </w:r>
      <w:r w:rsidR="00C80692" w:rsidRPr="00E4316D">
        <w:rPr>
          <w:rFonts w:ascii="Book Antiqua" w:eastAsia="Book Antiqua" w:hAnsi="Book Antiqua" w:cs="Book Antiqua"/>
          <w:b/>
          <w:bCs/>
          <w:color w:val="4F81BD" w:themeColor="accent1"/>
          <w:sz w:val="26"/>
          <w:szCs w:val="26"/>
        </w:rPr>
        <w:t xml:space="preserve"> Les </w:t>
      </w:r>
      <w:r w:rsidR="00924338" w:rsidRPr="00E4316D">
        <w:rPr>
          <w:rFonts w:ascii="Book Antiqua" w:eastAsia="Book Antiqua" w:hAnsi="Book Antiqua" w:cs="Book Antiqua"/>
          <w:b/>
          <w:bCs/>
          <w:color w:val="4F81BD" w:themeColor="accent1"/>
          <w:sz w:val="26"/>
          <w:szCs w:val="26"/>
        </w:rPr>
        <w:t xml:space="preserve">taux les </w:t>
      </w:r>
      <w:r w:rsidR="00522A2C" w:rsidRPr="00E4316D">
        <w:rPr>
          <w:rFonts w:ascii="Book Antiqua" w:eastAsia="Book Antiqua" w:hAnsi="Book Antiqua" w:cs="Book Antiqua"/>
          <w:b/>
          <w:bCs/>
          <w:color w:val="4F81BD" w:themeColor="accent1"/>
          <w:sz w:val="26"/>
          <w:szCs w:val="26"/>
        </w:rPr>
        <w:t xml:space="preserve">plus </w:t>
      </w:r>
      <w:r w:rsidR="00924338" w:rsidRPr="00E4316D">
        <w:rPr>
          <w:rFonts w:ascii="Book Antiqua" w:eastAsia="Book Antiqua" w:hAnsi="Book Antiqua" w:cs="Book Antiqua"/>
          <w:b/>
          <w:bCs/>
          <w:color w:val="4F81BD" w:themeColor="accent1"/>
          <w:sz w:val="26"/>
          <w:szCs w:val="26"/>
        </w:rPr>
        <w:t xml:space="preserve">élevés demeurent </w:t>
      </w:r>
      <w:r w:rsidR="00C80692" w:rsidRPr="00E4316D">
        <w:rPr>
          <w:rFonts w:ascii="Book Antiqua" w:eastAsia="Book Antiqua" w:hAnsi="Book Antiqua" w:cs="Book Antiqua"/>
          <w:b/>
          <w:bCs/>
          <w:color w:val="4F81BD" w:themeColor="accent1"/>
          <w:sz w:val="26"/>
          <w:szCs w:val="26"/>
        </w:rPr>
        <w:t>enregistrés parmi les jeunes âgés de 15 à 24 ans</w:t>
      </w:r>
      <w:r w:rsidR="00F41718" w:rsidRPr="00E4316D">
        <w:rPr>
          <w:rFonts w:ascii="Book Antiqua" w:eastAsia="Book Antiqua" w:hAnsi="Book Antiqua" w:cs="Book Antiqua"/>
          <w:b/>
          <w:bCs/>
          <w:color w:val="4F81BD" w:themeColor="accent1"/>
          <w:sz w:val="26"/>
          <w:szCs w:val="26"/>
        </w:rPr>
        <w:t xml:space="preserve"> (</w:t>
      </w:r>
      <w:r w:rsidR="00C80692" w:rsidRPr="00E4316D">
        <w:rPr>
          <w:rFonts w:ascii="Book Antiqua" w:eastAsia="Book Antiqua" w:hAnsi="Book Antiqua" w:cs="Book Antiqua"/>
          <w:b/>
          <w:bCs/>
          <w:color w:val="4F81BD" w:themeColor="accent1"/>
          <w:sz w:val="26"/>
          <w:szCs w:val="26"/>
        </w:rPr>
        <w:t>3</w:t>
      </w:r>
      <w:r w:rsidR="00914D1A" w:rsidRPr="00E4316D">
        <w:rPr>
          <w:rFonts w:ascii="Book Antiqua" w:eastAsia="Book Antiqua" w:hAnsi="Book Antiqua" w:cs="Book Antiqua"/>
          <w:b/>
          <w:bCs/>
          <w:color w:val="4F81BD" w:themeColor="accent1"/>
          <w:sz w:val="26"/>
          <w:szCs w:val="26"/>
        </w:rPr>
        <w:t>9,5</w:t>
      </w:r>
      <w:r w:rsidR="00C80692" w:rsidRPr="00E4316D">
        <w:rPr>
          <w:rFonts w:ascii="Book Antiqua" w:eastAsia="Book Antiqua" w:hAnsi="Book Antiqua" w:cs="Book Antiqua"/>
          <w:b/>
          <w:bCs/>
          <w:color w:val="4F81BD" w:themeColor="accent1"/>
          <w:sz w:val="26"/>
          <w:szCs w:val="26"/>
        </w:rPr>
        <w:t>%</w:t>
      </w:r>
      <w:r w:rsidR="00F41718" w:rsidRPr="00E4316D">
        <w:rPr>
          <w:rFonts w:ascii="Book Antiqua" w:eastAsia="Book Antiqua" w:hAnsi="Book Antiqua" w:cs="Book Antiqua"/>
          <w:b/>
          <w:bCs/>
          <w:color w:val="4F81BD" w:themeColor="accent1"/>
          <w:sz w:val="26"/>
          <w:szCs w:val="26"/>
        </w:rPr>
        <w:t>)</w:t>
      </w:r>
      <w:r w:rsidR="00924338" w:rsidRPr="00E4316D">
        <w:rPr>
          <w:rFonts w:ascii="Book Antiqua" w:eastAsia="Book Antiqua" w:hAnsi="Book Antiqua" w:cs="Book Antiqua"/>
          <w:b/>
          <w:bCs/>
          <w:color w:val="4F81BD" w:themeColor="accent1"/>
          <w:sz w:val="26"/>
          <w:szCs w:val="26"/>
        </w:rPr>
        <w:t>, les femmes</w:t>
      </w:r>
      <w:r w:rsidR="00D602D5">
        <w:rPr>
          <w:rFonts w:ascii="Book Antiqua" w:eastAsia="Book Antiqua" w:hAnsi="Book Antiqua" w:cs="Book Antiqua"/>
          <w:b/>
          <w:bCs/>
          <w:color w:val="4F81BD" w:themeColor="accent1"/>
          <w:sz w:val="26"/>
          <w:szCs w:val="26"/>
        </w:rPr>
        <w:t xml:space="preserve"> </w:t>
      </w:r>
      <w:r w:rsidR="00924338" w:rsidRPr="00E4316D">
        <w:rPr>
          <w:rFonts w:ascii="Book Antiqua" w:eastAsia="Book Antiqua" w:hAnsi="Book Antiqua" w:cs="Book Antiqua"/>
          <w:b/>
          <w:bCs/>
          <w:color w:val="4F81BD" w:themeColor="accent1"/>
          <w:sz w:val="26"/>
          <w:szCs w:val="26"/>
        </w:rPr>
        <w:t>(</w:t>
      </w:r>
      <w:r w:rsidR="00914D1A" w:rsidRPr="00E4316D">
        <w:rPr>
          <w:rFonts w:ascii="Book Antiqua" w:eastAsia="Book Antiqua" w:hAnsi="Book Antiqua" w:cs="Book Antiqua"/>
          <w:b/>
          <w:bCs/>
          <w:color w:val="4F81BD" w:themeColor="accent1"/>
          <w:sz w:val="26"/>
          <w:szCs w:val="26"/>
        </w:rPr>
        <w:t>20</w:t>
      </w:r>
      <w:r w:rsidR="00C80692" w:rsidRPr="00E4316D">
        <w:rPr>
          <w:rFonts w:ascii="Book Antiqua" w:eastAsia="Book Antiqua" w:hAnsi="Book Antiqua" w:cs="Book Antiqua"/>
          <w:b/>
          <w:bCs/>
          <w:color w:val="4F81BD" w:themeColor="accent1"/>
          <w:sz w:val="26"/>
          <w:szCs w:val="26"/>
        </w:rPr>
        <w:t>,8%</w:t>
      </w:r>
      <w:r w:rsidR="00924338" w:rsidRPr="00E4316D">
        <w:rPr>
          <w:rFonts w:ascii="Book Antiqua" w:eastAsia="Book Antiqua" w:hAnsi="Book Antiqua" w:cs="Book Antiqua"/>
          <w:b/>
          <w:bCs/>
          <w:color w:val="4F81BD" w:themeColor="accent1"/>
          <w:sz w:val="26"/>
          <w:szCs w:val="26"/>
        </w:rPr>
        <w:t xml:space="preserve">) </w:t>
      </w:r>
      <w:r w:rsidR="00914D1A" w:rsidRPr="00E4316D">
        <w:rPr>
          <w:rFonts w:ascii="Book Antiqua" w:eastAsia="Book Antiqua" w:hAnsi="Book Antiqua" w:cs="Book Antiqua"/>
          <w:b/>
          <w:bCs/>
          <w:color w:val="4F81BD" w:themeColor="accent1"/>
          <w:sz w:val="26"/>
          <w:szCs w:val="26"/>
        </w:rPr>
        <w:t>et les</w:t>
      </w:r>
      <w:r w:rsidR="00924338" w:rsidRPr="00E4316D">
        <w:rPr>
          <w:rFonts w:ascii="Book Antiqua" w:eastAsia="Book Antiqua" w:hAnsi="Book Antiqua" w:cs="Book Antiqua"/>
          <w:b/>
          <w:bCs/>
          <w:color w:val="4F81BD" w:themeColor="accent1"/>
          <w:sz w:val="26"/>
          <w:szCs w:val="26"/>
        </w:rPr>
        <w:t xml:space="preserve"> diplômés (19,8%).</w:t>
      </w:r>
    </w:p>
    <w:p w:rsidR="00415370" w:rsidRDefault="00415370" w:rsidP="00415370">
      <w:pPr>
        <w:pBdr>
          <w:top w:val="nil"/>
          <w:left w:val="nil"/>
          <w:bottom w:val="nil"/>
          <w:right w:val="nil"/>
          <w:between w:val="nil"/>
        </w:pBdr>
        <w:spacing w:before="240" w:after="240" w:line="312" w:lineRule="auto"/>
        <w:jc w:val="both"/>
        <w:rPr>
          <w:rFonts w:ascii="Book Antiqua" w:eastAsia="Book Antiqua" w:hAnsi="Book Antiqua" w:cs="Book Antiqua"/>
          <w:b/>
          <w:bCs/>
          <w:color w:val="4F81BD" w:themeColor="accent1"/>
          <w:sz w:val="26"/>
          <w:szCs w:val="26"/>
        </w:rPr>
      </w:pPr>
      <w:r w:rsidRPr="00415370">
        <w:rPr>
          <w:rFonts w:ascii="Book Antiqua" w:eastAsia="Book Antiqua" w:hAnsi="Book Antiqua" w:cs="Book Antiqua"/>
          <w:b/>
          <w:bCs/>
          <w:color w:val="4F81BD" w:themeColor="accent1"/>
          <w:sz w:val="26"/>
          <w:szCs w:val="26"/>
        </w:rPr>
        <w:t>Le nombre de personnes en sous-emploi a augmenté de 60</w:t>
      </w:r>
      <w:r>
        <w:rPr>
          <w:rFonts w:ascii="Book Antiqua" w:eastAsia="Book Antiqua" w:hAnsi="Book Antiqua" w:cs="Book Antiqua"/>
          <w:b/>
          <w:bCs/>
          <w:color w:val="4F81BD" w:themeColor="accent1"/>
          <w:sz w:val="26"/>
          <w:szCs w:val="26"/>
        </w:rPr>
        <w:t>.</w:t>
      </w:r>
      <w:r w:rsidRPr="00415370">
        <w:rPr>
          <w:rFonts w:ascii="Book Antiqua" w:eastAsia="Book Antiqua" w:hAnsi="Book Antiqua" w:cs="Book Antiqua"/>
          <w:b/>
          <w:bCs/>
          <w:color w:val="4F81BD" w:themeColor="accent1"/>
          <w:sz w:val="26"/>
          <w:szCs w:val="26"/>
        </w:rPr>
        <w:t>000, atteignant ainsi 1</w:t>
      </w:r>
      <w:r>
        <w:rPr>
          <w:rFonts w:ascii="Book Antiqua" w:eastAsia="Book Antiqua" w:hAnsi="Book Antiqua" w:cs="Book Antiqua"/>
          <w:b/>
          <w:bCs/>
          <w:color w:val="4F81BD" w:themeColor="accent1"/>
          <w:sz w:val="26"/>
          <w:szCs w:val="26"/>
        </w:rPr>
        <w:t>.</w:t>
      </w:r>
      <w:r w:rsidRPr="00415370">
        <w:rPr>
          <w:rFonts w:ascii="Book Antiqua" w:eastAsia="Book Antiqua" w:hAnsi="Book Antiqua" w:cs="Book Antiqua"/>
          <w:b/>
          <w:bCs/>
          <w:color w:val="4F81BD" w:themeColor="accent1"/>
          <w:sz w:val="26"/>
          <w:szCs w:val="26"/>
        </w:rPr>
        <w:t>066</w:t>
      </w:r>
      <w:r>
        <w:rPr>
          <w:rFonts w:ascii="Book Antiqua" w:eastAsia="Book Antiqua" w:hAnsi="Book Antiqua" w:cs="Book Antiqua"/>
          <w:b/>
          <w:bCs/>
          <w:color w:val="4F81BD" w:themeColor="accent1"/>
          <w:sz w:val="26"/>
          <w:szCs w:val="26"/>
        </w:rPr>
        <w:t>.</w:t>
      </w:r>
      <w:r w:rsidRPr="00415370">
        <w:rPr>
          <w:rFonts w:ascii="Book Antiqua" w:eastAsia="Book Antiqua" w:hAnsi="Book Antiqua" w:cs="Book Antiqua"/>
          <w:b/>
          <w:bCs/>
          <w:color w:val="4F81BD" w:themeColor="accent1"/>
          <w:sz w:val="26"/>
          <w:szCs w:val="26"/>
        </w:rPr>
        <w:t>000.</w:t>
      </w:r>
      <w:r>
        <w:rPr>
          <w:rFonts w:ascii="Book Antiqua" w:eastAsia="Book Antiqua" w:hAnsi="Book Antiqua" w:cs="Book Antiqua"/>
          <w:b/>
          <w:bCs/>
          <w:color w:val="4F81BD" w:themeColor="accent1"/>
          <w:sz w:val="26"/>
          <w:szCs w:val="26"/>
        </w:rPr>
        <w:t xml:space="preserve"> L</w:t>
      </w:r>
      <w:r w:rsidRPr="00415370">
        <w:rPr>
          <w:rFonts w:ascii="Book Antiqua" w:eastAsia="Book Antiqua" w:hAnsi="Book Antiqua" w:cs="Book Antiqua"/>
          <w:b/>
          <w:bCs/>
          <w:color w:val="4F81BD" w:themeColor="accent1"/>
          <w:sz w:val="26"/>
          <w:szCs w:val="26"/>
        </w:rPr>
        <w:t xml:space="preserve">e taux de sous-emploi est </w:t>
      </w:r>
      <w:r>
        <w:rPr>
          <w:rFonts w:ascii="Book Antiqua" w:eastAsia="Book Antiqua" w:hAnsi="Book Antiqua" w:cs="Book Antiqua"/>
          <w:b/>
          <w:bCs/>
          <w:color w:val="4F81BD" w:themeColor="accent1"/>
          <w:sz w:val="26"/>
          <w:szCs w:val="26"/>
        </w:rPr>
        <w:t xml:space="preserve">ainsi </w:t>
      </w:r>
      <w:r w:rsidRPr="00415370">
        <w:rPr>
          <w:rFonts w:ascii="Book Antiqua" w:eastAsia="Book Antiqua" w:hAnsi="Book Antiqua" w:cs="Book Antiqua"/>
          <w:b/>
          <w:bCs/>
          <w:color w:val="4F81BD" w:themeColor="accent1"/>
          <w:sz w:val="26"/>
          <w:szCs w:val="26"/>
        </w:rPr>
        <w:t>passé de 9,6% à 10% au niveau national, de 8,1 % à 8,8 % en milieu urbain, tandis qu'il est resté stable à 12% en milieu rural.</w:t>
      </w:r>
    </w:p>
    <w:p w:rsidR="008D4F11" w:rsidRDefault="008D4F11" w:rsidP="00415370">
      <w:pPr>
        <w:pBdr>
          <w:top w:val="nil"/>
          <w:left w:val="nil"/>
          <w:bottom w:val="nil"/>
          <w:right w:val="nil"/>
          <w:between w:val="nil"/>
        </w:pBdr>
        <w:spacing w:before="240" w:after="240" w:line="312" w:lineRule="auto"/>
        <w:jc w:val="both"/>
        <w:rPr>
          <w:rFonts w:ascii="Book Antiqua" w:eastAsia="Book Antiqua" w:hAnsi="Book Antiqua" w:cs="Book Antiqua"/>
          <w:b/>
          <w:bCs/>
          <w:color w:val="4F81BD" w:themeColor="accent1"/>
          <w:sz w:val="26"/>
          <w:szCs w:val="26"/>
        </w:rPr>
      </w:pPr>
    </w:p>
    <w:p w:rsidR="008D4F11" w:rsidRPr="00415370" w:rsidRDefault="008D4F11" w:rsidP="00415370">
      <w:pPr>
        <w:pBdr>
          <w:top w:val="nil"/>
          <w:left w:val="nil"/>
          <w:bottom w:val="nil"/>
          <w:right w:val="nil"/>
          <w:between w:val="nil"/>
        </w:pBdr>
        <w:spacing w:before="240" w:after="240" w:line="312" w:lineRule="auto"/>
        <w:jc w:val="both"/>
        <w:rPr>
          <w:rFonts w:ascii="Book Antiqua" w:eastAsia="Book Antiqua" w:hAnsi="Book Antiqua" w:cs="Book Antiqua"/>
          <w:b/>
          <w:bCs/>
          <w:color w:val="1F497D" w:themeColor="text2"/>
          <w:sz w:val="26"/>
          <w:szCs w:val="26"/>
        </w:rPr>
      </w:pPr>
    </w:p>
    <w:p w:rsidR="00283BE3" w:rsidRPr="00A4385B" w:rsidRDefault="00283BE3" w:rsidP="00D8366C">
      <w:pPr>
        <w:pStyle w:val="Paragraphedeliste"/>
        <w:numPr>
          <w:ilvl w:val="0"/>
          <w:numId w:val="5"/>
        </w:numPr>
        <w:pBdr>
          <w:top w:val="nil"/>
          <w:left w:val="nil"/>
          <w:bottom w:val="nil"/>
          <w:right w:val="nil"/>
          <w:between w:val="nil"/>
        </w:pBdr>
        <w:spacing w:before="240" w:after="240" w:line="312" w:lineRule="auto"/>
        <w:ind w:left="284" w:hanging="284"/>
        <w:jc w:val="both"/>
        <w:rPr>
          <w:rFonts w:ascii="Book Antiqua" w:eastAsia="Book Antiqua" w:hAnsi="Book Antiqua" w:cs="Book Antiqua"/>
          <w:b/>
          <w:bCs/>
          <w:color w:val="1F497D" w:themeColor="text2"/>
          <w:sz w:val="26"/>
          <w:szCs w:val="26"/>
        </w:rPr>
      </w:pPr>
      <w:r w:rsidRPr="00A4385B">
        <w:rPr>
          <w:rFonts w:ascii="Book Antiqua" w:eastAsia="Book Antiqua" w:hAnsi="Book Antiqua" w:cs="Book Antiqua"/>
          <w:b/>
          <w:bCs/>
          <w:color w:val="1F497D" w:themeColor="text2"/>
          <w:sz w:val="26"/>
          <w:szCs w:val="26"/>
        </w:rPr>
        <w:lastRenderedPageBreak/>
        <w:t>Activité et emploi</w:t>
      </w:r>
    </w:p>
    <w:p w:rsidR="004B3397" w:rsidRPr="00AC0A5D" w:rsidRDefault="00E4316D" w:rsidP="00A810BF">
      <w:pPr>
        <w:spacing w:before="240" w:after="240" w:line="312" w:lineRule="auto"/>
        <w:contextualSpacing/>
        <w:rPr>
          <w:rFonts w:ascii="Book Antiqua" w:eastAsia="Book Antiqua" w:hAnsi="Book Antiqua" w:cs="Book Antiqua"/>
          <w:b/>
          <w:bCs/>
          <w:i/>
          <w:iCs/>
          <w:color w:val="0070C0"/>
          <w:sz w:val="26"/>
          <w:szCs w:val="26"/>
        </w:rPr>
      </w:pPr>
      <w:r>
        <w:rPr>
          <w:rFonts w:ascii="Book Antiqua" w:eastAsia="Book Antiqua" w:hAnsi="Book Antiqua" w:cs="Book Antiqua"/>
          <w:b/>
          <w:bCs/>
          <w:i/>
          <w:iCs/>
          <w:color w:val="0070C0"/>
          <w:sz w:val="26"/>
          <w:szCs w:val="26"/>
        </w:rPr>
        <w:t>Augmentation</w:t>
      </w:r>
      <w:r w:rsidR="004B3397" w:rsidRPr="00AC0A5D">
        <w:rPr>
          <w:rFonts w:ascii="Book Antiqua" w:eastAsia="Book Antiqua" w:hAnsi="Book Antiqua" w:cs="Book Antiqua"/>
          <w:b/>
          <w:bCs/>
          <w:i/>
          <w:iCs/>
          <w:color w:val="0070C0"/>
          <w:sz w:val="26"/>
          <w:szCs w:val="26"/>
        </w:rPr>
        <w:t xml:space="preserve"> de</w:t>
      </w:r>
      <w:r w:rsidR="00D602D5">
        <w:rPr>
          <w:rFonts w:ascii="Book Antiqua" w:eastAsia="Book Antiqua" w:hAnsi="Book Antiqua" w:cs="Book Antiqua"/>
          <w:b/>
          <w:bCs/>
          <w:i/>
          <w:iCs/>
          <w:color w:val="0070C0"/>
          <w:sz w:val="26"/>
          <w:szCs w:val="26"/>
        </w:rPr>
        <w:t xml:space="preserve"> </w:t>
      </w:r>
      <w:r w:rsidR="004B3397" w:rsidRPr="00AC0A5D">
        <w:rPr>
          <w:rFonts w:ascii="Book Antiqua" w:eastAsia="Book Antiqua" w:hAnsi="Book Antiqua" w:cs="Book Antiqua"/>
          <w:b/>
          <w:bCs/>
          <w:i/>
          <w:iCs/>
          <w:color w:val="0070C0"/>
          <w:sz w:val="26"/>
          <w:szCs w:val="26"/>
        </w:rPr>
        <w:t>l’activité et de l’emploi</w:t>
      </w:r>
    </w:p>
    <w:p w:rsidR="0051076B" w:rsidRPr="00E4316D" w:rsidRDefault="004B3397" w:rsidP="00713D06">
      <w:pPr>
        <w:spacing w:before="240" w:after="240" w:line="312" w:lineRule="auto"/>
        <w:jc w:val="both"/>
        <w:rPr>
          <w:rFonts w:ascii="Book Antiqua" w:eastAsia="Book Antiqua" w:hAnsi="Book Antiqua" w:cs="Book Antiqua"/>
          <w:sz w:val="24"/>
          <w:szCs w:val="24"/>
        </w:rPr>
      </w:pPr>
      <w:r w:rsidRPr="00E4316D">
        <w:rPr>
          <w:rFonts w:ascii="Book Antiqua" w:eastAsia="Book Antiqua" w:hAnsi="Book Antiqua" w:cs="Book Antiqua"/>
          <w:sz w:val="24"/>
          <w:szCs w:val="24"/>
        </w:rPr>
        <w:t>Entre le troisième trimestre de 202</w:t>
      </w:r>
      <w:r w:rsidR="00E4316D">
        <w:rPr>
          <w:rFonts w:ascii="Book Antiqua" w:eastAsia="Book Antiqua" w:hAnsi="Book Antiqua" w:cs="Book Antiqua"/>
          <w:sz w:val="24"/>
          <w:szCs w:val="24"/>
        </w:rPr>
        <w:t>3</w:t>
      </w:r>
      <w:r w:rsidRPr="00E4316D">
        <w:rPr>
          <w:rFonts w:ascii="Book Antiqua" w:eastAsia="Book Antiqua" w:hAnsi="Book Antiqua" w:cs="Book Antiqua"/>
          <w:sz w:val="24"/>
          <w:szCs w:val="24"/>
        </w:rPr>
        <w:t xml:space="preserve"> et la même période de 202</w:t>
      </w:r>
      <w:r w:rsidR="00E4316D">
        <w:rPr>
          <w:rFonts w:ascii="Book Antiqua" w:eastAsia="Book Antiqua" w:hAnsi="Book Antiqua" w:cs="Book Antiqua"/>
          <w:sz w:val="24"/>
          <w:szCs w:val="24"/>
        </w:rPr>
        <w:t>4</w:t>
      </w:r>
      <w:r w:rsidRPr="00E4316D">
        <w:rPr>
          <w:rFonts w:ascii="Book Antiqua" w:eastAsia="Book Antiqua" w:hAnsi="Book Antiqua" w:cs="Book Antiqua"/>
          <w:sz w:val="24"/>
          <w:szCs w:val="24"/>
        </w:rPr>
        <w:t xml:space="preserve">, le taux d’activité a </w:t>
      </w:r>
      <w:r w:rsidR="00757307" w:rsidRPr="00E4316D">
        <w:rPr>
          <w:rFonts w:ascii="Book Antiqua" w:eastAsia="Book Antiqua" w:hAnsi="Book Antiqua" w:cs="Book Antiqua"/>
          <w:sz w:val="24"/>
          <w:szCs w:val="24"/>
        </w:rPr>
        <w:t>augmenté</w:t>
      </w:r>
      <w:r w:rsidRPr="00E4316D">
        <w:rPr>
          <w:rFonts w:ascii="Book Antiqua" w:eastAsia="Book Antiqua" w:hAnsi="Book Antiqua" w:cs="Book Antiqua"/>
          <w:sz w:val="24"/>
          <w:szCs w:val="24"/>
        </w:rPr>
        <w:t>, au niveau national, de</w:t>
      </w:r>
      <w:r w:rsidR="002E6400">
        <w:rPr>
          <w:rFonts w:ascii="Book Antiqua" w:eastAsia="Book Antiqua" w:hAnsi="Book Antiqua" w:cs="Book Antiqua" w:hint="cs"/>
          <w:sz w:val="24"/>
          <w:szCs w:val="24"/>
          <w:rtl/>
        </w:rPr>
        <w:t xml:space="preserve"> </w:t>
      </w:r>
      <w:r w:rsidRPr="00E4316D">
        <w:rPr>
          <w:rFonts w:ascii="Book Antiqua" w:eastAsia="Book Antiqua" w:hAnsi="Book Antiqua" w:cs="Book Antiqua"/>
          <w:sz w:val="24"/>
          <w:szCs w:val="24"/>
        </w:rPr>
        <w:t>43,2%</w:t>
      </w:r>
      <w:r w:rsidR="00757307" w:rsidRPr="00E4316D">
        <w:rPr>
          <w:rFonts w:ascii="Book Antiqua" w:eastAsia="Book Antiqua" w:hAnsi="Book Antiqua" w:cs="Book Antiqua"/>
          <w:sz w:val="24"/>
          <w:szCs w:val="24"/>
        </w:rPr>
        <w:t xml:space="preserve"> à 43,6%</w:t>
      </w:r>
      <w:r w:rsidRPr="00E4316D">
        <w:rPr>
          <w:rFonts w:ascii="Book Antiqua" w:eastAsia="Book Antiqua" w:hAnsi="Book Antiqua" w:cs="Book Antiqua"/>
          <w:sz w:val="24"/>
          <w:szCs w:val="24"/>
        </w:rPr>
        <w:t>. I</w:t>
      </w:r>
      <w:r w:rsidR="00757307" w:rsidRPr="00E4316D">
        <w:rPr>
          <w:rFonts w:ascii="Book Antiqua" w:eastAsia="Book Antiqua" w:hAnsi="Book Antiqua" w:cs="Book Antiqua"/>
          <w:sz w:val="24"/>
          <w:szCs w:val="24"/>
        </w:rPr>
        <w:t xml:space="preserve">l est passé </w:t>
      </w:r>
      <w:r w:rsidRPr="00E4316D">
        <w:rPr>
          <w:rFonts w:ascii="Book Antiqua" w:eastAsia="Book Antiqua" w:hAnsi="Book Antiqua" w:cs="Book Antiqua"/>
          <w:sz w:val="24"/>
          <w:szCs w:val="24"/>
        </w:rPr>
        <w:t>de 4</w:t>
      </w:r>
      <w:r w:rsidR="00757307" w:rsidRPr="00E4316D">
        <w:rPr>
          <w:rFonts w:ascii="Book Antiqua" w:eastAsia="Book Antiqua" w:hAnsi="Book Antiqua" w:cs="Book Antiqua"/>
          <w:sz w:val="24"/>
          <w:szCs w:val="24"/>
        </w:rPr>
        <w:t>5,8</w:t>
      </w:r>
      <w:r w:rsidRPr="00E4316D">
        <w:rPr>
          <w:rFonts w:ascii="Book Antiqua" w:eastAsia="Book Antiqua" w:hAnsi="Book Antiqua" w:cs="Book Antiqua"/>
          <w:sz w:val="24"/>
          <w:szCs w:val="24"/>
        </w:rPr>
        <w:t>% à 45,</w:t>
      </w:r>
      <w:r w:rsidR="00757307" w:rsidRPr="00E4316D">
        <w:rPr>
          <w:rFonts w:ascii="Book Antiqua" w:eastAsia="Book Antiqua" w:hAnsi="Book Antiqua" w:cs="Book Antiqua"/>
          <w:sz w:val="24"/>
          <w:szCs w:val="24"/>
        </w:rPr>
        <w:t>7</w:t>
      </w:r>
      <w:r w:rsidRPr="00E4316D">
        <w:rPr>
          <w:rFonts w:ascii="Book Antiqua" w:eastAsia="Book Antiqua" w:hAnsi="Book Antiqua" w:cs="Book Antiqua"/>
          <w:sz w:val="24"/>
          <w:szCs w:val="24"/>
        </w:rPr>
        <w:t xml:space="preserve">% en milieu rural et </w:t>
      </w:r>
      <w:r w:rsidR="00757307" w:rsidRPr="00E4316D">
        <w:rPr>
          <w:rFonts w:ascii="Book Antiqua" w:eastAsia="Book Antiqua" w:hAnsi="Book Antiqua" w:cs="Book Antiqua"/>
          <w:sz w:val="24"/>
          <w:szCs w:val="24"/>
        </w:rPr>
        <w:t xml:space="preserve">de </w:t>
      </w:r>
      <w:r w:rsidRPr="00E4316D">
        <w:rPr>
          <w:rFonts w:ascii="Book Antiqua" w:eastAsia="Book Antiqua" w:hAnsi="Book Antiqua" w:cs="Book Antiqua"/>
          <w:sz w:val="24"/>
          <w:szCs w:val="24"/>
        </w:rPr>
        <w:t>41,9%</w:t>
      </w:r>
      <w:r w:rsidR="00757307" w:rsidRPr="00E4316D">
        <w:rPr>
          <w:rFonts w:ascii="Book Antiqua" w:eastAsia="Book Antiqua" w:hAnsi="Book Antiqua" w:cs="Book Antiqua"/>
          <w:sz w:val="24"/>
          <w:szCs w:val="24"/>
        </w:rPr>
        <w:t xml:space="preserve"> à 42,5%</w:t>
      </w:r>
      <w:r w:rsidRPr="00E4316D">
        <w:rPr>
          <w:rFonts w:ascii="Book Antiqua" w:eastAsia="Book Antiqua" w:hAnsi="Book Antiqua" w:cs="Book Antiqua"/>
          <w:sz w:val="24"/>
          <w:szCs w:val="24"/>
        </w:rPr>
        <w:t xml:space="preserve"> en milieu urbain. </w:t>
      </w:r>
      <w:r w:rsidR="0051076B" w:rsidRPr="00E4316D">
        <w:rPr>
          <w:rFonts w:ascii="Book Antiqua" w:eastAsia="Book Antiqua" w:hAnsi="Book Antiqua" w:cs="Book Antiqua"/>
          <w:sz w:val="24"/>
          <w:szCs w:val="24"/>
        </w:rPr>
        <w:t>Le taux d’activité des hommes</w:t>
      </w:r>
      <w:r w:rsidR="00757307" w:rsidRPr="00E4316D">
        <w:rPr>
          <w:rFonts w:ascii="Book Antiqua" w:eastAsia="Book Antiqua" w:hAnsi="Book Antiqua" w:cs="Book Antiqua"/>
          <w:sz w:val="24"/>
          <w:szCs w:val="24"/>
        </w:rPr>
        <w:t xml:space="preserve"> est passé de 68,7% à 68,6%</w:t>
      </w:r>
      <w:r w:rsidR="0051076B" w:rsidRPr="00E4316D">
        <w:rPr>
          <w:rFonts w:ascii="Book Antiqua" w:eastAsia="Book Antiqua" w:hAnsi="Book Antiqua" w:cs="Book Antiqua"/>
          <w:sz w:val="24"/>
          <w:szCs w:val="24"/>
        </w:rPr>
        <w:t xml:space="preserve"> et </w:t>
      </w:r>
      <w:r w:rsidR="00757307" w:rsidRPr="00E4316D">
        <w:rPr>
          <w:rFonts w:ascii="Book Antiqua" w:eastAsia="Book Antiqua" w:hAnsi="Book Antiqua" w:cs="Book Antiqua"/>
          <w:sz w:val="24"/>
          <w:szCs w:val="24"/>
        </w:rPr>
        <w:t>celui d</w:t>
      </w:r>
      <w:r w:rsidR="0051076B" w:rsidRPr="00E4316D">
        <w:rPr>
          <w:rFonts w:ascii="Book Antiqua" w:eastAsia="Book Antiqua" w:hAnsi="Book Antiqua" w:cs="Book Antiqua"/>
          <w:sz w:val="24"/>
          <w:szCs w:val="24"/>
        </w:rPr>
        <w:t>es femmes</w:t>
      </w:r>
      <w:r w:rsidR="00757307" w:rsidRPr="00E4316D">
        <w:rPr>
          <w:rFonts w:ascii="Book Antiqua" w:eastAsia="Book Antiqua" w:hAnsi="Book Antiqua" w:cs="Book Antiqua"/>
          <w:sz w:val="24"/>
          <w:szCs w:val="24"/>
        </w:rPr>
        <w:t xml:space="preserve"> de </w:t>
      </w:r>
      <w:r w:rsidR="0051076B" w:rsidRPr="00E4316D">
        <w:rPr>
          <w:rFonts w:ascii="Book Antiqua" w:eastAsia="Book Antiqua" w:hAnsi="Book Antiqua" w:cs="Book Antiqua"/>
          <w:sz w:val="24"/>
          <w:szCs w:val="24"/>
        </w:rPr>
        <w:t>18,4%</w:t>
      </w:r>
      <w:r w:rsidR="00757307" w:rsidRPr="00E4316D">
        <w:rPr>
          <w:rFonts w:ascii="Book Antiqua" w:eastAsia="Book Antiqua" w:hAnsi="Book Antiqua" w:cs="Book Antiqua"/>
          <w:sz w:val="24"/>
          <w:szCs w:val="24"/>
        </w:rPr>
        <w:t xml:space="preserve"> à 19,2%</w:t>
      </w:r>
      <w:r w:rsidR="0051076B" w:rsidRPr="00E4316D">
        <w:rPr>
          <w:rFonts w:ascii="Book Antiqua" w:eastAsia="Book Antiqua" w:hAnsi="Book Antiqua" w:cs="Book Antiqua"/>
          <w:sz w:val="24"/>
          <w:szCs w:val="24"/>
        </w:rPr>
        <w:t xml:space="preserve">.  </w:t>
      </w:r>
    </w:p>
    <w:p w:rsidR="000C6486" w:rsidRPr="00E4316D" w:rsidRDefault="004B3397" w:rsidP="00B63650">
      <w:pPr>
        <w:spacing w:before="240" w:after="240" w:line="312" w:lineRule="auto"/>
        <w:contextualSpacing/>
        <w:jc w:val="center"/>
        <w:rPr>
          <w:rFonts w:ascii="Book Antiqua" w:eastAsia="Book Antiqua" w:hAnsi="Book Antiqua" w:cs="Book Antiqua"/>
          <w:b/>
          <w:color w:val="4F81BD" w:themeColor="accent1"/>
          <w:sz w:val="20"/>
          <w:szCs w:val="20"/>
        </w:rPr>
      </w:pPr>
      <w:r w:rsidRPr="00E4316D">
        <w:rPr>
          <w:rFonts w:ascii="Book Antiqua" w:eastAsia="Book Antiqua" w:hAnsi="Book Antiqua" w:cs="Book Antiqua"/>
          <w:b/>
          <w:color w:val="4F81BD" w:themeColor="accent1"/>
          <w:sz w:val="20"/>
          <w:szCs w:val="20"/>
        </w:rPr>
        <w:t>Graphique 1 : Evolution du taux d’activité selon le milieu de résidence aux troisièmes trimestres depuis l’année 201</w:t>
      </w:r>
      <w:r w:rsidR="004E0C71" w:rsidRPr="00E4316D">
        <w:rPr>
          <w:rFonts w:ascii="Book Antiqua" w:eastAsia="Book Antiqua" w:hAnsi="Book Antiqua" w:cs="Book Antiqua"/>
          <w:b/>
          <w:color w:val="4F81BD" w:themeColor="accent1"/>
          <w:sz w:val="20"/>
          <w:szCs w:val="20"/>
        </w:rPr>
        <w:t>9</w:t>
      </w:r>
      <w:r w:rsidRPr="00E4316D">
        <w:rPr>
          <w:rFonts w:ascii="Book Antiqua" w:eastAsia="Book Antiqua" w:hAnsi="Book Antiqua" w:cs="Book Antiqua"/>
          <w:b/>
          <w:color w:val="4F81BD" w:themeColor="accent1"/>
          <w:sz w:val="20"/>
          <w:szCs w:val="20"/>
        </w:rPr>
        <w:t xml:space="preserve"> (en %)</w:t>
      </w:r>
    </w:p>
    <w:p w:rsidR="0051076B" w:rsidRPr="00E4316D" w:rsidRDefault="000C6486" w:rsidP="00EF16D8">
      <w:pPr>
        <w:spacing w:before="240" w:after="240" w:line="312" w:lineRule="auto"/>
        <w:jc w:val="both"/>
        <w:rPr>
          <w:rFonts w:ascii="Book Antiqua" w:hAnsi="Book Antiqua" w:cstheme="majorBidi"/>
          <w:sz w:val="24"/>
          <w:szCs w:val="24"/>
        </w:rPr>
      </w:pPr>
      <w:r w:rsidRPr="000C6486">
        <w:rPr>
          <w:noProof/>
          <w:color w:val="FFC000"/>
          <w:sz w:val="20"/>
          <w:szCs w:val="20"/>
          <w:highlight w:val="yellow"/>
        </w:rPr>
        <w:drawing>
          <wp:inline distT="0" distB="0" distL="0" distR="0">
            <wp:extent cx="5720486" cy="2289657"/>
            <wp:effectExtent l="0" t="0" r="0" b="0"/>
            <wp:docPr id="1168997966" name="Chart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83AEC8A3-33D7-B1A7-9499-466A9ED999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4B3397" w:rsidRPr="00E4316D">
        <w:rPr>
          <w:rFonts w:ascii="Book Antiqua" w:eastAsia="Book Antiqua" w:hAnsi="Book Antiqua" w:cs="Book Antiqua"/>
          <w:sz w:val="24"/>
          <w:szCs w:val="24"/>
        </w:rPr>
        <w:t xml:space="preserve">De son côté, le taux d’emploi a </w:t>
      </w:r>
      <w:r w:rsidR="00E4316D">
        <w:rPr>
          <w:rFonts w:ascii="Book Antiqua" w:eastAsia="Book Antiqua" w:hAnsi="Book Antiqua" w:cs="Book Antiqua"/>
          <w:sz w:val="24"/>
          <w:szCs w:val="24"/>
        </w:rPr>
        <w:t>augmenté</w:t>
      </w:r>
      <w:r w:rsidR="004B3397" w:rsidRPr="00E4316D">
        <w:rPr>
          <w:rFonts w:ascii="Book Antiqua" w:eastAsia="Book Antiqua" w:hAnsi="Book Antiqua" w:cs="Book Antiqua"/>
          <w:sz w:val="24"/>
          <w:szCs w:val="24"/>
        </w:rPr>
        <w:t xml:space="preserve"> de 3</w:t>
      </w:r>
      <w:r w:rsidR="00040504" w:rsidRPr="00E4316D">
        <w:rPr>
          <w:rFonts w:ascii="Book Antiqua" w:eastAsia="Book Antiqua" w:hAnsi="Book Antiqua" w:cs="Book Antiqua"/>
          <w:sz w:val="24"/>
          <w:szCs w:val="24"/>
        </w:rPr>
        <w:t>7,4</w:t>
      </w:r>
      <w:r w:rsidR="004B3397" w:rsidRPr="00E4316D">
        <w:rPr>
          <w:rFonts w:ascii="Book Antiqua" w:eastAsia="Book Antiqua" w:hAnsi="Book Antiqua" w:cs="Book Antiqua"/>
          <w:sz w:val="24"/>
          <w:szCs w:val="24"/>
        </w:rPr>
        <w:t>% à 37,</w:t>
      </w:r>
      <w:r w:rsidR="00040504" w:rsidRPr="00E4316D">
        <w:rPr>
          <w:rFonts w:ascii="Book Antiqua" w:eastAsia="Book Antiqua" w:hAnsi="Book Antiqua" w:cs="Book Antiqua"/>
          <w:sz w:val="24"/>
          <w:szCs w:val="24"/>
        </w:rPr>
        <w:t>6</w:t>
      </w:r>
      <w:r w:rsidR="004B3397" w:rsidRPr="00E4316D">
        <w:rPr>
          <w:rFonts w:ascii="Book Antiqua" w:eastAsia="Book Antiqua" w:hAnsi="Book Antiqua" w:cs="Book Antiqua"/>
          <w:sz w:val="24"/>
          <w:szCs w:val="24"/>
        </w:rPr>
        <w:t>% au niveau national</w:t>
      </w:r>
      <w:r w:rsidR="0051076B" w:rsidRPr="00E4316D">
        <w:rPr>
          <w:rFonts w:ascii="Book Antiqua" w:eastAsia="Book Antiqua" w:hAnsi="Book Antiqua" w:cs="Book Antiqua"/>
          <w:sz w:val="24"/>
          <w:szCs w:val="24"/>
        </w:rPr>
        <w:t xml:space="preserve"> (</w:t>
      </w:r>
      <w:r w:rsidR="00040504" w:rsidRPr="00E4316D">
        <w:rPr>
          <w:rFonts w:ascii="Book Antiqua" w:eastAsia="Book Antiqua" w:hAnsi="Book Antiqua" w:cs="Book Antiqua"/>
          <w:sz w:val="24"/>
          <w:szCs w:val="24"/>
        </w:rPr>
        <w:t>+0</w:t>
      </w:r>
      <w:r w:rsidR="0051076B" w:rsidRPr="00E4316D">
        <w:rPr>
          <w:rFonts w:ascii="Book Antiqua" w:eastAsia="Book Antiqua" w:hAnsi="Book Antiqua" w:cs="Book Antiqua"/>
          <w:sz w:val="24"/>
          <w:szCs w:val="24"/>
        </w:rPr>
        <w:t>,</w:t>
      </w:r>
      <w:r w:rsidR="00040504" w:rsidRPr="00E4316D">
        <w:rPr>
          <w:rFonts w:ascii="Book Antiqua" w:eastAsia="Book Antiqua" w:hAnsi="Book Antiqua" w:cs="Book Antiqua"/>
          <w:sz w:val="24"/>
          <w:szCs w:val="24"/>
        </w:rPr>
        <w:t>2</w:t>
      </w:r>
      <w:r w:rsidR="0051076B" w:rsidRPr="00E4316D">
        <w:rPr>
          <w:rFonts w:ascii="Book Antiqua" w:eastAsia="Book Antiqua" w:hAnsi="Book Antiqua" w:cs="Book Antiqua"/>
          <w:sz w:val="24"/>
          <w:szCs w:val="24"/>
        </w:rPr>
        <w:t xml:space="preserve"> point)</w:t>
      </w:r>
      <w:r w:rsidR="004B3397" w:rsidRPr="00E4316D">
        <w:rPr>
          <w:rFonts w:ascii="Book Antiqua" w:eastAsia="Book Antiqua" w:hAnsi="Book Antiqua" w:cs="Book Antiqua"/>
          <w:sz w:val="24"/>
          <w:szCs w:val="24"/>
        </w:rPr>
        <w:t>. Ce taux a connu une</w:t>
      </w:r>
      <w:r w:rsidR="00FE49DB" w:rsidRPr="00E4316D">
        <w:rPr>
          <w:rFonts w:ascii="Book Antiqua" w:eastAsia="Book Antiqua" w:hAnsi="Book Antiqua" w:cs="Book Antiqua"/>
          <w:sz w:val="24"/>
          <w:szCs w:val="24"/>
        </w:rPr>
        <w:t xml:space="preserve"> légère</w:t>
      </w:r>
      <w:r w:rsidR="004B3397" w:rsidRPr="00E4316D">
        <w:rPr>
          <w:rFonts w:ascii="Book Antiqua" w:eastAsia="Book Antiqua" w:hAnsi="Book Antiqua" w:cs="Book Antiqua"/>
          <w:sz w:val="24"/>
          <w:szCs w:val="24"/>
        </w:rPr>
        <w:t xml:space="preserve"> baisse </w:t>
      </w:r>
      <w:r w:rsidR="0051076B" w:rsidRPr="00E4316D">
        <w:rPr>
          <w:rFonts w:ascii="Book Antiqua" w:eastAsia="Book Antiqua" w:hAnsi="Book Antiqua" w:cs="Book Antiqua"/>
          <w:sz w:val="24"/>
          <w:szCs w:val="24"/>
        </w:rPr>
        <w:t xml:space="preserve">de </w:t>
      </w:r>
      <w:r w:rsidR="00FE49DB" w:rsidRPr="00E4316D">
        <w:rPr>
          <w:rFonts w:ascii="Book Antiqua" w:eastAsia="Book Antiqua" w:hAnsi="Book Antiqua" w:cs="Book Antiqua"/>
          <w:sz w:val="24"/>
          <w:szCs w:val="24"/>
        </w:rPr>
        <w:t>0,3</w:t>
      </w:r>
      <w:r w:rsidR="0051076B" w:rsidRPr="00E4316D">
        <w:rPr>
          <w:rFonts w:ascii="Book Antiqua" w:eastAsia="Book Antiqua" w:hAnsi="Book Antiqua" w:cs="Book Antiqua"/>
          <w:sz w:val="24"/>
          <w:szCs w:val="24"/>
        </w:rPr>
        <w:t xml:space="preserve"> point en milieu rural (de</w:t>
      </w:r>
      <w:r w:rsidR="006C6DC2">
        <w:rPr>
          <w:rFonts w:ascii="Book Antiqua" w:eastAsia="Book Antiqua" w:hAnsi="Book Antiqua" w:cs="Book Antiqua" w:hint="cs"/>
          <w:sz w:val="24"/>
          <w:szCs w:val="24"/>
          <w:rtl/>
        </w:rPr>
        <w:t xml:space="preserve"> </w:t>
      </w:r>
      <w:r w:rsidR="0051076B" w:rsidRPr="00E4316D">
        <w:rPr>
          <w:rFonts w:ascii="Book Antiqua" w:eastAsia="Book Antiqua" w:hAnsi="Book Antiqua" w:cs="Book Antiqua"/>
          <w:sz w:val="24"/>
          <w:szCs w:val="24"/>
        </w:rPr>
        <w:t>42,6%</w:t>
      </w:r>
      <w:r w:rsidR="00FE49DB" w:rsidRPr="00E4316D">
        <w:rPr>
          <w:rFonts w:ascii="Book Antiqua" w:eastAsia="Book Antiqua" w:hAnsi="Book Antiqua" w:cs="Book Antiqua"/>
          <w:sz w:val="24"/>
          <w:szCs w:val="24"/>
        </w:rPr>
        <w:t xml:space="preserve"> à 42,3%</w:t>
      </w:r>
      <w:r w:rsidR="0051076B" w:rsidRPr="00E4316D">
        <w:rPr>
          <w:rFonts w:ascii="Book Antiqua" w:eastAsia="Book Antiqua" w:hAnsi="Book Antiqua" w:cs="Book Antiqua"/>
          <w:sz w:val="24"/>
          <w:szCs w:val="24"/>
        </w:rPr>
        <w:t xml:space="preserve">) et </w:t>
      </w:r>
      <w:r w:rsidR="00FE49DB" w:rsidRPr="00E4316D">
        <w:rPr>
          <w:rFonts w:ascii="Book Antiqua" w:eastAsia="Book Antiqua" w:hAnsi="Book Antiqua" w:cs="Book Antiqua"/>
          <w:sz w:val="24"/>
          <w:szCs w:val="24"/>
        </w:rPr>
        <w:t xml:space="preserve">a augmenté </w:t>
      </w:r>
      <w:r w:rsidR="004B3397" w:rsidRPr="00E4316D">
        <w:rPr>
          <w:rFonts w:ascii="Book Antiqua" w:eastAsia="Book Antiqua" w:hAnsi="Book Antiqua" w:cs="Book Antiqua"/>
          <w:sz w:val="24"/>
          <w:szCs w:val="24"/>
        </w:rPr>
        <w:t>de 0,</w:t>
      </w:r>
      <w:r w:rsidR="00FE49DB" w:rsidRPr="00E4316D">
        <w:rPr>
          <w:rFonts w:ascii="Book Antiqua" w:eastAsia="Book Antiqua" w:hAnsi="Book Antiqua" w:cs="Book Antiqua"/>
          <w:sz w:val="24"/>
          <w:szCs w:val="24"/>
        </w:rPr>
        <w:t>5</w:t>
      </w:r>
      <w:r w:rsidR="004B3397" w:rsidRPr="00E4316D">
        <w:rPr>
          <w:rFonts w:ascii="Book Antiqua" w:eastAsia="Book Antiqua" w:hAnsi="Book Antiqua" w:cs="Book Antiqua"/>
          <w:sz w:val="24"/>
          <w:szCs w:val="24"/>
        </w:rPr>
        <w:t xml:space="preserve"> point en milieu urbain (de</w:t>
      </w:r>
      <w:r w:rsidR="006C6DC2">
        <w:rPr>
          <w:rFonts w:ascii="Book Antiqua" w:eastAsia="Book Antiqua" w:hAnsi="Book Antiqua" w:cs="Book Antiqua" w:hint="cs"/>
          <w:sz w:val="24"/>
          <w:szCs w:val="24"/>
          <w:rtl/>
        </w:rPr>
        <w:t xml:space="preserve"> </w:t>
      </w:r>
      <w:r w:rsidR="004B3397" w:rsidRPr="00E4316D">
        <w:rPr>
          <w:rFonts w:ascii="Book Antiqua" w:eastAsia="Book Antiqua" w:hAnsi="Book Antiqua" w:cs="Book Antiqua"/>
          <w:sz w:val="24"/>
          <w:szCs w:val="24"/>
        </w:rPr>
        <w:t>34,8%</w:t>
      </w:r>
      <w:r w:rsidR="00FE49DB" w:rsidRPr="00E4316D">
        <w:rPr>
          <w:rFonts w:ascii="Book Antiqua" w:eastAsia="Book Antiqua" w:hAnsi="Book Antiqua" w:cs="Book Antiqua"/>
          <w:sz w:val="24"/>
          <w:szCs w:val="24"/>
        </w:rPr>
        <w:t xml:space="preserve"> à 35,3%</w:t>
      </w:r>
      <w:r w:rsidR="004B3397" w:rsidRPr="00E4316D">
        <w:rPr>
          <w:rFonts w:ascii="Book Antiqua" w:eastAsia="Book Antiqua" w:hAnsi="Book Antiqua" w:cs="Book Antiqua"/>
          <w:sz w:val="24"/>
          <w:szCs w:val="24"/>
        </w:rPr>
        <w:t xml:space="preserve">). </w:t>
      </w:r>
      <w:r w:rsidR="00415370">
        <w:rPr>
          <w:rFonts w:ascii="Book Antiqua" w:hAnsi="Book Antiqua" w:cstheme="majorBidi"/>
          <w:sz w:val="24"/>
          <w:szCs w:val="24"/>
        </w:rPr>
        <w:t xml:space="preserve">De </w:t>
      </w:r>
      <w:r w:rsidR="00565CC2" w:rsidRPr="00E4316D">
        <w:rPr>
          <w:rFonts w:ascii="Book Antiqua" w:hAnsi="Book Antiqua" w:cstheme="majorBidi"/>
          <w:sz w:val="24"/>
          <w:szCs w:val="24"/>
        </w:rPr>
        <w:t>plus</w:t>
      </w:r>
      <w:r w:rsidR="0051076B" w:rsidRPr="00E4316D">
        <w:rPr>
          <w:rFonts w:ascii="Book Antiqua" w:hAnsi="Book Antiqua" w:cstheme="majorBidi"/>
          <w:sz w:val="24"/>
          <w:szCs w:val="24"/>
        </w:rPr>
        <w:t xml:space="preserve">, </w:t>
      </w:r>
      <w:r w:rsidR="00FE49DB" w:rsidRPr="00E4316D">
        <w:rPr>
          <w:rFonts w:ascii="Book Antiqua" w:hAnsi="Book Antiqua" w:cstheme="majorBidi"/>
          <w:sz w:val="24"/>
          <w:szCs w:val="24"/>
        </w:rPr>
        <w:t>ce taux</w:t>
      </w:r>
      <w:r w:rsidR="0051076B" w:rsidRPr="00E4316D">
        <w:rPr>
          <w:rFonts w:ascii="Book Antiqua" w:hAnsi="Book Antiqua" w:cstheme="majorBidi"/>
          <w:sz w:val="24"/>
          <w:szCs w:val="24"/>
        </w:rPr>
        <w:t xml:space="preserve"> a </w:t>
      </w:r>
      <w:r w:rsidR="00FE49DB" w:rsidRPr="00E4316D">
        <w:rPr>
          <w:rFonts w:ascii="Book Antiqua" w:hAnsi="Book Antiqua" w:cstheme="majorBidi"/>
          <w:sz w:val="24"/>
          <w:szCs w:val="24"/>
        </w:rPr>
        <w:t xml:space="preserve">stagné à 60,7% parmi les hommes, et est passé </w:t>
      </w:r>
      <w:r w:rsidR="00565CC2" w:rsidRPr="00E4316D">
        <w:rPr>
          <w:rFonts w:ascii="Book Antiqua" w:hAnsi="Book Antiqua" w:cstheme="majorBidi"/>
          <w:sz w:val="24"/>
          <w:szCs w:val="24"/>
        </w:rPr>
        <w:t>de</w:t>
      </w:r>
      <w:r w:rsidR="00FE49DB" w:rsidRPr="00E4316D">
        <w:rPr>
          <w:rFonts w:ascii="Book Antiqua" w:hAnsi="Book Antiqua" w:cstheme="majorBidi"/>
          <w:sz w:val="24"/>
          <w:szCs w:val="24"/>
        </w:rPr>
        <w:t xml:space="preserve"> 14,8% à </w:t>
      </w:r>
      <w:r w:rsidR="00565CC2" w:rsidRPr="00E4316D">
        <w:rPr>
          <w:rFonts w:ascii="Book Antiqua" w:hAnsi="Book Antiqua" w:cstheme="majorBidi"/>
          <w:sz w:val="24"/>
          <w:szCs w:val="24"/>
        </w:rPr>
        <w:t>1</w:t>
      </w:r>
      <w:r w:rsidR="00FE49DB" w:rsidRPr="00E4316D">
        <w:rPr>
          <w:rFonts w:ascii="Book Antiqua" w:hAnsi="Book Antiqua" w:cstheme="majorBidi"/>
          <w:sz w:val="24"/>
          <w:szCs w:val="24"/>
        </w:rPr>
        <w:t>5</w:t>
      </w:r>
      <w:r w:rsidR="00565CC2" w:rsidRPr="00E4316D">
        <w:rPr>
          <w:rFonts w:ascii="Book Antiqua" w:hAnsi="Book Antiqua" w:cstheme="majorBidi"/>
          <w:sz w:val="24"/>
          <w:szCs w:val="24"/>
        </w:rPr>
        <w:t>,</w:t>
      </w:r>
      <w:r w:rsidR="00FE49DB" w:rsidRPr="00E4316D">
        <w:rPr>
          <w:rFonts w:ascii="Book Antiqua" w:hAnsi="Book Antiqua" w:cstheme="majorBidi"/>
          <w:sz w:val="24"/>
          <w:szCs w:val="24"/>
        </w:rPr>
        <w:t>2</w:t>
      </w:r>
      <w:r w:rsidR="00565CC2" w:rsidRPr="00E4316D">
        <w:rPr>
          <w:rFonts w:ascii="Book Antiqua" w:hAnsi="Book Antiqua" w:cstheme="majorBidi"/>
          <w:sz w:val="24"/>
          <w:szCs w:val="24"/>
        </w:rPr>
        <w:t>%</w:t>
      </w:r>
      <w:r w:rsidR="00FE49DB" w:rsidRPr="00E4316D">
        <w:rPr>
          <w:rFonts w:ascii="Book Antiqua" w:hAnsi="Book Antiqua" w:cstheme="majorBidi"/>
          <w:sz w:val="24"/>
          <w:szCs w:val="24"/>
        </w:rPr>
        <w:t xml:space="preserve"> parmi les femmes</w:t>
      </w:r>
      <w:r w:rsidR="0051076B" w:rsidRPr="00E4316D">
        <w:rPr>
          <w:rFonts w:ascii="Book Antiqua" w:hAnsi="Book Antiqua" w:cstheme="majorBidi"/>
          <w:sz w:val="24"/>
          <w:szCs w:val="24"/>
        </w:rPr>
        <w:t>.</w:t>
      </w:r>
    </w:p>
    <w:p w:rsidR="004B3397" w:rsidRPr="00AC0A5D" w:rsidRDefault="00A9259F" w:rsidP="00A810BF">
      <w:pPr>
        <w:spacing w:before="240" w:after="240" w:line="312" w:lineRule="auto"/>
        <w:jc w:val="both"/>
        <w:rPr>
          <w:rFonts w:ascii="Book Antiqua" w:eastAsia="Book Antiqua" w:hAnsi="Book Antiqua" w:cs="Book Antiqua"/>
          <w:b/>
          <w:bCs/>
          <w:i/>
          <w:iCs/>
          <w:color w:val="0070C0"/>
          <w:sz w:val="26"/>
          <w:szCs w:val="26"/>
        </w:rPr>
      </w:pPr>
      <w:r>
        <w:rPr>
          <w:rFonts w:ascii="Book Antiqua" w:eastAsia="Book Antiqua" w:hAnsi="Book Antiqua" w:cs="Book Antiqua"/>
          <w:b/>
          <w:bCs/>
          <w:i/>
          <w:iCs/>
          <w:color w:val="0070C0"/>
          <w:sz w:val="26"/>
          <w:szCs w:val="26"/>
        </w:rPr>
        <w:t>Création</w:t>
      </w:r>
      <w:r w:rsidR="004B3397" w:rsidRPr="00AC0A5D">
        <w:rPr>
          <w:rFonts w:ascii="Book Antiqua" w:eastAsia="Book Antiqua" w:hAnsi="Book Antiqua" w:cs="Book Antiqua"/>
          <w:b/>
          <w:bCs/>
          <w:i/>
          <w:iCs/>
          <w:color w:val="0070C0"/>
          <w:sz w:val="26"/>
          <w:szCs w:val="26"/>
        </w:rPr>
        <w:t xml:space="preserve"> de postes d’emploi, essentiellement de </w:t>
      </w:r>
      <w:r w:rsidRPr="00AC0A5D">
        <w:rPr>
          <w:rFonts w:ascii="Book Antiqua" w:eastAsia="Book Antiqua" w:hAnsi="Book Antiqua" w:cs="Book Antiqua"/>
          <w:b/>
          <w:bCs/>
          <w:i/>
          <w:iCs/>
          <w:color w:val="0070C0"/>
          <w:sz w:val="26"/>
          <w:szCs w:val="26"/>
        </w:rPr>
        <w:t>type</w:t>
      </w:r>
      <w:r w:rsidR="006C6DC2">
        <w:rPr>
          <w:rFonts w:ascii="Book Antiqua" w:eastAsia="Book Antiqua" w:hAnsi="Book Antiqua" w:cs="Book Antiqua" w:hint="cs"/>
          <w:b/>
          <w:bCs/>
          <w:i/>
          <w:iCs/>
          <w:color w:val="0070C0"/>
          <w:sz w:val="26"/>
          <w:szCs w:val="26"/>
          <w:rtl/>
        </w:rPr>
        <w:t xml:space="preserve"> </w:t>
      </w:r>
      <w:r w:rsidRPr="00AC0A5D">
        <w:rPr>
          <w:rFonts w:ascii="Book Antiqua" w:eastAsia="Book Antiqua" w:hAnsi="Book Antiqua" w:cs="Book Antiqua"/>
          <w:b/>
          <w:bCs/>
          <w:i/>
          <w:iCs/>
          <w:color w:val="0070C0"/>
          <w:sz w:val="26"/>
          <w:szCs w:val="26"/>
        </w:rPr>
        <w:t>rémunéré</w:t>
      </w:r>
    </w:p>
    <w:p w:rsidR="004B3397" w:rsidRPr="00E4316D" w:rsidRDefault="004B3397" w:rsidP="00415370">
      <w:pPr>
        <w:spacing w:after="200"/>
        <w:jc w:val="both"/>
        <w:rPr>
          <w:rFonts w:ascii="Book Antiqua" w:eastAsia="Book Antiqua" w:hAnsi="Book Antiqua" w:cs="Book Antiqua"/>
          <w:sz w:val="24"/>
          <w:szCs w:val="24"/>
        </w:rPr>
      </w:pPr>
      <w:r w:rsidRPr="00E4316D">
        <w:rPr>
          <w:rFonts w:ascii="Book Antiqua" w:eastAsia="Book Antiqua" w:hAnsi="Book Antiqua" w:cs="Book Antiqua"/>
          <w:sz w:val="24"/>
          <w:szCs w:val="24"/>
        </w:rPr>
        <w:t xml:space="preserve">Le volume de l’emploi a </w:t>
      </w:r>
      <w:r w:rsidR="00FE49DB" w:rsidRPr="00E4316D">
        <w:rPr>
          <w:rFonts w:ascii="Book Antiqua" w:eastAsia="Book Antiqua" w:hAnsi="Book Antiqua" w:cs="Book Antiqua"/>
          <w:sz w:val="24"/>
          <w:szCs w:val="24"/>
        </w:rPr>
        <w:t>augmenté</w:t>
      </w:r>
      <w:r w:rsidRPr="00E4316D">
        <w:rPr>
          <w:rFonts w:ascii="Book Antiqua" w:eastAsia="Book Antiqua" w:hAnsi="Book Antiqua" w:cs="Book Antiqua"/>
          <w:sz w:val="24"/>
          <w:szCs w:val="24"/>
        </w:rPr>
        <w:t xml:space="preserve"> de 2</w:t>
      </w:r>
      <w:r w:rsidR="00FE49DB" w:rsidRPr="00E4316D">
        <w:rPr>
          <w:rFonts w:ascii="Book Antiqua" w:eastAsia="Book Antiqua" w:hAnsi="Book Antiqua" w:cs="Book Antiqua"/>
          <w:sz w:val="24"/>
          <w:szCs w:val="24"/>
        </w:rPr>
        <w:t>13</w:t>
      </w:r>
      <w:r w:rsidRPr="00E4316D">
        <w:rPr>
          <w:rFonts w:ascii="Book Antiqua" w:eastAsia="Book Antiqua" w:hAnsi="Book Antiqua" w:cs="Book Antiqua"/>
          <w:sz w:val="24"/>
          <w:szCs w:val="24"/>
        </w:rPr>
        <w:t xml:space="preserve">.000 postes </w:t>
      </w:r>
      <w:r w:rsidR="00D65C1F" w:rsidRPr="00E4316D">
        <w:rPr>
          <w:rFonts w:ascii="Book Antiqua" w:eastAsia="Book Antiqua" w:hAnsi="Book Antiqua" w:cs="Book Antiqua"/>
          <w:sz w:val="24"/>
          <w:szCs w:val="24"/>
        </w:rPr>
        <w:t>entre les troisièmes trimestres de 202</w:t>
      </w:r>
      <w:r w:rsidR="00FE49DB" w:rsidRPr="00E4316D">
        <w:rPr>
          <w:rFonts w:ascii="Book Antiqua" w:eastAsia="Book Antiqua" w:hAnsi="Book Antiqua" w:cs="Book Antiqua"/>
          <w:sz w:val="24"/>
          <w:szCs w:val="24"/>
        </w:rPr>
        <w:t>3</w:t>
      </w:r>
      <w:r w:rsidR="00D65C1F" w:rsidRPr="00E4316D">
        <w:rPr>
          <w:rFonts w:ascii="Book Antiqua" w:eastAsia="Book Antiqua" w:hAnsi="Book Antiqua" w:cs="Book Antiqua"/>
          <w:sz w:val="24"/>
          <w:szCs w:val="24"/>
        </w:rPr>
        <w:t xml:space="preserve"> et 202</w:t>
      </w:r>
      <w:r w:rsidR="00FE49DB" w:rsidRPr="00E4316D">
        <w:rPr>
          <w:rFonts w:ascii="Book Antiqua" w:eastAsia="Book Antiqua" w:hAnsi="Book Antiqua" w:cs="Book Antiqua"/>
          <w:sz w:val="24"/>
          <w:szCs w:val="24"/>
        </w:rPr>
        <w:t>4</w:t>
      </w:r>
      <w:r w:rsidRPr="00E4316D">
        <w:rPr>
          <w:rFonts w:ascii="Book Antiqua" w:eastAsia="Book Antiqua" w:hAnsi="Book Antiqua" w:cs="Book Antiqua"/>
          <w:sz w:val="24"/>
          <w:szCs w:val="24"/>
        </w:rPr>
        <w:t xml:space="preserve">, suite à une </w:t>
      </w:r>
      <w:r w:rsidR="00A9259F" w:rsidRPr="00E4316D">
        <w:rPr>
          <w:rFonts w:ascii="Book Antiqua" w:eastAsia="Book Antiqua" w:hAnsi="Book Antiqua" w:cs="Book Antiqua"/>
          <w:sz w:val="24"/>
          <w:szCs w:val="24"/>
        </w:rPr>
        <w:t>création</w:t>
      </w:r>
      <w:r w:rsidRPr="00E4316D">
        <w:rPr>
          <w:rFonts w:ascii="Book Antiqua" w:eastAsia="Book Antiqua" w:hAnsi="Book Antiqua" w:cs="Book Antiqua"/>
          <w:sz w:val="24"/>
          <w:szCs w:val="24"/>
        </w:rPr>
        <w:t xml:space="preserve"> de 2</w:t>
      </w:r>
      <w:r w:rsidR="00FE49DB" w:rsidRPr="00E4316D">
        <w:rPr>
          <w:rFonts w:ascii="Book Antiqua" w:eastAsia="Book Antiqua" w:hAnsi="Book Antiqua" w:cs="Book Antiqua"/>
          <w:sz w:val="24"/>
          <w:szCs w:val="24"/>
        </w:rPr>
        <w:t>31</w:t>
      </w:r>
      <w:r w:rsidRPr="00E4316D">
        <w:rPr>
          <w:rFonts w:ascii="Book Antiqua" w:eastAsia="Book Antiqua" w:hAnsi="Book Antiqua" w:cs="Book Antiqua"/>
          <w:sz w:val="24"/>
          <w:szCs w:val="24"/>
        </w:rPr>
        <w:t xml:space="preserve">.000 postes en milieu </w:t>
      </w:r>
      <w:r w:rsidR="00FE49DB" w:rsidRPr="00E4316D">
        <w:rPr>
          <w:rFonts w:ascii="Book Antiqua" w:eastAsia="Book Antiqua" w:hAnsi="Book Antiqua" w:cs="Book Antiqua"/>
          <w:sz w:val="24"/>
          <w:szCs w:val="24"/>
        </w:rPr>
        <w:t>urbain</w:t>
      </w:r>
      <w:r w:rsidRPr="00E4316D">
        <w:rPr>
          <w:rFonts w:ascii="Book Antiqua" w:eastAsia="Book Antiqua" w:hAnsi="Book Antiqua" w:cs="Book Antiqua"/>
          <w:sz w:val="24"/>
          <w:szCs w:val="24"/>
        </w:rPr>
        <w:t xml:space="preserve"> et </w:t>
      </w:r>
      <w:r w:rsidR="00A9259F" w:rsidRPr="00E4316D">
        <w:rPr>
          <w:rFonts w:ascii="Book Antiqua" w:eastAsia="Book Antiqua" w:hAnsi="Book Antiqua" w:cs="Book Antiqua"/>
          <w:sz w:val="24"/>
          <w:szCs w:val="24"/>
        </w:rPr>
        <w:t>d’</w:t>
      </w:r>
      <w:r w:rsidR="00FE49DB" w:rsidRPr="00E4316D">
        <w:rPr>
          <w:rFonts w:ascii="Book Antiqua" w:eastAsia="Book Antiqua" w:hAnsi="Book Antiqua" w:cs="Book Antiqua"/>
          <w:sz w:val="24"/>
          <w:szCs w:val="24"/>
        </w:rPr>
        <w:t>une perte de 17</w:t>
      </w:r>
      <w:r w:rsidRPr="00E4316D">
        <w:rPr>
          <w:rFonts w:ascii="Book Antiqua" w:eastAsia="Book Antiqua" w:hAnsi="Book Antiqua" w:cs="Book Antiqua"/>
          <w:sz w:val="24"/>
          <w:szCs w:val="24"/>
        </w:rPr>
        <w:t xml:space="preserve">.000 postes en milieu </w:t>
      </w:r>
      <w:r w:rsidR="00FE49DB" w:rsidRPr="00E4316D">
        <w:rPr>
          <w:rFonts w:ascii="Book Antiqua" w:eastAsia="Book Antiqua" w:hAnsi="Book Antiqua" w:cs="Book Antiqua"/>
          <w:sz w:val="24"/>
          <w:szCs w:val="24"/>
        </w:rPr>
        <w:t>rural</w:t>
      </w:r>
      <w:r w:rsidRPr="00E4316D">
        <w:rPr>
          <w:rFonts w:ascii="Book Antiqua" w:eastAsia="Book Antiqua" w:hAnsi="Book Antiqua" w:cs="Book Antiqua"/>
          <w:sz w:val="24"/>
          <w:szCs w:val="24"/>
        </w:rPr>
        <w:t>. Par type d’emploi, 2</w:t>
      </w:r>
      <w:r w:rsidR="00A9259F" w:rsidRPr="00E4316D">
        <w:rPr>
          <w:rFonts w:ascii="Book Antiqua" w:eastAsia="Book Antiqua" w:hAnsi="Book Antiqua" w:cs="Book Antiqua"/>
          <w:sz w:val="24"/>
          <w:szCs w:val="24"/>
        </w:rPr>
        <w:t>62</w:t>
      </w:r>
      <w:r w:rsidRPr="00E4316D">
        <w:rPr>
          <w:rFonts w:ascii="Book Antiqua" w:eastAsia="Book Antiqua" w:hAnsi="Book Antiqua" w:cs="Book Antiqua"/>
          <w:sz w:val="24"/>
          <w:szCs w:val="24"/>
        </w:rPr>
        <w:t>.000 emplois</w:t>
      </w:r>
      <w:r w:rsidR="00D602D5">
        <w:rPr>
          <w:rFonts w:ascii="Book Antiqua" w:eastAsia="Book Antiqua" w:hAnsi="Book Antiqua" w:cs="Book Antiqua"/>
          <w:sz w:val="24"/>
          <w:szCs w:val="24"/>
        </w:rPr>
        <w:t xml:space="preserve"> </w:t>
      </w:r>
      <w:r w:rsidRPr="00E4316D">
        <w:rPr>
          <w:rFonts w:ascii="Book Antiqua" w:eastAsia="Book Antiqua" w:hAnsi="Book Antiqua" w:cs="Book Antiqua"/>
          <w:sz w:val="24"/>
          <w:szCs w:val="24"/>
        </w:rPr>
        <w:t xml:space="preserve">rémunérés ont été </w:t>
      </w:r>
      <w:r w:rsidR="00A9259F" w:rsidRPr="00E4316D">
        <w:rPr>
          <w:rFonts w:ascii="Book Antiqua" w:eastAsia="Book Antiqua" w:hAnsi="Book Antiqua" w:cs="Book Antiqua"/>
          <w:sz w:val="24"/>
          <w:szCs w:val="24"/>
        </w:rPr>
        <w:t>créés</w:t>
      </w:r>
      <w:r w:rsidRPr="00E4316D">
        <w:rPr>
          <w:rFonts w:ascii="Book Antiqua" w:eastAsia="Book Antiqua" w:hAnsi="Book Antiqua" w:cs="Book Antiqua"/>
          <w:sz w:val="24"/>
          <w:szCs w:val="24"/>
        </w:rPr>
        <w:t xml:space="preserve">, résultat d’une </w:t>
      </w:r>
      <w:r w:rsidR="00A9259F" w:rsidRPr="00E4316D">
        <w:rPr>
          <w:rFonts w:ascii="Book Antiqua" w:eastAsia="Book Antiqua" w:hAnsi="Book Antiqua" w:cs="Book Antiqua"/>
          <w:sz w:val="24"/>
          <w:szCs w:val="24"/>
        </w:rPr>
        <w:t xml:space="preserve">augmentation </w:t>
      </w:r>
      <w:r w:rsidRPr="00E4316D">
        <w:rPr>
          <w:rFonts w:ascii="Book Antiqua" w:eastAsia="Book Antiqua" w:hAnsi="Book Antiqua" w:cs="Book Antiqua"/>
          <w:sz w:val="24"/>
          <w:szCs w:val="24"/>
        </w:rPr>
        <w:t xml:space="preserve">de </w:t>
      </w:r>
      <w:r w:rsidR="00A9259F" w:rsidRPr="00E4316D">
        <w:rPr>
          <w:rFonts w:ascii="Book Antiqua" w:eastAsia="Book Antiqua" w:hAnsi="Book Antiqua" w:cs="Book Antiqua"/>
          <w:sz w:val="24"/>
          <w:szCs w:val="24"/>
        </w:rPr>
        <w:t>218</w:t>
      </w:r>
      <w:r w:rsidRPr="00E4316D">
        <w:rPr>
          <w:rFonts w:ascii="Book Antiqua" w:eastAsia="Book Antiqua" w:hAnsi="Book Antiqua" w:cs="Book Antiqua"/>
          <w:sz w:val="24"/>
          <w:szCs w:val="24"/>
        </w:rPr>
        <w:t>.000 en milieu urbain</w:t>
      </w:r>
      <w:r w:rsidR="00415370">
        <w:rPr>
          <w:rFonts w:ascii="Book Antiqua" w:eastAsia="Book Antiqua" w:hAnsi="Book Antiqua" w:cs="Book Antiqua"/>
          <w:sz w:val="24"/>
          <w:szCs w:val="24"/>
        </w:rPr>
        <w:t xml:space="preserve"> et d</w:t>
      </w:r>
      <w:r w:rsidR="00415370" w:rsidRPr="00E4316D">
        <w:rPr>
          <w:rFonts w:ascii="Book Antiqua" w:eastAsia="Book Antiqua" w:hAnsi="Book Antiqua" w:cs="Book Antiqua"/>
          <w:sz w:val="24"/>
          <w:szCs w:val="24"/>
        </w:rPr>
        <w:t>e 45.000 en milieu rural</w:t>
      </w:r>
      <w:r w:rsidRPr="00E4316D">
        <w:rPr>
          <w:rFonts w:ascii="Book Antiqua" w:eastAsia="Book Antiqua" w:hAnsi="Book Antiqua" w:cs="Book Antiqua"/>
          <w:sz w:val="24"/>
          <w:szCs w:val="24"/>
        </w:rPr>
        <w:t xml:space="preserve">. L’emploi </w:t>
      </w:r>
      <w:r w:rsidR="00A9259F" w:rsidRPr="00E4316D">
        <w:rPr>
          <w:rFonts w:ascii="Book Antiqua" w:eastAsia="Book Antiqua" w:hAnsi="Book Antiqua" w:cs="Book Antiqua"/>
          <w:sz w:val="24"/>
          <w:szCs w:val="24"/>
        </w:rPr>
        <w:t xml:space="preserve">non </w:t>
      </w:r>
      <w:r w:rsidRPr="00E4316D">
        <w:rPr>
          <w:rFonts w:ascii="Book Antiqua" w:eastAsia="Book Antiqua" w:hAnsi="Book Antiqua" w:cs="Book Antiqua"/>
          <w:sz w:val="24"/>
          <w:szCs w:val="24"/>
        </w:rPr>
        <w:t>rémunéré s’est</w:t>
      </w:r>
      <w:r w:rsidR="00D602D5">
        <w:rPr>
          <w:rFonts w:ascii="Book Antiqua" w:eastAsia="Book Antiqua" w:hAnsi="Book Antiqua" w:cs="Book Antiqua"/>
          <w:sz w:val="24"/>
          <w:szCs w:val="24"/>
        </w:rPr>
        <w:t xml:space="preserve"> </w:t>
      </w:r>
      <w:r w:rsidR="00565CC2" w:rsidRPr="00E4316D">
        <w:rPr>
          <w:rFonts w:ascii="Book Antiqua" w:eastAsia="Book Antiqua" w:hAnsi="Book Antiqua" w:cs="Book Antiqua"/>
          <w:sz w:val="24"/>
          <w:szCs w:val="24"/>
        </w:rPr>
        <w:t xml:space="preserve">baissé de </w:t>
      </w:r>
      <w:r w:rsidR="00A9259F" w:rsidRPr="00E4316D">
        <w:rPr>
          <w:rFonts w:ascii="Book Antiqua" w:eastAsia="Book Antiqua" w:hAnsi="Book Antiqua" w:cs="Book Antiqua"/>
          <w:sz w:val="24"/>
          <w:szCs w:val="24"/>
        </w:rPr>
        <w:t>49</w:t>
      </w:r>
      <w:r w:rsidRPr="00E4316D">
        <w:rPr>
          <w:rFonts w:ascii="Book Antiqua" w:eastAsia="Book Antiqua" w:hAnsi="Book Antiqua" w:cs="Book Antiqua"/>
          <w:sz w:val="24"/>
          <w:szCs w:val="24"/>
        </w:rPr>
        <w:t>.000 postes, conséquence</w:t>
      </w:r>
      <w:r w:rsidR="00D602D5">
        <w:rPr>
          <w:rFonts w:ascii="Book Antiqua" w:eastAsia="Book Antiqua" w:hAnsi="Book Antiqua" w:cs="Book Antiqua"/>
          <w:sz w:val="24"/>
          <w:szCs w:val="24"/>
        </w:rPr>
        <w:t xml:space="preserve"> </w:t>
      </w:r>
      <w:r w:rsidR="00415370" w:rsidRPr="00E4316D">
        <w:rPr>
          <w:rFonts w:ascii="Book Antiqua" w:eastAsia="Book Antiqua" w:hAnsi="Book Antiqua" w:cs="Book Antiqua"/>
          <w:sz w:val="24"/>
          <w:szCs w:val="24"/>
        </w:rPr>
        <w:t>d’une baisse de 62.000 en zones rurales</w:t>
      </w:r>
      <w:r w:rsidR="00415370">
        <w:rPr>
          <w:rFonts w:ascii="Book Antiqua" w:eastAsia="Book Antiqua" w:hAnsi="Book Antiqua" w:cs="Book Antiqua"/>
          <w:sz w:val="24"/>
          <w:szCs w:val="24"/>
        </w:rPr>
        <w:t xml:space="preserve"> et</w:t>
      </w:r>
      <w:r w:rsidRPr="00E4316D">
        <w:rPr>
          <w:rFonts w:ascii="Book Antiqua" w:eastAsia="Book Antiqua" w:hAnsi="Book Antiqua" w:cs="Book Antiqua"/>
          <w:sz w:val="24"/>
          <w:szCs w:val="24"/>
        </w:rPr>
        <w:t xml:space="preserve"> d'une </w:t>
      </w:r>
      <w:r w:rsidR="00A9259F" w:rsidRPr="00E4316D">
        <w:rPr>
          <w:rFonts w:ascii="Book Antiqua" w:eastAsia="Book Antiqua" w:hAnsi="Book Antiqua" w:cs="Book Antiqua"/>
          <w:sz w:val="24"/>
          <w:szCs w:val="24"/>
        </w:rPr>
        <w:t>augmentation</w:t>
      </w:r>
      <w:r w:rsidRPr="00E4316D">
        <w:rPr>
          <w:rFonts w:ascii="Book Antiqua" w:eastAsia="Book Antiqua" w:hAnsi="Book Antiqua" w:cs="Book Antiqua"/>
          <w:sz w:val="24"/>
          <w:szCs w:val="24"/>
        </w:rPr>
        <w:t xml:space="preserve"> de 13.000 emplois en zones urbaines</w:t>
      </w:r>
      <w:r w:rsidR="00415370">
        <w:rPr>
          <w:rFonts w:ascii="Book Antiqua" w:eastAsia="Book Antiqua" w:hAnsi="Book Antiqua" w:cs="Book Antiqua"/>
          <w:sz w:val="24"/>
          <w:szCs w:val="24"/>
        </w:rPr>
        <w:t>.</w:t>
      </w:r>
    </w:p>
    <w:p w:rsidR="004E0C71" w:rsidRDefault="004E0C71" w:rsidP="00A810BF">
      <w:pPr>
        <w:spacing w:before="240" w:after="240" w:line="312" w:lineRule="auto"/>
        <w:contextualSpacing/>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br w:type="page"/>
      </w:r>
    </w:p>
    <w:p w:rsidR="004B3397" w:rsidRPr="00E4316D" w:rsidRDefault="004B3397" w:rsidP="00A810BF">
      <w:pPr>
        <w:spacing w:before="240" w:after="240" w:line="312" w:lineRule="auto"/>
        <w:contextualSpacing/>
        <w:jc w:val="both"/>
        <w:rPr>
          <w:rFonts w:ascii="Book Antiqua" w:eastAsia="Book Antiqua" w:hAnsi="Book Antiqua" w:cs="Book Antiqua"/>
          <w:color w:val="4F81BD" w:themeColor="accent1"/>
          <w:sz w:val="24"/>
          <w:szCs w:val="24"/>
        </w:rPr>
      </w:pPr>
      <w:r w:rsidRPr="00942795">
        <w:rPr>
          <w:rFonts w:ascii="Book Antiqua" w:eastAsia="Book Antiqua" w:hAnsi="Book Antiqua" w:cs="Book Antiqua"/>
          <w:b/>
          <w:color w:val="4F81BD" w:themeColor="accent1"/>
          <w:sz w:val="20"/>
          <w:szCs w:val="20"/>
        </w:rPr>
        <w:lastRenderedPageBreak/>
        <w:t>Graphique 2 : Variation nette d’emploi entre le troisième trimestre de 202</w:t>
      </w:r>
      <w:r w:rsidR="00A9259F" w:rsidRPr="00942795">
        <w:rPr>
          <w:rFonts w:ascii="Book Antiqua" w:eastAsia="Book Antiqua" w:hAnsi="Book Antiqua" w:cs="Book Antiqua"/>
          <w:b/>
          <w:color w:val="4F81BD" w:themeColor="accent1"/>
          <w:sz w:val="20"/>
          <w:szCs w:val="20"/>
        </w:rPr>
        <w:t>3</w:t>
      </w:r>
      <w:r w:rsidRPr="00942795">
        <w:rPr>
          <w:rFonts w:ascii="Book Antiqua" w:eastAsia="Book Antiqua" w:hAnsi="Book Antiqua" w:cs="Book Antiqua"/>
          <w:b/>
          <w:color w:val="4F81BD" w:themeColor="accent1"/>
          <w:sz w:val="20"/>
          <w:szCs w:val="20"/>
        </w:rPr>
        <w:t xml:space="preserve"> et celui de 202</w:t>
      </w:r>
      <w:r w:rsidR="00A9259F" w:rsidRPr="00942795">
        <w:rPr>
          <w:rFonts w:ascii="Book Antiqua" w:eastAsia="Book Antiqua" w:hAnsi="Book Antiqua" w:cs="Book Antiqua"/>
          <w:b/>
          <w:color w:val="4F81BD" w:themeColor="accent1"/>
          <w:sz w:val="20"/>
          <w:szCs w:val="20"/>
        </w:rPr>
        <w:t>4</w:t>
      </w:r>
      <w:r w:rsidRPr="00942795">
        <w:rPr>
          <w:rFonts w:ascii="Book Antiqua" w:eastAsia="Book Antiqua" w:hAnsi="Book Antiqua" w:cs="Book Antiqua"/>
          <w:b/>
          <w:color w:val="4F81BD" w:themeColor="accent1"/>
          <w:sz w:val="20"/>
          <w:szCs w:val="20"/>
        </w:rPr>
        <w:t xml:space="preserve"> selon le type d’emploi </w:t>
      </w:r>
      <w:r w:rsidR="00ED4D61" w:rsidRPr="00942795">
        <w:rPr>
          <w:rFonts w:ascii="Book Antiqua" w:eastAsia="Book Antiqua" w:hAnsi="Book Antiqua" w:cs="Book Antiqua"/>
          <w:b/>
          <w:color w:val="4F81BD" w:themeColor="accent1"/>
          <w:sz w:val="20"/>
          <w:szCs w:val="20"/>
        </w:rPr>
        <w:t>et le</w:t>
      </w:r>
      <w:r w:rsidRPr="00942795">
        <w:rPr>
          <w:rFonts w:ascii="Book Antiqua" w:eastAsia="Book Antiqua" w:hAnsi="Book Antiqua" w:cs="Book Antiqua"/>
          <w:b/>
          <w:color w:val="4F81BD" w:themeColor="accent1"/>
          <w:sz w:val="20"/>
          <w:szCs w:val="20"/>
        </w:rPr>
        <w:t xml:space="preserve"> milieu de résidence</w:t>
      </w:r>
    </w:p>
    <w:p w:rsidR="00DD113B" w:rsidRDefault="00DD113B" w:rsidP="00DD113B">
      <w:pPr>
        <w:spacing w:before="240" w:after="240" w:line="312" w:lineRule="auto"/>
        <w:contextualSpacing/>
        <w:jc w:val="center"/>
        <w:rPr>
          <w:rFonts w:ascii="Book Antiqua" w:eastAsia="Book Antiqua" w:hAnsi="Book Antiqua" w:cs="Book Antiqua"/>
          <w:b/>
          <w:bCs/>
          <w:i/>
          <w:iCs/>
          <w:color w:val="0070C0"/>
          <w:sz w:val="26"/>
          <w:szCs w:val="26"/>
        </w:rPr>
      </w:pPr>
      <w:r w:rsidRPr="00ED4D61">
        <w:rPr>
          <w:noProof/>
        </w:rPr>
        <w:drawing>
          <wp:inline distT="0" distB="0" distL="0" distR="0">
            <wp:extent cx="5807033" cy="1763486"/>
            <wp:effectExtent l="0" t="0" r="0" b="0"/>
            <wp:docPr id="1014911727" name="Chart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30D330B-F4BC-9C2B-AE15-460B850401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D4D61" w:rsidRDefault="00ED4D61" w:rsidP="00571BCC">
      <w:pPr>
        <w:spacing w:before="240" w:after="240" w:line="312" w:lineRule="auto"/>
        <w:contextualSpacing/>
        <w:jc w:val="both"/>
        <w:rPr>
          <w:rFonts w:ascii="Book Antiqua" w:eastAsia="Book Antiqua" w:hAnsi="Book Antiqua" w:cs="Book Antiqua"/>
          <w:b/>
          <w:bCs/>
          <w:i/>
          <w:iCs/>
          <w:color w:val="0070C0"/>
          <w:sz w:val="26"/>
          <w:szCs w:val="26"/>
        </w:rPr>
      </w:pPr>
    </w:p>
    <w:p w:rsidR="004B3397" w:rsidRDefault="00571BCC" w:rsidP="00571BCC">
      <w:pPr>
        <w:spacing w:before="240" w:after="240" w:line="312" w:lineRule="auto"/>
        <w:contextualSpacing/>
        <w:jc w:val="both"/>
        <w:rPr>
          <w:rFonts w:ascii="Book Antiqua" w:eastAsia="Book Antiqua" w:hAnsi="Book Antiqua" w:cs="Book Antiqua"/>
          <w:b/>
          <w:bCs/>
          <w:i/>
          <w:iCs/>
          <w:color w:val="0070C0"/>
          <w:sz w:val="26"/>
          <w:szCs w:val="26"/>
        </w:rPr>
      </w:pPr>
      <w:r>
        <w:rPr>
          <w:rFonts w:ascii="Book Antiqua" w:eastAsia="Book Antiqua" w:hAnsi="Book Antiqua" w:cs="Book Antiqua"/>
          <w:b/>
          <w:bCs/>
          <w:i/>
          <w:iCs/>
          <w:color w:val="0070C0"/>
          <w:sz w:val="26"/>
          <w:szCs w:val="26"/>
        </w:rPr>
        <w:t xml:space="preserve">A l’exception du secteur de </w:t>
      </w:r>
      <w:r w:rsidR="00A9259F" w:rsidRPr="00A9259F">
        <w:rPr>
          <w:rFonts w:ascii="Book Antiqua" w:eastAsia="Book Antiqua" w:hAnsi="Book Antiqua" w:cs="Book Antiqua"/>
          <w:b/>
          <w:bCs/>
          <w:i/>
          <w:iCs/>
          <w:color w:val="0070C0"/>
          <w:sz w:val="26"/>
          <w:szCs w:val="26"/>
        </w:rPr>
        <w:t>l’"agriculture forêt et pêche"</w:t>
      </w:r>
      <w:r w:rsidR="004B3397">
        <w:rPr>
          <w:rFonts w:ascii="Book Antiqua" w:eastAsia="Book Antiqua" w:hAnsi="Book Antiqua" w:cs="Book Antiqua"/>
          <w:b/>
          <w:bCs/>
          <w:i/>
          <w:iCs/>
          <w:color w:val="0070C0"/>
          <w:sz w:val="26"/>
          <w:szCs w:val="26"/>
        </w:rPr>
        <w:t xml:space="preserve">, </w:t>
      </w:r>
      <w:r w:rsidR="00283BE3">
        <w:rPr>
          <w:rFonts w:ascii="Book Antiqua" w:eastAsia="Book Antiqua" w:hAnsi="Book Antiqua" w:cs="Book Antiqua"/>
          <w:b/>
          <w:bCs/>
          <w:i/>
          <w:iCs/>
          <w:color w:val="0070C0"/>
          <w:sz w:val="26"/>
          <w:szCs w:val="26"/>
        </w:rPr>
        <w:t xml:space="preserve">les autres secteurs ont connu de </w:t>
      </w:r>
      <w:r w:rsidR="00A9259F">
        <w:rPr>
          <w:rFonts w:ascii="Book Antiqua" w:eastAsia="Book Antiqua" w:hAnsi="Book Antiqua" w:cs="Book Antiqua"/>
          <w:b/>
          <w:bCs/>
          <w:i/>
          <w:iCs/>
          <w:color w:val="0070C0"/>
          <w:sz w:val="26"/>
          <w:szCs w:val="26"/>
        </w:rPr>
        <w:t>créations</w:t>
      </w:r>
      <w:r w:rsidR="00283BE3">
        <w:rPr>
          <w:rFonts w:ascii="Book Antiqua" w:eastAsia="Book Antiqua" w:hAnsi="Book Antiqua" w:cs="Book Antiqua"/>
          <w:b/>
          <w:bCs/>
          <w:i/>
          <w:iCs/>
          <w:color w:val="0070C0"/>
          <w:sz w:val="26"/>
          <w:szCs w:val="26"/>
        </w:rPr>
        <w:t xml:space="preserve"> de post</w:t>
      </w:r>
      <w:r w:rsidR="00D234F5">
        <w:rPr>
          <w:rFonts w:ascii="Book Antiqua" w:eastAsia="Book Antiqua" w:hAnsi="Book Antiqua" w:cs="Book Antiqua"/>
          <w:b/>
          <w:bCs/>
          <w:i/>
          <w:iCs/>
          <w:color w:val="0070C0"/>
          <w:sz w:val="26"/>
          <w:szCs w:val="26"/>
        </w:rPr>
        <w:t>es</w:t>
      </w:r>
      <w:r w:rsidR="00283BE3">
        <w:rPr>
          <w:rFonts w:ascii="Book Antiqua" w:eastAsia="Book Antiqua" w:hAnsi="Book Antiqua" w:cs="Book Antiqua"/>
          <w:b/>
          <w:bCs/>
          <w:i/>
          <w:iCs/>
          <w:color w:val="0070C0"/>
          <w:sz w:val="26"/>
          <w:szCs w:val="26"/>
        </w:rPr>
        <w:t xml:space="preserve"> d’emploi</w:t>
      </w:r>
    </w:p>
    <w:p w:rsidR="001C5309" w:rsidRDefault="001C5309" w:rsidP="00571BCC">
      <w:pPr>
        <w:spacing w:before="240" w:after="240" w:line="312" w:lineRule="auto"/>
        <w:contextualSpacing/>
        <w:jc w:val="both"/>
        <w:rPr>
          <w:rFonts w:ascii="Book Antiqua" w:eastAsia="Book Antiqua" w:hAnsi="Book Antiqua" w:cs="Book Antiqua"/>
          <w:b/>
          <w:bCs/>
          <w:i/>
          <w:iCs/>
          <w:color w:val="0070C0"/>
          <w:sz w:val="26"/>
          <w:szCs w:val="26"/>
        </w:rPr>
      </w:pPr>
    </w:p>
    <w:p w:rsidR="00ED4D61" w:rsidRPr="00E4316D" w:rsidRDefault="004B3397" w:rsidP="002E6400">
      <w:pPr>
        <w:spacing w:before="240" w:after="240" w:line="312" w:lineRule="auto"/>
        <w:jc w:val="both"/>
        <w:rPr>
          <w:rFonts w:ascii="Book Antiqua" w:eastAsia="Book Antiqua" w:hAnsi="Book Antiqua" w:cs="Book Antiqua"/>
          <w:sz w:val="24"/>
          <w:szCs w:val="24"/>
        </w:rPr>
      </w:pPr>
      <w:r w:rsidRPr="00E4316D">
        <w:rPr>
          <w:rFonts w:ascii="Book Antiqua" w:eastAsia="Book Antiqua" w:hAnsi="Book Antiqua" w:cs="Book Antiqua"/>
          <w:sz w:val="24"/>
          <w:szCs w:val="24"/>
        </w:rPr>
        <w:t>Entre le troisième trimestre de 202</w:t>
      </w:r>
      <w:r w:rsidR="00283E2F">
        <w:rPr>
          <w:rFonts w:ascii="Book Antiqua" w:eastAsia="Book Antiqua" w:hAnsi="Book Antiqua" w:cs="Book Antiqua"/>
          <w:sz w:val="24"/>
          <w:szCs w:val="24"/>
        </w:rPr>
        <w:t>3</w:t>
      </w:r>
      <w:r w:rsidRPr="00E4316D">
        <w:rPr>
          <w:rFonts w:ascii="Book Antiqua" w:eastAsia="Book Antiqua" w:hAnsi="Book Antiqua" w:cs="Book Antiqua"/>
          <w:sz w:val="24"/>
          <w:szCs w:val="24"/>
        </w:rPr>
        <w:t xml:space="preserve"> et celui de 202</w:t>
      </w:r>
      <w:r w:rsidR="00283E2F">
        <w:rPr>
          <w:rFonts w:ascii="Book Antiqua" w:eastAsia="Book Antiqua" w:hAnsi="Book Antiqua" w:cs="Book Antiqua"/>
          <w:sz w:val="24"/>
          <w:szCs w:val="24"/>
        </w:rPr>
        <w:t>4</w:t>
      </w:r>
      <w:r w:rsidRPr="00E4316D">
        <w:rPr>
          <w:rFonts w:ascii="Book Antiqua" w:eastAsia="Book Antiqua" w:hAnsi="Book Antiqua" w:cs="Book Antiqua"/>
          <w:sz w:val="24"/>
          <w:szCs w:val="24"/>
        </w:rPr>
        <w:t xml:space="preserve">, </w:t>
      </w:r>
      <w:r w:rsidR="00565CC2" w:rsidRPr="00E4316D">
        <w:rPr>
          <w:rFonts w:ascii="Book Antiqua" w:eastAsia="Book Antiqua" w:hAnsi="Book Antiqua" w:cs="Book Antiqua"/>
          <w:sz w:val="24"/>
          <w:szCs w:val="24"/>
        </w:rPr>
        <w:t xml:space="preserve">le secteur </w:t>
      </w:r>
      <w:r w:rsidR="00ED4D61" w:rsidRPr="00E4316D">
        <w:rPr>
          <w:rFonts w:ascii="Book Antiqua" w:eastAsia="Book Antiqua" w:hAnsi="Book Antiqua" w:cs="Book Antiqua"/>
          <w:sz w:val="24"/>
          <w:szCs w:val="24"/>
        </w:rPr>
        <w:t>des "services a créé 258.000 postes d’emploi au niveau national</w:t>
      </w:r>
      <w:r w:rsidR="00812D12">
        <w:rPr>
          <w:rFonts w:ascii="Book Antiqua" w:eastAsia="Book Antiqua" w:hAnsi="Book Antiqua" w:cs="Book Antiqua"/>
          <w:sz w:val="24"/>
          <w:szCs w:val="24"/>
        </w:rPr>
        <w:t xml:space="preserve">, résultat d’une </w:t>
      </w:r>
      <w:r w:rsidR="00ED4D61" w:rsidRPr="00E4316D">
        <w:rPr>
          <w:rFonts w:ascii="Book Antiqua" w:eastAsia="Book Antiqua" w:hAnsi="Book Antiqua" w:cs="Book Antiqua"/>
          <w:sz w:val="24"/>
          <w:szCs w:val="24"/>
        </w:rPr>
        <w:t xml:space="preserve">création de 206.000 en milieu urbain et de 51.000 en milieu </w:t>
      </w:r>
      <w:r w:rsidR="00ED4D61" w:rsidRPr="00942795">
        <w:rPr>
          <w:rFonts w:ascii="Book Antiqua" w:eastAsia="Book Antiqua" w:hAnsi="Book Antiqua" w:cs="Book Antiqua"/>
          <w:sz w:val="24"/>
          <w:szCs w:val="24"/>
        </w:rPr>
        <w:t>rural</w:t>
      </w:r>
      <w:r w:rsidR="0028185F" w:rsidRPr="00942795">
        <w:rPr>
          <w:rFonts w:ascii="Book Antiqua" w:eastAsia="Book Antiqua" w:hAnsi="Book Antiqua" w:cs="Book Antiqua"/>
          <w:sz w:val="24"/>
          <w:szCs w:val="24"/>
        </w:rPr>
        <w:t>,</w:t>
      </w:r>
      <w:r w:rsidR="0028185F" w:rsidRPr="00942795">
        <w:rPr>
          <w:rFonts w:ascii="Book Antiqua" w:hAnsi="Book Antiqua" w:cs="Times New Roman"/>
          <w:sz w:val="24"/>
          <w:szCs w:val="24"/>
        </w:rPr>
        <w:t xml:space="preserve"> ce qui correspond à une hausse de 5% du volume de l'emploi dans ce secteur.</w:t>
      </w:r>
    </w:p>
    <w:p w:rsidR="0028185F" w:rsidRPr="00E4316D" w:rsidRDefault="00ED4D61" w:rsidP="0028185F">
      <w:pPr>
        <w:spacing w:before="240" w:after="240" w:line="312" w:lineRule="auto"/>
        <w:jc w:val="both"/>
        <w:rPr>
          <w:rFonts w:ascii="Book Antiqua" w:eastAsia="Book Antiqua" w:hAnsi="Book Antiqua" w:cs="Book Antiqua"/>
          <w:sz w:val="24"/>
          <w:szCs w:val="24"/>
        </w:rPr>
      </w:pPr>
      <w:r w:rsidRPr="00E4316D">
        <w:rPr>
          <w:rFonts w:ascii="Book Antiqua" w:eastAsia="Book Antiqua" w:hAnsi="Book Antiqua" w:cs="Book Antiqua"/>
          <w:sz w:val="24"/>
          <w:szCs w:val="24"/>
        </w:rPr>
        <w:t>Le secteur des BTP a créé 57.000 postes</w:t>
      </w:r>
      <w:r w:rsidRPr="00942795">
        <w:rPr>
          <w:rFonts w:ascii="Book Antiqua" w:eastAsia="Book Antiqua" w:hAnsi="Book Antiqua" w:cs="Book Antiqua"/>
          <w:sz w:val="24"/>
          <w:szCs w:val="24"/>
        </w:rPr>
        <w:t xml:space="preserve">, </w:t>
      </w:r>
      <w:r w:rsidR="0028185F" w:rsidRPr="00942795">
        <w:rPr>
          <w:rFonts w:ascii="Book Antiqua" w:eastAsia="Book Antiqua" w:hAnsi="Book Antiqua" w:cs="Book Antiqua"/>
          <w:sz w:val="24"/>
          <w:szCs w:val="24"/>
        </w:rPr>
        <w:t xml:space="preserve">suite à une </w:t>
      </w:r>
      <w:r w:rsidRPr="00942795">
        <w:rPr>
          <w:rFonts w:ascii="Book Antiqua" w:eastAsia="Book Antiqua" w:hAnsi="Book Antiqua" w:cs="Book Antiqua"/>
          <w:sz w:val="24"/>
          <w:szCs w:val="24"/>
        </w:rPr>
        <w:t xml:space="preserve">hausse de 68.000 en milieu rural et </w:t>
      </w:r>
      <w:r w:rsidR="0028185F" w:rsidRPr="00942795">
        <w:rPr>
          <w:rFonts w:ascii="Book Antiqua" w:eastAsia="Book Antiqua" w:hAnsi="Book Antiqua" w:cs="Book Antiqua"/>
          <w:sz w:val="24"/>
          <w:szCs w:val="24"/>
        </w:rPr>
        <w:t xml:space="preserve">d’une </w:t>
      </w:r>
      <w:r w:rsidRPr="00942795">
        <w:rPr>
          <w:rFonts w:ascii="Book Antiqua" w:eastAsia="Book Antiqua" w:hAnsi="Book Antiqua" w:cs="Book Antiqua"/>
          <w:sz w:val="24"/>
          <w:szCs w:val="24"/>
        </w:rPr>
        <w:t>baisse de 11.000 en milieu urbain</w:t>
      </w:r>
      <w:r w:rsidR="0028185F" w:rsidRPr="00942795">
        <w:rPr>
          <w:rFonts w:ascii="Book Antiqua" w:eastAsia="Book Antiqua" w:hAnsi="Book Antiqua" w:cs="Book Antiqua"/>
          <w:sz w:val="24"/>
          <w:szCs w:val="24"/>
        </w:rPr>
        <w:t>, enregistrant une hausse de 5% du volume d’emploi dans ce secteur.</w:t>
      </w:r>
    </w:p>
    <w:p w:rsidR="00565CC2" w:rsidRPr="00E4316D" w:rsidRDefault="00ED4D61" w:rsidP="00942795">
      <w:pPr>
        <w:spacing w:before="240" w:after="240" w:line="312" w:lineRule="auto"/>
        <w:jc w:val="both"/>
        <w:rPr>
          <w:rFonts w:ascii="Book Antiqua" w:eastAsia="Book Antiqua" w:hAnsi="Book Antiqua" w:cs="Book Antiqua"/>
          <w:sz w:val="24"/>
          <w:szCs w:val="24"/>
        </w:rPr>
      </w:pPr>
      <w:r w:rsidRPr="00E4316D">
        <w:rPr>
          <w:rFonts w:ascii="Book Antiqua" w:eastAsia="Book Antiqua" w:hAnsi="Book Antiqua" w:cs="Book Antiqua"/>
          <w:sz w:val="24"/>
          <w:szCs w:val="24"/>
        </w:rPr>
        <w:t xml:space="preserve">Le secteur de </w:t>
      </w:r>
      <w:r w:rsidR="00565CC2" w:rsidRPr="00E4316D">
        <w:rPr>
          <w:rFonts w:ascii="Book Antiqua" w:eastAsia="Book Antiqua" w:hAnsi="Book Antiqua" w:cs="Book Antiqua"/>
          <w:sz w:val="24"/>
          <w:szCs w:val="24"/>
        </w:rPr>
        <w:t>l’industrie</w:t>
      </w:r>
      <w:r w:rsidR="006B2C18" w:rsidRPr="00E4316D">
        <w:rPr>
          <w:rFonts w:ascii="Book Antiqua" w:eastAsia="Book Antiqua" w:hAnsi="Book Antiqua" w:cs="Book Antiqua"/>
          <w:sz w:val="24"/>
          <w:szCs w:val="24"/>
        </w:rPr>
        <w:t xml:space="preserve"> y compris l’artisanat</w:t>
      </w:r>
      <w:r w:rsidR="00565CC2" w:rsidRPr="00E4316D">
        <w:rPr>
          <w:rFonts w:ascii="Book Antiqua" w:eastAsia="Book Antiqua" w:hAnsi="Book Antiqua" w:cs="Book Antiqua"/>
          <w:sz w:val="24"/>
          <w:szCs w:val="24"/>
        </w:rPr>
        <w:t xml:space="preserve">" a créé </w:t>
      </w:r>
      <w:r w:rsidRPr="00E4316D">
        <w:rPr>
          <w:rFonts w:ascii="Book Antiqua" w:eastAsia="Book Antiqua" w:hAnsi="Book Antiqua" w:cs="Book Antiqua"/>
          <w:sz w:val="24"/>
          <w:szCs w:val="24"/>
        </w:rPr>
        <w:t>23</w:t>
      </w:r>
      <w:r w:rsidR="00565CC2" w:rsidRPr="00E4316D">
        <w:rPr>
          <w:rFonts w:ascii="Book Antiqua" w:eastAsia="Book Antiqua" w:hAnsi="Book Antiqua" w:cs="Book Antiqua"/>
          <w:sz w:val="24"/>
          <w:szCs w:val="24"/>
        </w:rPr>
        <w:t>.000 postes d’emploi</w:t>
      </w:r>
      <w:r w:rsidR="00D602D5">
        <w:rPr>
          <w:rFonts w:ascii="Book Antiqua" w:eastAsia="Book Antiqua" w:hAnsi="Book Antiqua" w:cs="Book Antiqua"/>
          <w:sz w:val="24"/>
          <w:szCs w:val="24"/>
        </w:rPr>
        <w:t xml:space="preserve"> </w:t>
      </w:r>
      <w:r w:rsidR="0028185F" w:rsidRPr="00942795">
        <w:rPr>
          <w:rFonts w:ascii="Book Antiqua" w:eastAsia="Book Antiqua" w:hAnsi="Book Antiqua" w:cs="Book Antiqua"/>
          <w:sz w:val="24"/>
          <w:szCs w:val="24"/>
        </w:rPr>
        <w:t>(+2%)</w:t>
      </w:r>
      <w:r w:rsidR="00565CC2" w:rsidRPr="00942795">
        <w:rPr>
          <w:rFonts w:ascii="Book Antiqua" w:eastAsia="Book Antiqua" w:hAnsi="Book Antiqua" w:cs="Book Antiqua"/>
          <w:sz w:val="24"/>
          <w:szCs w:val="24"/>
        </w:rPr>
        <w:t>,</w:t>
      </w:r>
      <w:r w:rsidR="00565CC2" w:rsidRPr="00E4316D">
        <w:rPr>
          <w:rFonts w:ascii="Book Antiqua" w:eastAsia="Book Antiqua" w:hAnsi="Book Antiqua" w:cs="Book Antiqua"/>
          <w:sz w:val="24"/>
          <w:szCs w:val="24"/>
        </w:rPr>
        <w:t xml:space="preserve"> résultat d’une création de 2</w:t>
      </w:r>
      <w:r w:rsidRPr="00E4316D">
        <w:rPr>
          <w:rFonts w:ascii="Book Antiqua" w:eastAsia="Book Antiqua" w:hAnsi="Book Antiqua" w:cs="Book Antiqua"/>
          <w:sz w:val="24"/>
          <w:szCs w:val="24"/>
        </w:rPr>
        <w:t>7</w:t>
      </w:r>
      <w:r w:rsidR="00565CC2" w:rsidRPr="00E4316D">
        <w:rPr>
          <w:rFonts w:ascii="Book Antiqua" w:eastAsia="Book Antiqua" w:hAnsi="Book Antiqua" w:cs="Book Antiqua"/>
          <w:sz w:val="24"/>
          <w:szCs w:val="24"/>
        </w:rPr>
        <w:t xml:space="preserve">.000 postes en milieu urbain et d’une baisse de </w:t>
      </w:r>
      <w:r w:rsidRPr="00E4316D">
        <w:rPr>
          <w:rFonts w:ascii="Book Antiqua" w:eastAsia="Book Antiqua" w:hAnsi="Book Antiqua" w:cs="Book Antiqua"/>
          <w:sz w:val="24"/>
          <w:szCs w:val="24"/>
        </w:rPr>
        <w:t>3</w:t>
      </w:r>
      <w:r w:rsidR="00565CC2" w:rsidRPr="00E4316D">
        <w:rPr>
          <w:rFonts w:ascii="Book Antiqua" w:eastAsia="Book Antiqua" w:hAnsi="Book Antiqua" w:cs="Book Antiqua"/>
          <w:sz w:val="24"/>
          <w:szCs w:val="24"/>
        </w:rPr>
        <w:t>.000 en milieu rural</w:t>
      </w:r>
      <w:r w:rsidR="002C0D7F" w:rsidRPr="002C0D7F">
        <w:rPr>
          <w:rFonts w:ascii="Book Antiqua" w:eastAsia="Book Antiqua" w:hAnsi="Book Antiqua" w:cs="Book Antiqua"/>
          <w:sz w:val="24"/>
          <w:szCs w:val="24"/>
        </w:rPr>
        <w:t>.</w:t>
      </w:r>
    </w:p>
    <w:p w:rsidR="00016882" w:rsidRDefault="00ED4D61" w:rsidP="00016882">
      <w:pPr>
        <w:spacing w:before="240" w:after="240" w:line="312" w:lineRule="auto"/>
        <w:jc w:val="both"/>
        <w:rPr>
          <w:rFonts w:ascii="Book Antiqua" w:eastAsia="Book Antiqua" w:hAnsi="Book Antiqua" w:cs="Book Antiqua"/>
          <w:sz w:val="24"/>
          <w:szCs w:val="24"/>
        </w:rPr>
      </w:pPr>
      <w:r w:rsidRPr="00E4316D">
        <w:rPr>
          <w:rFonts w:ascii="Book Antiqua" w:eastAsia="Book Antiqua" w:hAnsi="Book Antiqua" w:cs="Book Antiqua"/>
          <w:sz w:val="24"/>
          <w:szCs w:val="24"/>
        </w:rPr>
        <w:t>Le secteur de l’"agriculture forêt et pêche", quant à lui, a perdu 124.000 postes d'emploi (-5%), résultat d’une baisse de 133.000 en milieu rural et d’augmentation de 9.000 en milieu urbain.</w:t>
      </w:r>
    </w:p>
    <w:p w:rsidR="00942795" w:rsidRDefault="00942795">
      <w:pPr>
        <w:spacing w:after="200"/>
        <w:rPr>
          <w:rFonts w:ascii="Book Antiqua" w:eastAsia="Book Antiqua" w:hAnsi="Book Antiqua" w:cs="Book Antiqua"/>
          <w:b/>
          <w:color w:val="1F497D" w:themeColor="text2"/>
          <w:sz w:val="20"/>
          <w:szCs w:val="20"/>
          <w:highlight w:val="yellow"/>
        </w:rPr>
      </w:pPr>
      <w:r>
        <w:rPr>
          <w:rFonts w:ascii="Book Antiqua" w:eastAsia="Book Antiqua" w:hAnsi="Book Antiqua" w:cs="Book Antiqua"/>
          <w:b/>
          <w:color w:val="1F497D" w:themeColor="text2"/>
          <w:sz w:val="20"/>
          <w:szCs w:val="20"/>
          <w:highlight w:val="yellow"/>
        </w:rPr>
        <w:br w:type="page"/>
      </w:r>
    </w:p>
    <w:p w:rsidR="003E15BA" w:rsidRPr="00E4316D" w:rsidRDefault="004B3397" w:rsidP="008904E2">
      <w:pPr>
        <w:spacing w:before="240" w:after="240" w:line="312" w:lineRule="auto"/>
        <w:jc w:val="both"/>
        <w:rPr>
          <w:rFonts w:ascii="Book Antiqua" w:eastAsia="Book Antiqua" w:hAnsi="Book Antiqua" w:cs="Book Antiqua"/>
          <w:color w:val="1F497D" w:themeColor="text2"/>
          <w:sz w:val="24"/>
          <w:szCs w:val="24"/>
        </w:rPr>
      </w:pPr>
      <w:r w:rsidRPr="00942795">
        <w:rPr>
          <w:rFonts w:ascii="Book Antiqua" w:eastAsia="Book Antiqua" w:hAnsi="Book Antiqua" w:cs="Book Antiqua"/>
          <w:b/>
          <w:color w:val="1F497D" w:themeColor="text2"/>
          <w:sz w:val="20"/>
          <w:szCs w:val="20"/>
        </w:rPr>
        <w:lastRenderedPageBreak/>
        <w:t xml:space="preserve">Graphique 3 : Variation nette d’emploi entre le troisième </w:t>
      </w:r>
      <w:r w:rsidRPr="006A4516">
        <w:rPr>
          <w:rFonts w:ascii="Book Antiqua" w:eastAsia="Book Antiqua" w:hAnsi="Book Antiqua" w:cs="Book Antiqua"/>
          <w:b/>
          <w:color w:val="1F497D" w:themeColor="text2"/>
          <w:sz w:val="20"/>
          <w:szCs w:val="20"/>
        </w:rPr>
        <w:t>trimestre de 202</w:t>
      </w:r>
      <w:r w:rsidR="008904E2" w:rsidRPr="006A4516">
        <w:rPr>
          <w:rFonts w:ascii="Book Antiqua" w:eastAsia="Book Antiqua" w:hAnsi="Book Antiqua" w:cs="Book Antiqua"/>
          <w:b/>
          <w:color w:val="1F497D" w:themeColor="text2"/>
          <w:sz w:val="20"/>
          <w:szCs w:val="20"/>
        </w:rPr>
        <w:t>3</w:t>
      </w:r>
      <w:r w:rsidRPr="006A4516">
        <w:rPr>
          <w:rFonts w:ascii="Book Antiqua" w:eastAsia="Book Antiqua" w:hAnsi="Book Antiqua" w:cs="Book Antiqua"/>
          <w:b/>
          <w:color w:val="1F497D" w:themeColor="text2"/>
          <w:sz w:val="20"/>
          <w:szCs w:val="20"/>
        </w:rPr>
        <w:t xml:space="preserve"> et celui de 202</w:t>
      </w:r>
      <w:r w:rsidR="008904E2" w:rsidRPr="006A4516">
        <w:rPr>
          <w:rFonts w:ascii="Book Antiqua" w:eastAsia="Book Antiqua" w:hAnsi="Book Antiqua" w:cs="Book Antiqua"/>
          <w:b/>
          <w:color w:val="1F497D" w:themeColor="text2"/>
          <w:sz w:val="20"/>
          <w:szCs w:val="20"/>
        </w:rPr>
        <w:t>4</w:t>
      </w:r>
      <w:r w:rsidRPr="006A4516">
        <w:rPr>
          <w:rFonts w:ascii="Book Antiqua" w:eastAsia="Book Antiqua" w:hAnsi="Book Antiqua" w:cs="Book Antiqua"/>
          <w:b/>
          <w:color w:val="1F497D" w:themeColor="text2"/>
          <w:sz w:val="20"/>
          <w:szCs w:val="20"/>
        </w:rPr>
        <w:t xml:space="preserve"> par</w:t>
      </w:r>
      <w:r w:rsidRPr="00942795">
        <w:rPr>
          <w:rFonts w:ascii="Book Antiqua" w:eastAsia="Book Antiqua" w:hAnsi="Book Antiqua" w:cs="Book Antiqua"/>
          <w:b/>
          <w:color w:val="1F497D" w:themeColor="text2"/>
          <w:sz w:val="20"/>
          <w:szCs w:val="20"/>
        </w:rPr>
        <w:t xml:space="preserve"> secteur d’activité économique et milieu de résidence</w:t>
      </w:r>
      <w:r w:rsidR="009660EC" w:rsidRPr="00942795">
        <w:rPr>
          <w:rStyle w:val="Appelnotedebasdep"/>
          <w:rFonts w:ascii="Book Antiqua" w:eastAsia="Book Antiqua" w:hAnsi="Book Antiqua" w:cs="Book Antiqua"/>
          <w:b/>
          <w:color w:val="1F497D" w:themeColor="text2"/>
          <w:sz w:val="20"/>
          <w:szCs w:val="20"/>
        </w:rPr>
        <w:footnoteReference w:id="1"/>
      </w:r>
      <w:r w:rsidR="009660EC" w:rsidRPr="00942795">
        <w:rPr>
          <w:rFonts w:ascii="Book Antiqua" w:eastAsia="Book Antiqua" w:hAnsi="Book Antiqua" w:cs="Book Antiqua"/>
          <w:b/>
          <w:color w:val="1F497D" w:themeColor="text2"/>
          <w:sz w:val="20"/>
          <w:szCs w:val="20"/>
        </w:rPr>
        <w:t>.</w:t>
      </w:r>
    </w:p>
    <w:p w:rsidR="00CB749C" w:rsidRDefault="00CB749C" w:rsidP="00CB749C">
      <w:pPr>
        <w:spacing w:before="240" w:after="240" w:line="312" w:lineRule="auto"/>
        <w:contextualSpacing/>
        <w:jc w:val="center"/>
        <w:rPr>
          <w:rFonts w:ascii="Book Antiqua" w:eastAsia="Book Antiqua" w:hAnsi="Book Antiqua" w:cs="Book Antiqua"/>
          <w:b/>
          <w:color w:val="0070C0"/>
          <w:sz w:val="20"/>
          <w:szCs w:val="20"/>
        </w:rPr>
      </w:pPr>
      <w:r>
        <w:rPr>
          <w:noProof/>
        </w:rPr>
        <w:drawing>
          <wp:inline distT="0" distB="0" distL="0" distR="0">
            <wp:extent cx="5464454" cy="2172614"/>
            <wp:effectExtent l="0" t="0" r="0" b="0"/>
            <wp:docPr id="1611127348" name="Chart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49C454A4-71BF-F923-4614-895DA84D32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B3397" w:rsidRDefault="004B3397" w:rsidP="00A810BF">
      <w:pPr>
        <w:pStyle w:val="MMTopic2"/>
        <w:numPr>
          <w:ilvl w:val="0"/>
          <w:numId w:val="0"/>
        </w:numPr>
        <w:spacing w:before="240" w:after="240" w:line="312" w:lineRule="auto"/>
        <w:contextualSpacing/>
        <w:jc w:val="both"/>
        <w:rPr>
          <w:rFonts w:ascii="Book Antiqua" w:eastAsia="Book Antiqua" w:hAnsi="Book Antiqua" w:cs="Book Antiqua"/>
          <w:b/>
          <w:bCs/>
          <w:color w:val="1F497D" w:themeColor="text2"/>
          <w:lang w:eastAsia="fr-FR"/>
        </w:rPr>
      </w:pPr>
      <w:r w:rsidRPr="00283BE3">
        <w:rPr>
          <w:rFonts w:ascii="Book Antiqua" w:eastAsia="Book Antiqua" w:hAnsi="Book Antiqua" w:cs="Book Antiqua"/>
          <w:b/>
          <w:bCs/>
          <w:color w:val="1F497D" w:themeColor="text2"/>
          <w:lang w:eastAsia="fr-FR"/>
        </w:rPr>
        <w:t>II. Chômage et sous-emploi</w:t>
      </w:r>
    </w:p>
    <w:p w:rsidR="004B3397" w:rsidRPr="00283BE3" w:rsidRDefault="00A4385B" w:rsidP="00A810BF">
      <w:pPr>
        <w:pStyle w:val="MMTopic2"/>
        <w:numPr>
          <w:ilvl w:val="0"/>
          <w:numId w:val="0"/>
        </w:numPr>
        <w:spacing w:before="240" w:after="240" w:line="312" w:lineRule="auto"/>
        <w:jc w:val="both"/>
        <w:rPr>
          <w:rFonts w:ascii="Book Antiqua" w:eastAsia="Book Antiqua" w:hAnsi="Book Antiqua" w:cs="Book Antiqua"/>
          <w:b/>
          <w:bCs/>
          <w:color w:val="0070C0"/>
          <w:lang w:eastAsia="fr-FR"/>
        </w:rPr>
      </w:pPr>
      <w:r>
        <w:rPr>
          <w:rFonts w:ascii="Book Antiqua" w:eastAsia="Book Antiqua" w:hAnsi="Book Antiqua" w:cs="Book Antiqua"/>
          <w:b/>
          <w:bCs/>
          <w:color w:val="0070C0"/>
          <w:lang w:eastAsia="fr-FR"/>
        </w:rPr>
        <w:t>Légère h</w:t>
      </w:r>
      <w:r w:rsidR="004B3397" w:rsidRPr="00283BE3">
        <w:rPr>
          <w:rFonts w:ascii="Book Antiqua" w:eastAsia="Book Antiqua" w:hAnsi="Book Antiqua" w:cs="Book Antiqua"/>
          <w:b/>
          <w:bCs/>
          <w:color w:val="0070C0"/>
          <w:lang w:eastAsia="fr-FR"/>
        </w:rPr>
        <w:t>ausse d</w:t>
      </w:r>
      <w:r w:rsidR="00290BB0">
        <w:rPr>
          <w:rFonts w:ascii="Book Antiqua" w:eastAsia="Book Antiqua" w:hAnsi="Book Antiqua" w:cs="Book Antiqua"/>
          <w:b/>
          <w:bCs/>
          <w:color w:val="0070C0"/>
          <w:lang w:eastAsia="fr-FR"/>
        </w:rPr>
        <w:t>u</w:t>
      </w:r>
      <w:r w:rsidR="004B3397" w:rsidRPr="00283BE3">
        <w:rPr>
          <w:rFonts w:ascii="Book Antiqua" w:eastAsia="Book Antiqua" w:hAnsi="Book Antiqua" w:cs="Book Antiqua"/>
          <w:b/>
          <w:bCs/>
          <w:color w:val="0070C0"/>
          <w:lang w:eastAsia="fr-FR"/>
        </w:rPr>
        <w:t xml:space="preserve"> chômage</w:t>
      </w:r>
    </w:p>
    <w:p w:rsidR="00A810BF" w:rsidRPr="00E4316D" w:rsidRDefault="004B3397" w:rsidP="00A810BF">
      <w:pPr>
        <w:spacing w:before="240" w:after="240" w:line="312" w:lineRule="auto"/>
        <w:jc w:val="both"/>
        <w:rPr>
          <w:rFonts w:ascii="Book Antiqua" w:hAnsi="Book Antiqua" w:cs="Times New Roman"/>
          <w:sz w:val="24"/>
          <w:szCs w:val="24"/>
        </w:rPr>
      </w:pPr>
      <w:r w:rsidRPr="00E4316D">
        <w:rPr>
          <w:rFonts w:ascii="Book Antiqua" w:hAnsi="Book Antiqua" w:cs="Times New Roman"/>
          <w:sz w:val="24"/>
          <w:szCs w:val="24"/>
        </w:rPr>
        <w:t xml:space="preserve">Le nombre de chômeurs a augmenté de </w:t>
      </w:r>
      <w:r w:rsidR="002C5DC6" w:rsidRPr="00E4316D">
        <w:rPr>
          <w:rFonts w:ascii="Book Antiqua" w:hAnsi="Book Antiqua" w:cs="Times New Roman"/>
          <w:sz w:val="24"/>
          <w:szCs w:val="24"/>
        </w:rPr>
        <w:t>58</w:t>
      </w:r>
      <w:r w:rsidRPr="00E4316D">
        <w:rPr>
          <w:rFonts w:ascii="Book Antiqua" w:hAnsi="Book Antiqua" w:cs="Times New Roman"/>
          <w:sz w:val="24"/>
          <w:szCs w:val="24"/>
        </w:rPr>
        <w:t>.000 personnes entre le troisième trimestre de l’année 202</w:t>
      </w:r>
      <w:r w:rsidR="002C5DC6" w:rsidRPr="00E4316D">
        <w:rPr>
          <w:rFonts w:ascii="Book Antiqua" w:hAnsi="Book Antiqua" w:cs="Times New Roman"/>
          <w:sz w:val="24"/>
          <w:szCs w:val="24"/>
        </w:rPr>
        <w:t>3</w:t>
      </w:r>
      <w:r w:rsidRPr="00E4316D">
        <w:rPr>
          <w:rFonts w:ascii="Book Antiqua" w:hAnsi="Book Antiqua" w:cs="Times New Roman"/>
          <w:sz w:val="24"/>
          <w:szCs w:val="24"/>
        </w:rPr>
        <w:t xml:space="preserve"> et celui de 202</w:t>
      </w:r>
      <w:r w:rsidR="002C5DC6" w:rsidRPr="00E4316D">
        <w:rPr>
          <w:rFonts w:ascii="Book Antiqua" w:hAnsi="Book Antiqua" w:cs="Times New Roman"/>
          <w:sz w:val="24"/>
          <w:szCs w:val="24"/>
        </w:rPr>
        <w:t>4</w:t>
      </w:r>
      <w:r w:rsidRPr="00E4316D">
        <w:rPr>
          <w:rFonts w:ascii="Book Antiqua" w:hAnsi="Book Antiqua" w:cs="Times New Roman"/>
          <w:sz w:val="24"/>
          <w:szCs w:val="24"/>
        </w:rPr>
        <w:t>, passant de</w:t>
      </w:r>
      <w:r w:rsidR="002E6400">
        <w:rPr>
          <w:rFonts w:ascii="Book Antiqua" w:hAnsi="Book Antiqua" w:cs="Times New Roman"/>
          <w:sz w:val="24"/>
          <w:szCs w:val="24"/>
        </w:rPr>
        <w:t xml:space="preserve"> </w:t>
      </w:r>
      <w:r w:rsidRPr="00E4316D">
        <w:rPr>
          <w:rFonts w:ascii="Book Antiqua" w:hAnsi="Book Antiqua" w:cs="Times New Roman"/>
          <w:sz w:val="24"/>
          <w:szCs w:val="24"/>
        </w:rPr>
        <w:t xml:space="preserve">1.625.000 </w:t>
      </w:r>
      <w:r w:rsidR="002C5DC6" w:rsidRPr="00E4316D">
        <w:rPr>
          <w:rFonts w:ascii="Book Antiqua" w:hAnsi="Book Antiqua" w:cs="Times New Roman"/>
          <w:sz w:val="24"/>
          <w:szCs w:val="24"/>
        </w:rPr>
        <w:t xml:space="preserve">à 1.683.000 </w:t>
      </w:r>
      <w:r w:rsidRPr="00E4316D">
        <w:rPr>
          <w:rFonts w:ascii="Book Antiqua" w:hAnsi="Book Antiqua" w:cs="Times New Roman"/>
          <w:sz w:val="24"/>
          <w:szCs w:val="24"/>
        </w:rPr>
        <w:t xml:space="preserve">chômeurs, ce qui correspond à une augmentation de </w:t>
      </w:r>
      <w:r w:rsidR="002C5DC6" w:rsidRPr="00E4316D">
        <w:rPr>
          <w:rFonts w:ascii="Book Antiqua" w:hAnsi="Book Antiqua" w:cs="Times New Roman"/>
          <w:sz w:val="24"/>
          <w:szCs w:val="24"/>
        </w:rPr>
        <w:t>4</w:t>
      </w:r>
      <w:r w:rsidRPr="00E4316D">
        <w:rPr>
          <w:rFonts w:ascii="Book Antiqua" w:hAnsi="Book Antiqua" w:cs="Times New Roman"/>
          <w:sz w:val="24"/>
          <w:szCs w:val="24"/>
        </w:rPr>
        <w:t xml:space="preserve">%. Cette hausse, résultant d’une augmentation de </w:t>
      </w:r>
      <w:r w:rsidR="002C5DC6" w:rsidRPr="00E4316D">
        <w:rPr>
          <w:rFonts w:ascii="Book Antiqua" w:hAnsi="Book Antiqua" w:cs="Times New Roman"/>
          <w:sz w:val="24"/>
          <w:szCs w:val="24"/>
        </w:rPr>
        <w:t>42</w:t>
      </w:r>
      <w:r w:rsidRPr="00E4316D">
        <w:rPr>
          <w:rFonts w:ascii="Book Antiqua" w:hAnsi="Book Antiqua" w:cs="Times New Roman"/>
          <w:sz w:val="24"/>
          <w:szCs w:val="24"/>
        </w:rPr>
        <w:t xml:space="preserve">.000 chômeurs en milieu urbain et de </w:t>
      </w:r>
      <w:r w:rsidR="002C5DC6" w:rsidRPr="00E4316D">
        <w:rPr>
          <w:rFonts w:ascii="Book Antiqua" w:hAnsi="Book Antiqua" w:cs="Times New Roman"/>
          <w:sz w:val="24"/>
          <w:szCs w:val="24"/>
        </w:rPr>
        <w:t>16</w:t>
      </w:r>
      <w:r w:rsidRPr="00E4316D">
        <w:rPr>
          <w:rFonts w:ascii="Book Antiqua" w:hAnsi="Book Antiqua" w:cs="Times New Roman"/>
          <w:sz w:val="24"/>
          <w:szCs w:val="24"/>
        </w:rPr>
        <w:t>.000 en milieu rural.</w:t>
      </w:r>
    </w:p>
    <w:p w:rsidR="004B3397" w:rsidRPr="00E4316D" w:rsidRDefault="004B3397" w:rsidP="002C5DC6">
      <w:pPr>
        <w:spacing w:before="240" w:after="240" w:line="312" w:lineRule="auto"/>
        <w:jc w:val="both"/>
        <w:rPr>
          <w:rFonts w:ascii="Book Antiqua" w:hAnsi="Book Antiqua" w:cs="Times New Roman"/>
          <w:sz w:val="24"/>
          <w:szCs w:val="24"/>
        </w:rPr>
      </w:pPr>
      <w:r w:rsidRPr="00E4316D">
        <w:rPr>
          <w:rFonts w:ascii="Book Antiqua" w:hAnsi="Book Antiqua" w:cs="Times New Roman"/>
          <w:sz w:val="24"/>
          <w:szCs w:val="24"/>
        </w:rPr>
        <w:t xml:space="preserve">Le taux de chômage s’est </w:t>
      </w:r>
      <w:r w:rsidR="002C5DC6" w:rsidRPr="00E4316D">
        <w:rPr>
          <w:rFonts w:ascii="Book Antiqua" w:hAnsi="Book Antiqua" w:cs="Times New Roman"/>
          <w:sz w:val="24"/>
          <w:szCs w:val="24"/>
        </w:rPr>
        <w:t xml:space="preserve">légèrement </w:t>
      </w:r>
      <w:r w:rsidRPr="00E4316D">
        <w:rPr>
          <w:rFonts w:ascii="Book Antiqua" w:hAnsi="Book Antiqua" w:cs="Times New Roman"/>
          <w:sz w:val="24"/>
          <w:szCs w:val="24"/>
        </w:rPr>
        <w:t>accru au cours de cette période, passant de</w:t>
      </w:r>
      <w:r w:rsidR="002E6400">
        <w:rPr>
          <w:rFonts w:ascii="Book Antiqua" w:hAnsi="Book Antiqua" w:cs="Times New Roman"/>
          <w:sz w:val="24"/>
          <w:szCs w:val="24"/>
        </w:rPr>
        <w:t xml:space="preserve"> </w:t>
      </w:r>
      <w:r w:rsidRPr="00E4316D">
        <w:rPr>
          <w:rFonts w:ascii="Book Antiqua" w:hAnsi="Book Antiqua" w:cs="Times New Roman"/>
          <w:sz w:val="24"/>
          <w:szCs w:val="24"/>
        </w:rPr>
        <w:t>13,5%</w:t>
      </w:r>
      <w:r w:rsidR="002C5DC6" w:rsidRPr="00E4316D">
        <w:rPr>
          <w:rFonts w:ascii="Book Antiqua" w:hAnsi="Book Antiqua" w:cs="Times New Roman"/>
          <w:sz w:val="24"/>
          <w:szCs w:val="24"/>
        </w:rPr>
        <w:t xml:space="preserve"> à 13,6%</w:t>
      </w:r>
      <w:r w:rsidRPr="00E4316D">
        <w:rPr>
          <w:rFonts w:ascii="Book Antiqua" w:hAnsi="Book Antiqua" w:cs="Times New Roman"/>
          <w:sz w:val="24"/>
          <w:szCs w:val="24"/>
        </w:rPr>
        <w:t xml:space="preserve">, </w:t>
      </w:r>
      <w:r w:rsidR="002C5DC6" w:rsidRPr="00E4316D">
        <w:rPr>
          <w:rFonts w:ascii="Book Antiqua" w:hAnsi="Book Antiqua" w:cs="Times New Roman"/>
          <w:sz w:val="24"/>
          <w:szCs w:val="24"/>
        </w:rPr>
        <w:t xml:space="preserve">enregistrant une hausse de 0,4 point en milieu rural (de </w:t>
      </w:r>
      <w:r w:rsidRPr="00E4316D">
        <w:rPr>
          <w:rFonts w:ascii="Book Antiqua" w:hAnsi="Book Antiqua" w:cs="Times New Roman"/>
          <w:sz w:val="24"/>
          <w:szCs w:val="24"/>
        </w:rPr>
        <w:t xml:space="preserve">7% </w:t>
      </w:r>
      <w:r w:rsidR="002C5DC6" w:rsidRPr="00E4316D">
        <w:rPr>
          <w:rFonts w:ascii="Book Antiqua" w:hAnsi="Book Antiqua" w:cs="Times New Roman"/>
          <w:sz w:val="24"/>
          <w:szCs w:val="24"/>
        </w:rPr>
        <w:t xml:space="preserve">à 7,4%) et une stagnation </w:t>
      </w:r>
      <w:r w:rsidRPr="00E4316D">
        <w:rPr>
          <w:rFonts w:ascii="Book Antiqua" w:hAnsi="Book Antiqua" w:cs="Times New Roman"/>
          <w:sz w:val="24"/>
          <w:szCs w:val="24"/>
        </w:rPr>
        <w:t>à 17% en milieu urbain</w:t>
      </w:r>
      <w:r w:rsidR="002C5DC6" w:rsidRPr="00E4316D">
        <w:rPr>
          <w:rFonts w:ascii="Book Antiqua" w:hAnsi="Book Antiqua" w:cs="Times New Roman"/>
          <w:sz w:val="24"/>
          <w:szCs w:val="24"/>
        </w:rPr>
        <w:t xml:space="preserve">. </w:t>
      </w:r>
    </w:p>
    <w:p w:rsidR="00D602A8" w:rsidRPr="00E4316D" w:rsidRDefault="002C0D7F" w:rsidP="00942795">
      <w:pPr>
        <w:spacing w:before="240" w:after="240" w:line="312" w:lineRule="auto"/>
        <w:jc w:val="both"/>
        <w:rPr>
          <w:rFonts w:ascii="Book Antiqua" w:hAnsi="Book Antiqua" w:cs="Times New Roman"/>
          <w:sz w:val="24"/>
          <w:szCs w:val="24"/>
        </w:rPr>
      </w:pPr>
      <w:r w:rsidRPr="006C6DC2">
        <w:rPr>
          <w:rFonts w:ascii="Book Antiqua" w:hAnsi="Book Antiqua" w:cs="Times New Roman"/>
          <w:sz w:val="24"/>
          <w:szCs w:val="24"/>
        </w:rPr>
        <w:t xml:space="preserve">Les </w:t>
      </w:r>
      <w:r w:rsidR="00A810BF" w:rsidRPr="006C6DC2">
        <w:rPr>
          <w:rFonts w:ascii="Book Antiqua" w:hAnsi="Book Antiqua" w:cs="Times New Roman"/>
          <w:sz w:val="24"/>
          <w:szCs w:val="24"/>
        </w:rPr>
        <w:t>hausse</w:t>
      </w:r>
      <w:r w:rsidRPr="006C6DC2">
        <w:rPr>
          <w:rFonts w:ascii="Book Antiqua" w:hAnsi="Book Antiqua" w:cs="Times New Roman"/>
          <w:sz w:val="24"/>
          <w:szCs w:val="24"/>
        </w:rPr>
        <w:t>s</w:t>
      </w:r>
      <w:r w:rsidR="008904E2" w:rsidRPr="006C6DC2">
        <w:rPr>
          <w:rFonts w:ascii="Book Antiqua" w:hAnsi="Book Antiqua" w:cs="Times New Roman" w:hint="cs"/>
          <w:sz w:val="24"/>
          <w:szCs w:val="24"/>
          <w:rtl/>
        </w:rPr>
        <w:t xml:space="preserve"> </w:t>
      </w:r>
      <w:r w:rsidR="00753FA6" w:rsidRPr="006C6DC2">
        <w:rPr>
          <w:rFonts w:ascii="Book Antiqua" w:hAnsi="Book Antiqua" w:cs="Times New Roman"/>
          <w:sz w:val="24"/>
          <w:szCs w:val="24"/>
        </w:rPr>
        <w:t xml:space="preserve">du taux de chômage sont </w:t>
      </w:r>
      <w:r w:rsidR="00A810BF" w:rsidRPr="006C6DC2">
        <w:rPr>
          <w:rFonts w:ascii="Book Antiqua" w:hAnsi="Book Antiqua" w:cs="Times New Roman"/>
          <w:sz w:val="24"/>
          <w:szCs w:val="24"/>
        </w:rPr>
        <w:t>enregistrée</w:t>
      </w:r>
      <w:r w:rsidR="00753FA6" w:rsidRPr="006C6DC2">
        <w:rPr>
          <w:rFonts w:ascii="Book Antiqua" w:hAnsi="Book Antiqua" w:cs="Times New Roman"/>
          <w:sz w:val="24"/>
          <w:szCs w:val="24"/>
        </w:rPr>
        <w:t>s</w:t>
      </w:r>
      <w:r w:rsidR="00A810BF" w:rsidRPr="006C6DC2">
        <w:rPr>
          <w:rFonts w:ascii="Book Antiqua" w:hAnsi="Book Antiqua" w:cs="Times New Roman"/>
          <w:sz w:val="24"/>
          <w:szCs w:val="24"/>
        </w:rPr>
        <w:t xml:space="preserve"> parmi les jeunes âgés de 15 à 24 ans</w:t>
      </w:r>
      <w:r w:rsidR="00283E2F" w:rsidRPr="006C6DC2">
        <w:rPr>
          <w:rFonts w:ascii="Book Antiqua" w:hAnsi="Book Antiqua" w:cs="Times New Roman"/>
          <w:sz w:val="24"/>
          <w:szCs w:val="24"/>
        </w:rPr>
        <w:t xml:space="preserve"> (+ </w:t>
      </w:r>
      <w:r w:rsidR="002C5DC6" w:rsidRPr="006C6DC2">
        <w:rPr>
          <w:rFonts w:ascii="Book Antiqua" w:hAnsi="Book Antiqua" w:cs="Times New Roman"/>
          <w:sz w:val="24"/>
          <w:szCs w:val="24"/>
        </w:rPr>
        <w:t>1,3</w:t>
      </w:r>
      <w:r w:rsidR="00A810BF" w:rsidRPr="006C6DC2">
        <w:rPr>
          <w:rFonts w:ascii="Book Antiqua" w:hAnsi="Book Antiqua" w:cs="Times New Roman"/>
          <w:sz w:val="24"/>
          <w:szCs w:val="24"/>
        </w:rPr>
        <w:t xml:space="preserve"> point</w:t>
      </w:r>
      <w:r w:rsidR="00283E2F" w:rsidRPr="006C6DC2">
        <w:rPr>
          <w:rFonts w:ascii="Book Antiqua" w:hAnsi="Book Antiqua" w:cs="Times New Roman"/>
          <w:sz w:val="24"/>
          <w:szCs w:val="24"/>
        </w:rPr>
        <w:t>)</w:t>
      </w:r>
      <w:r w:rsidR="00A810BF" w:rsidRPr="006C6DC2">
        <w:rPr>
          <w:rFonts w:ascii="Book Antiqua" w:hAnsi="Book Antiqua" w:cs="Times New Roman"/>
          <w:sz w:val="24"/>
          <w:szCs w:val="24"/>
        </w:rPr>
        <w:t xml:space="preserve">, passant de 38,2% </w:t>
      </w:r>
      <w:r w:rsidR="002C5DC6" w:rsidRPr="006C6DC2">
        <w:rPr>
          <w:rFonts w:ascii="Book Antiqua" w:hAnsi="Book Antiqua" w:cs="Times New Roman"/>
          <w:sz w:val="24"/>
          <w:szCs w:val="24"/>
        </w:rPr>
        <w:t xml:space="preserve">à 39,5%, </w:t>
      </w:r>
      <w:r w:rsidR="00753FA6" w:rsidRPr="006C6DC2">
        <w:rPr>
          <w:rFonts w:ascii="Book Antiqua" w:hAnsi="Book Antiqua" w:cs="Times New Roman"/>
          <w:sz w:val="24"/>
          <w:szCs w:val="24"/>
        </w:rPr>
        <w:t xml:space="preserve">parmi </w:t>
      </w:r>
      <w:r w:rsidR="00A810BF" w:rsidRPr="006C6DC2">
        <w:rPr>
          <w:rFonts w:ascii="Book Antiqua" w:hAnsi="Book Antiqua" w:cs="Times New Roman"/>
          <w:sz w:val="24"/>
          <w:szCs w:val="24"/>
        </w:rPr>
        <w:t xml:space="preserve">les personnes âgées de </w:t>
      </w:r>
      <w:r w:rsidR="002C5DC6" w:rsidRPr="006C6DC2">
        <w:rPr>
          <w:rFonts w:ascii="Book Antiqua" w:hAnsi="Book Antiqua" w:cs="Times New Roman"/>
          <w:sz w:val="24"/>
          <w:szCs w:val="24"/>
        </w:rPr>
        <w:t xml:space="preserve">45 </w:t>
      </w:r>
      <w:r w:rsidR="00A810BF" w:rsidRPr="006C6DC2">
        <w:rPr>
          <w:rFonts w:ascii="Book Antiqua" w:hAnsi="Book Antiqua" w:cs="Times New Roman"/>
          <w:sz w:val="24"/>
          <w:szCs w:val="24"/>
        </w:rPr>
        <w:t xml:space="preserve">ans </w:t>
      </w:r>
      <w:r w:rsidR="002C5DC6" w:rsidRPr="006C6DC2">
        <w:rPr>
          <w:rFonts w:ascii="Book Antiqua" w:hAnsi="Book Antiqua" w:cs="Times New Roman"/>
          <w:sz w:val="24"/>
          <w:szCs w:val="24"/>
        </w:rPr>
        <w:t xml:space="preserve">et plus </w:t>
      </w:r>
      <w:r w:rsidR="00A810BF" w:rsidRPr="006C6DC2">
        <w:rPr>
          <w:rFonts w:ascii="Book Antiqua" w:hAnsi="Book Antiqua" w:cs="Times New Roman"/>
          <w:sz w:val="24"/>
          <w:szCs w:val="24"/>
        </w:rPr>
        <w:t>(</w:t>
      </w:r>
      <w:r w:rsidR="00D65C1F" w:rsidRPr="006C6DC2">
        <w:rPr>
          <w:rFonts w:ascii="Book Antiqua" w:hAnsi="Book Antiqua" w:cs="Times New Roman"/>
          <w:sz w:val="24"/>
          <w:szCs w:val="24"/>
        </w:rPr>
        <w:t>+</w:t>
      </w:r>
      <w:r w:rsidR="002C5DC6" w:rsidRPr="006C6DC2">
        <w:rPr>
          <w:rFonts w:ascii="Book Antiqua" w:hAnsi="Book Antiqua" w:cs="Times New Roman"/>
          <w:sz w:val="24"/>
          <w:szCs w:val="24"/>
        </w:rPr>
        <w:t>0,4 point</w:t>
      </w:r>
      <w:r w:rsidR="00A810BF" w:rsidRPr="006C6DC2">
        <w:rPr>
          <w:rFonts w:ascii="Book Antiqua" w:hAnsi="Book Antiqua" w:cs="Times New Roman"/>
          <w:sz w:val="24"/>
          <w:szCs w:val="24"/>
        </w:rPr>
        <w:t xml:space="preserve">), de </w:t>
      </w:r>
      <w:r w:rsidR="002C5DC6" w:rsidRPr="006C6DC2">
        <w:rPr>
          <w:rFonts w:ascii="Book Antiqua" w:hAnsi="Book Antiqua" w:cs="Times New Roman"/>
          <w:sz w:val="24"/>
          <w:szCs w:val="24"/>
        </w:rPr>
        <w:t>3,7</w:t>
      </w:r>
      <w:r w:rsidR="00A810BF" w:rsidRPr="006C6DC2">
        <w:rPr>
          <w:rFonts w:ascii="Book Antiqua" w:hAnsi="Book Antiqua" w:cs="Times New Roman"/>
          <w:sz w:val="24"/>
          <w:szCs w:val="24"/>
        </w:rPr>
        <w:t xml:space="preserve">% à </w:t>
      </w:r>
      <w:r w:rsidR="002C5DC6" w:rsidRPr="006C6DC2">
        <w:rPr>
          <w:rFonts w:ascii="Book Antiqua" w:hAnsi="Book Antiqua" w:cs="Times New Roman"/>
          <w:sz w:val="24"/>
          <w:szCs w:val="24"/>
        </w:rPr>
        <w:t>4,1</w:t>
      </w:r>
      <w:r w:rsidR="00A810BF" w:rsidRPr="006C6DC2">
        <w:rPr>
          <w:rFonts w:ascii="Book Antiqua" w:hAnsi="Book Antiqua" w:cs="Times New Roman"/>
          <w:sz w:val="24"/>
          <w:szCs w:val="24"/>
        </w:rPr>
        <w:t>%</w:t>
      </w:r>
      <w:r w:rsidR="00753FA6" w:rsidRPr="006C6DC2">
        <w:rPr>
          <w:rFonts w:ascii="Book Antiqua" w:hAnsi="Book Antiqua" w:cs="Times New Roman"/>
          <w:sz w:val="24"/>
          <w:szCs w:val="24"/>
        </w:rPr>
        <w:t xml:space="preserve"> et parmi les femmes (+1 point), de 19,8% à 20,8%</w:t>
      </w:r>
      <w:r w:rsidR="00A810BF" w:rsidRPr="006C6DC2">
        <w:rPr>
          <w:rFonts w:ascii="Book Antiqua" w:hAnsi="Book Antiqua" w:cs="Times New Roman"/>
          <w:sz w:val="24"/>
          <w:szCs w:val="24"/>
        </w:rPr>
        <w:t>.</w:t>
      </w:r>
    </w:p>
    <w:p w:rsidR="006C6DC2" w:rsidRDefault="006C6DC2">
      <w:pPr>
        <w:spacing w:after="200"/>
        <w:rPr>
          <w:rFonts w:ascii="Book Antiqua" w:eastAsia="Book Antiqua" w:hAnsi="Book Antiqua" w:cs="Book Antiqua"/>
          <w:b/>
          <w:color w:val="4F81BD" w:themeColor="accent1"/>
          <w:sz w:val="20"/>
          <w:szCs w:val="20"/>
        </w:rPr>
      </w:pPr>
      <w:r>
        <w:rPr>
          <w:rFonts w:ascii="Book Antiqua" w:eastAsia="Book Antiqua" w:hAnsi="Book Antiqua" w:cs="Book Antiqua"/>
          <w:b/>
          <w:color w:val="4F81BD" w:themeColor="accent1"/>
          <w:sz w:val="20"/>
          <w:szCs w:val="20"/>
        </w:rPr>
        <w:br w:type="page"/>
      </w:r>
    </w:p>
    <w:p w:rsidR="004B3397" w:rsidRPr="00E4316D" w:rsidRDefault="004E0C71" w:rsidP="00A810BF">
      <w:pPr>
        <w:spacing w:before="240" w:after="240" w:line="312" w:lineRule="auto"/>
        <w:contextualSpacing/>
        <w:jc w:val="center"/>
        <w:rPr>
          <w:rFonts w:ascii="Book Antiqua" w:eastAsia="Book Antiqua" w:hAnsi="Book Antiqua" w:cs="Book Antiqua"/>
          <w:b/>
          <w:color w:val="4F81BD" w:themeColor="accent1"/>
          <w:sz w:val="20"/>
          <w:szCs w:val="20"/>
        </w:rPr>
      </w:pPr>
      <w:r w:rsidRPr="00E4316D">
        <w:rPr>
          <w:rFonts w:ascii="Book Antiqua" w:eastAsia="Book Antiqua" w:hAnsi="Book Antiqua" w:cs="Book Antiqua"/>
          <w:b/>
          <w:color w:val="4F81BD" w:themeColor="accent1"/>
          <w:sz w:val="20"/>
          <w:szCs w:val="20"/>
        </w:rPr>
        <w:lastRenderedPageBreak/>
        <w:t>Graphique 4</w:t>
      </w:r>
      <w:r w:rsidR="00D234F5" w:rsidRPr="00E4316D">
        <w:rPr>
          <w:rFonts w:ascii="Book Antiqua" w:eastAsia="Book Antiqua" w:hAnsi="Book Antiqua" w:cs="Book Antiqua"/>
          <w:b/>
          <w:color w:val="4F81BD" w:themeColor="accent1"/>
          <w:sz w:val="20"/>
          <w:szCs w:val="20"/>
        </w:rPr>
        <w:t xml:space="preserve"> : </w:t>
      </w:r>
      <w:r w:rsidR="004B3397" w:rsidRPr="00E4316D">
        <w:rPr>
          <w:rFonts w:ascii="Book Antiqua" w:eastAsia="Book Antiqua" w:hAnsi="Book Antiqua" w:cs="Book Antiqua"/>
          <w:b/>
          <w:color w:val="4F81BD" w:themeColor="accent1"/>
          <w:sz w:val="20"/>
          <w:szCs w:val="20"/>
        </w:rPr>
        <w:t>Evolution du taux de chômage entre les troisièmes trimestres de 202</w:t>
      </w:r>
      <w:r w:rsidR="00D602A8" w:rsidRPr="00E4316D">
        <w:rPr>
          <w:rFonts w:ascii="Book Antiqua" w:eastAsia="Book Antiqua" w:hAnsi="Book Antiqua" w:cs="Book Antiqua"/>
          <w:b/>
          <w:color w:val="4F81BD" w:themeColor="accent1"/>
          <w:sz w:val="20"/>
          <w:szCs w:val="20"/>
        </w:rPr>
        <w:t>3</w:t>
      </w:r>
      <w:r w:rsidR="004B3397" w:rsidRPr="00E4316D">
        <w:rPr>
          <w:rFonts w:ascii="Book Antiqua" w:eastAsia="Book Antiqua" w:hAnsi="Book Antiqua" w:cs="Book Antiqua"/>
          <w:b/>
          <w:color w:val="4F81BD" w:themeColor="accent1"/>
          <w:sz w:val="20"/>
          <w:szCs w:val="20"/>
        </w:rPr>
        <w:t xml:space="preserve"> et de 202</w:t>
      </w:r>
      <w:r w:rsidR="00D602A8" w:rsidRPr="00E4316D">
        <w:rPr>
          <w:rFonts w:ascii="Book Antiqua" w:eastAsia="Book Antiqua" w:hAnsi="Book Antiqua" w:cs="Book Antiqua"/>
          <w:b/>
          <w:color w:val="4F81BD" w:themeColor="accent1"/>
          <w:sz w:val="20"/>
          <w:szCs w:val="20"/>
        </w:rPr>
        <w:t>4</w:t>
      </w:r>
      <w:r w:rsidR="004B3397" w:rsidRPr="00E4316D">
        <w:rPr>
          <w:rFonts w:ascii="Book Antiqua" w:eastAsia="Book Antiqua" w:hAnsi="Book Antiqua" w:cs="Book Antiqua"/>
          <w:b/>
          <w:color w:val="4F81BD" w:themeColor="accent1"/>
          <w:sz w:val="20"/>
          <w:szCs w:val="20"/>
        </w:rPr>
        <w:t xml:space="preserve"> pour certaines catégories de la population (en %) </w:t>
      </w:r>
    </w:p>
    <w:p w:rsidR="00B4500B" w:rsidRDefault="00B4500B" w:rsidP="00A810BF">
      <w:pPr>
        <w:spacing w:before="240" w:after="240" w:line="312" w:lineRule="auto"/>
        <w:contextualSpacing/>
        <w:jc w:val="both"/>
        <w:rPr>
          <w:rFonts w:ascii="Book Antiqua" w:hAnsi="Book Antiqua" w:cs="Times New Roman"/>
          <w:sz w:val="24"/>
          <w:szCs w:val="24"/>
        </w:rPr>
      </w:pPr>
      <w:r w:rsidRPr="00B4500B">
        <w:rPr>
          <w:noProof/>
        </w:rPr>
        <w:drawing>
          <wp:inline distT="0" distB="0" distL="0" distR="0">
            <wp:extent cx="5797550" cy="1809750"/>
            <wp:effectExtent l="0" t="0" r="0" b="0"/>
            <wp:docPr id="817057810" name="Chart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C8AA3F6D-6408-3D37-F0F8-DFD73D5F5B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4385B" w:rsidRDefault="00A4385B" w:rsidP="006A4516">
      <w:pPr>
        <w:jc w:val="both"/>
        <w:rPr>
          <w:rFonts w:ascii="Book Antiqua" w:hAnsi="Book Antiqua" w:cs="Times New Roman"/>
          <w:sz w:val="24"/>
          <w:szCs w:val="24"/>
        </w:rPr>
      </w:pPr>
      <w:r w:rsidRPr="00942795">
        <w:rPr>
          <w:rFonts w:ascii="Book Antiqua" w:hAnsi="Book Antiqua" w:cs="Times New Roman"/>
          <w:sz w:val="24"/>
          <w:szCs w:val="24"/>
        </w:rPr>
        <w:t xml:space="preserve">Selon le type de diplôme, à l'exception </w:t>
      </w:r>
      <w:r w:rsidR="000F2B2A">
        <w:rPr>
          <w:rFonts w:ascii="Book Antiqua" w:hAnsi="Book Antiqua" w:cs="Times New Roman"/>
          <w:sz w:val="24"/>
          <w:szCs w:val="24"/>
        </w:rPr>
        <w:t>d</w:t>
      </w:r>
      <w:r w:rsidR="00942795" w:rsidRPr="00942795">
        <w:rPr>
          <w:rFonts w:ascii="Book Antiqua" w:hAnsi="Book Antiqua" w:cs="Times New Roman"/>
          <w:sz w:val="24"/>
          <w:szCs w:val="24"/>
        </w:rPr>
        <w:t>es titulaires</w:t>
      </w:r>
      <w:r w:rsidRPr="00942795">
        <w:rPr>
          <w:rFonts w:ascii="Book Antiqua" w:hAnsi="Book Antiqua" w:cs="Times New Roman"/>
          <w:sz w:val="24"/>
          <w:szCs w:val="24"/>
        </w:rPr>
        <w:t xml:space="preserve"> de diplômes de techniciens et de cadres moyens</w:t>
      </w:r>
      <w:r w:rsidR="000F2B2A">
        <w:rPr>
          <w:rFonts w:ascii="Book Antiqua" w:hAnsi="Book Antiqua" w:cs="Times New Roman"/>
          <w:sz w:val="24"/>
          <w:szCs w:val="24"/>
        </w:rPr>
        <w:t>, ayant connu une hausse du taux de chômage de 2</w:t>
      </w:r>
      <w:r w:rsidR="00753FA6" w:rsidRPr="00942795">
        <w:rPr>
          <w:rFonts w:ascii="Book Antiqua" w:hAnsi="Book Antiqua" w:cs="Times New Roman"/>
          <w:sz w:val="24"/>
          <w:szCs w:val="24"/>
        </w:rPr>
        <w:t>,3 points</w:t>
      </w:r>
      <w:r w:rsidR="000F2B2A">
        <w:rPr>
          <w:rFonts w:ascii="Book Antiqua" w:hAnsi="Book Antiqua" w:cs="Times New Roman"/>
          <w:sz w:val="24"/>
          <w:szCs w:val="24"/>
        </w:rPr>
        <w:t>, et de l’enseignement secondaire qualifiant (+0,5 point)</w:t>
      </w:r>
      <w:r w:rsidR="00A623B4" w:rsidRPr="006A4516">
        <w:rPr>
          <w:rFonts w:ascii="Book Antiqua" w:hAnsi="Book Antiqua" w:cs="Times New Roman"/>
          <w:sz w:val="24"/>
          <w:szCs w:val="24"/>
        </w:rPr>
        <w:t>, l</w:t>
      </w:r>
      <w:r w:rsidRPr="006A4516">
        <w:rPr>
          <w:rFonts w:ascii="Book Antiqua" w:hAnsi="Book Antiqua" w:cs="Times New Roman"/>
          <w:sz w:val="24"/>
          <w:szCs w:val="24"/>
        </w:rPr>
        <w:t>es</w:t>
      </w:r>
      <w:r w:rsidRPr="00942795">
        <w:rPr>
          <w:rFonts w:ascii="Book Antiqua" w:hAnsi="Book Antiqua" w:cs="Times New Roman"/>
          <w:sz w:val="24"/>
          <w:szCs w:val="24"/>
        </w:rPr>
        <w:t xml:space="preserve"> </w:t>
      </w:r>
      <w:r w:rsidR="004414C3" w:rsidRPr="00942795">
        <w:rPr>
          <w:rFonts w:ascii="Book Antiqua" w:hAnsi="Book Antiqua" w:cs="Times New Roman"/>
          <w:sz w:val="24"/>
          <w:szCs w:val="24"/>
        </w:rPr>
        <w:t xml:space="preserve">autres catégories des </w:t>
      </w:r>
      <w:r w:rsidRPr="00942795">
        <w:rPr>
          <w:rFonts w:ascii="Book Antiqua" w:hAnsi="Book Antiqua" w:cs="Times New Roman"/>
          <w:sz w:val="24"/>
          <w:szCs w:val="24"/>
        </w:rPr>
        <w:t>diplômés ont</w:t>
      </w:r>
      <w:r w:rsidR="00D602D5">
        <w:rPr>
          <w:rFonts w:ascii="Book Antiqua" w:hAnsi="Book Antiqua" w:cs="Times New Roman"/>
          <w:sz w:val="24"/>
          <w:szCs w:val="24"/>
        </w:rPr>
        <w:t xml:space="preserve"> </w:t>
      </w:r>
      <w:r w:rsidRPr="00942795">
        <w:rPr>
          <w:rFonts w:ascii="Book Antiqua" w:hAnsi="Book Antiqua" w:cs="Times New Roman"/>
          <w:sz w:val="24"/>
          <w:szCs w:val="24"/>
        </w:rPr>
        <w:t xml:space="preserve">vu leur taux de chômage baisser. La baisse la plus </w:t>
      </w:r>
      <w:r w:rsidR="004414C3" w:rsidRPr="00942795">
        <w:rPr>
          <w:rFonts w:ascii="Book Antiqua" w:hAnsi="Book Antiqua" w:cs="Times New Roman"/>
          <w:sz w:val="24"/>
          <w:szCs w:val="24"/>
        </w:rPr>
        <w:t xml:space="preserve">importante </w:t>
      </w:r>
      <w:r w:rsidRPr="00942795">
        <w:rPr>
          <w:rFonts w:ascii="Book Antiqua" w:hAnsi="Book Antiqua" w:cs="Times New Roman"/>
          <w:sz w:val="24"/>
          <w:szCs w:val="24"/>
        </w:rPr>
        <w:t>a été observée parmi les diplômés de l'enseignement supérieur</w:t>
      </w:r>
      <w:r w:rsidR="004414C3" w:rsidRPr="00942795">
        <w:rPr>
          <w:rFonts w:ascii="Book Antiqua" w:hAnsi="Book Antiqua" w:cs="Times New Roman"/>
          <w:sz w:val="24"/>
          <w:szCs w:val="24"/>
        </w:rPr>
        <w:t xml:space="preserve"> (-</w:t>
      </w:r>
      <w:r w:rsidRPr="00942795">
        <w:rPr>
          <w:rFonts w:ascii="Book Antiqua" w:hAnsi="Book Antiqua" w:cs="Times New Roman"/>
          <w:sz w:val="24"/>
          <w:szCs w:val="24"/>
        </w:rPr>
        <w:t>1,6 point</w:t>
      </w:r>
      <w:r w:rsidR="004414C3" w:rsidRPr="00942795">
        <w:rPr>
          <w:rFonts w:ascii="Book Antiqua" w:hAnsi="Book Antiqua" w:cs="Times New Roman"/>
          <w:sz w:val="24"/>
          <w:szCs w:val="24"/>
        </w:rPr>
        <w:t>), de 26,5% à 24,9%.</w:t>
      </w:r>
    </w:p>
    <w:p w:rsidR="00A4385B" w:rsidRPr="00A4385B" w:rsidRDefault="00A4385B" w:rsidP="00A4385B">
      <w:pPr>
        <w:jc w:val="both"/>
        <w:rPr>
          <w:rFonts w:ascii="Book Antiqua" w:hAnsi="Book Antiqua" w:cs="Times New Roman"/>
          <w:sz w:val="24"/>
          <w:szCs w:val="24"/>
        </w:rPr>
      </w:pPr>
    </w:p>
    <w:p w:rsidR="00447023" w:rsidRPr="00E4316D" w:rsidRDefault="00447023" w:rsidP="00447023">
      <w:pPr>
        <w:spacing w:before="240" w:after="240" w:line="312" w:lineRule="auto"/>
        <w:contextualSpacing/>
        <w:jc w:val="center"/>
        <w:rPr>
          <w:rFonts w:ascii="Book Antiqua" w:eastAsia="Book Antiqua" w:hAnsi="Book Antiqua" w:cs="Book Antiqua"/>
          <w:b/>
          <w:color w:val="4F81BD" w:themeColor="accent1"/>
          <w:sz w:val="20"/>
          <w:szCs w:val="20"/>
        </w:rPr>
      </w:pPr>
      <w:r w:rsidRPr="00E4316D">
        <w:rPr>
          <w:rFonts w:ascii="Book Antiqua" w:eastAsia="Book Antiqua" w:hAnsi="Book Antiqua" w:cs="Book Antiqua"/>
          <w:b/>
          <w:color w:val="4F81BD" w:themeColor="accent1"/>
          <w:sz w:val="20"/>
          <w:szCs w:val="20"/>
        </w:rPr>
        <w:t xml:space="preserve">Graphique </w:t>
      </w:r>
      <w:r>
        <w:rPr>
          <w:rFonts w:ascii="Book Antiqua" w:eastAsia="Book Antiqua" w:hAnsi="Book Antiqua" w:cs="Book Antiqua"/>
          <w:b/>
          <w:color w:val="4F81BD" w:themeColor="accent1"/>
          <w:sz w:val="20"/>
          <w:szCs w:val="20"/>
        </w:rPr>
        <w:t>5</w:t>
      </w:r>
      <w:r w:rsidRPr="00E4316D">
        <w:rPr>
          <w:rFonts w:ascii="Book Antiqua" w:eastAsia="Book Antiqua" w:hAnsi="Book Antiqua" w:cs="Book Antiqua"/>
          <w:b/>
          <w:color w:val="4F81BD" w:themeColor="accent1"/>
          <w:sz w:val="20"/>
          <w:szCs w:val="20"/>
        </w:rPr>
        <w:t xml:space="preserve"> : Evolution du taux de chômage entre les troisièmes trimestres de 2023 et de 2024 </w:t>
      </w:r>
      <w:r>
        <w:rPr>
          <w:rFonts w:ascii="Book Antiqua" w:eastAsia="Book Antiqua" w:hAnsi="Book Antiqua" w:cs="Book Antiqua"/>
          <w:b/>
          <w:color w:val="4F81BD" w:themeColor="accent1"/>
          <w:sz w:val="20"/>
          <w:szCs w:val="20"/>
        </w:rPr>
        <w:t>selon le diplôme</w:t>
      </w:r>
      <w:r w:rsidRPr="00E4316D">
        <w:rPr>
          <w:rFonts w:ascii="Book Antiqua" w:eastAsia="Book Antiqua" w:hAnsi="Book Antiqua" w:cs="Book Antiqua"/>
          <w:b/>
          <w:color w:val="4F81BD" w:themeColor="accent1"/>
          <w:sz w:val="20"/>
          <w:szCs w:val="20"/>
        </w:rPr>
        <w:t xml:space="preserve"> (en %) </w:t>
      </w:r>
    </w:p>
    <w:p w:rsidR="002E6400" w:rsidRDefault="002E6400" w:rsidP="00A810BF">
      <w:pPr>
        <w:spacing w:before="240" w:after="240" w:line="312" w:lineRule="auto"/>
        <w:contextualSpacing/>
        <w:jc w:val="both"/>
        <w:rPr>
          <w:rFonts w:ascii="Book Antiqua" w:hAnsi="Book Antiqua" w:cs="Times New Roman"/>
          <w:sz w:val="24"/>
          <w:szCs w:val="24"/>
        </w:rPr>
      </w:pPr>
      <w:r w:rsidRPr="002E6400">
        <w:rPr>
          <w:rFonts w:ascii="Book Antiqua" w:hAnsi="Book Antiqua" w:cs="Times New Roman"/>
          <w:noProof/>
          <w:sz w:val="24"/>
          <w:szCs w:val="24"/>
        </w:rPr>
        <w:drawing>
          <wp:inline distT="0" distB="0" distL="0" distR="0">
            <wp:extent cx="5758740" cy="2000992"/>
            <wp:effectExtent l="0" t="0" r="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B3397" w:rsidRPr="007015E0" w:rsidRDefault="004B3397" w:rsidP="00A810BF">
      <w:pPr>
        <w:spacing w:before="240" w:after="240" w:line="312" w:lineRule="auto"/>
        <w:rPr>
          <w:rFonts w:ascii="Book Antiqua" w:eastAsiaTheme="majorEastAsia" w:hAnsi="Book Antiqua" w:cstheme="majorHAnsi"/>
          <w:b/>
          <w:bCs/>
          <w:i/>
          <w:iCs/>
          <w:color w:val="31849B" w:themeColor="accent5" w:themeShade="BF"/>
          <w:spacing w:val="-10"/>
          <w:kern w:val="28"/>
          <w:sz w:val="24"/>
          <w:szCs w:val="24"/>
        </w:rPr>
      </w:pPr>
      <w:r w:rsidRPr="007015E0">
        <w:rPr>
          <w:rFonts w:ascii="Book Antiqua" w:eastAsiaTheme="majorEastAsia" w:hAnsi="Book Antiqua" w:cstheme="majorHAnsi"/>
          <w:b/>
          <w:bCs/>
          <w:i/>
          <w:iCs/>
          <w:color w:val="31849B" w:themeColor="accent5" w:themeShade="BF"/>
          <w:spacing w:val="-10"/>
          <w:kern w:val="28"/>
          <w:sz w:val="24"/>
          <w:szCs w:val="24"/>
        </w:rPr>
        <w:t xml:space="preserve">Augmentation </w:t>
      </w:r>
      <w:r w:rsidR="001D59B3" w:rsidRPr="007015E0">
        <w:rPr>
          <w:rFonts w:ascii="Book Antiqua" w:eastAsiaTheme="majorEastAsia" w:hAnsi="Book Antiqua" w:cstheme="majorHAnsi"/>
          <w:b/>
          <w:bCs/>
          <w:i/>
          <w:iCs/>
          <w:color w:val="31849B" w:themeColor="accent5" w:themeShade="BF"/>
          <w:spacing w:val="-10"/>
          <w:kern w:val="28"/>
          <w:sz w:val="24"/>
          <w:szCs w:val="24"/>
        </w:rPr>
        <w:t xml:space="preserve">du </w:t>
      </w:r>
      <w:r w:rsidR="001D59B3">
        <w:rPr>
          <w:rFonts w:ascii="Book Antiqua" w:eastAsiaTheme="majorEastAsia" w:hAnsi="Book Antiqua" w:cstheme="majorHAnsi" w:hint="cs"/>
          <w:b/>
          <w:bCs/>
          <w:i/>
          <w:iCs/>
          <w:color w:val="31849B" w:themeColor="accent5" w:themeShade="BF"/>
          <w:spacing w:val="-10"/>
          <w:kern w:val="28"/>
          <w:sz w:val="24"/>
          <w:szCs w:val="24"/>
        </w:rPr>
        <w:t>sous</w:t>
      </w:r>
      <w:r w:rsidRPr="007015E0">
        <w:rPr>
          <w:rFonts w:ascii="Book Antiqua" w:eastAsiaTheme="majorEastAsia" w:hAnsi="Book Antiqua" w:cstheme="majorHAnsi"/>
          <w:b/>
          <w:bCs/>
          <w:i/>
          <w:iCs/>
          <w:color w:val="31849B" w:themeColor="accent5" w:themeShade="BF"/>
          <w:spacing w:val="-10"/>
          <w:kern w:val="28"/>
          <w:sz w:val="24"/>
          <w:szCs w:val="24"/>
        </w:rPr>
        <w:t xml:space="preserve">-emploi </w:t>
      </w:r>
    </w:p>
    <w:p w:rsidR="00283E2F" w:rsidRPr="00283E2F" w:rsidRDefault="004B3397" w:rsidP="006C6DC2">
      <w:pPr>
        <w:autoSpaceDE w:val="0"/>
        <w:autoSpaceDN w:val="0"/>
        <w:adjustRightInd w:val="0"/>
        <w:spacing w:before="240" w:after="240" w:line="312" w:lineRule="auto"/>
        <w:jc w:val="both"/>
        <w:rPr>
          <w:rFonts w:ascii="Book Antiqua" w:hAnsi="Book Antiqua" w:cs="Times New Roman"/>
          <w:sz w:val="24"/>
          <w:szCs w:val="24"/>
        </w:rPr>
      </w:pPr>
      <w:r w:rsidRPr="00E4316D">
        <w:rPr>
          <w:rFonts w:ascii="Book Antiqua" w:hAnsi="Book Antiqua" w:cs="Times New Roman"/>
          <w:sz w:val="24"/>
          <w:szCs w:val="24"/>
        </w:rPr>
        <w:t xml:space="preserve">Le volume des actifs occupés en situation de sous-emploi </w:t>
      </w:r>
      <w:r w:rsidR="00B63650" w:rsidRPr="00E4316D">
        <w:rPr>
          <w:rFonts w:ascii="Book Antiqua" w:hAnsi="Book Antiqua" w:cs="Times New Roman"/>
          <w:sz w:val="24"/>
          <w:szCs w:val="24"/>
        </w:rPr>
        <w:t>a augmenté</w:t>
      </w:r>
      <w:r w:rsidRPr="00E4316D">
        <w:rPr>
          <w:rFonts w:ascii="Book Antiqua" w:hAnsi="Book Antiqua" w:cs="Times New Roman"/>
          <w:sz w:val="24"/>
          <w:szCs w:val="24"/>
        </w:rPr>
        <w:t xml:space="preserve"> de </w:t>
      </w:r>
      <w:r w:rsidR="009F433D" w:rsidRPr="00E4316D">
        <w:rPr>
          <w:rFonts w:ascii="Book Antiqua" w:hAnsi="Book Antiqua" w:cs="Times New Roman"/>
          <w:sz w:val="24"/>
          <w:szCs w:val="24"/>
        </w:rPr>
        <w:t>60</w:t>
      </w:r>
      <w:r w:rsidRPr="00E4316D">
        <w:rPr>
          <w:rFonts w:ascii="Book Antiqua" w:hAnsi="Book Antiqua" w:cs="Times New Roman"/>
          <w:sz w:val="24"/>
          <w:szCs w:val="24"/>
        </w:rPr>
        <w:t>.000 personnes, entre le troisième trimestre de 202</w:t>
      </w:r>
      <w:r w:rsidR="009F433D" w:rsidRPr="00E4316D">
        <w:rPr>
          <w:rFonts w:ascii="Book Antiqua" w:hAnsi="Book Antiqua" w:cs="Times New Roman"/>
          <w:sz w:val="24"/>
          <w:szCs w:val="24"/>
        </w:rPr>
        <w:t>3</w:t>
      </w:r>
      <w:r w:rsidRPr="00E4316D">
        <w:rPr>
          <w:rFonts w:ascii="Book Antiqua" w:hAnsi="Book Antiqua" w:cs="Times New Roman"/>
          <w:sz w:val="24"/>
          <w:szCs w:val="24"/>
        </w:rPr>
        <w:t xml:space="preserve"> et la même période de 202</w:t>
      </w:r>
      <w:r w:rsidR="009F433D" w:rsidRPr="00E4316D">
        <w:rPr>
          <w:rFonts w:ascii="Book Antiqua" w:hAnsi="Book Antiqua" w:cs="Times New Roman"/>
          <w:sz w:val="24"/>
          <w:szCs w:val="24"/>
        </w:rPr>
        <w:t>4</w:t>
      </w:r>
      <w:r w:rsidRPr="00E4316D">
        <w:rPr>
          <w:rFonts w:ascii="Book Antiqua" w:hAnsi="Book Antiqua" w:cs="Times New Roman"/>
          <w:sz w:val="24"/>
          <w:szCs w:val="24"/>
        </w:rPr>
        <w:t xml:space="preserve">, passant de 1.005.000 </w:t>
      </w:r>
      <w:r w:rsidR="009F433D" w:rsidRPr="00E4316D">
        <w:rPr>
          <w:rFonts w:ascii="Book Antiqua" w:hAnsi="Book Antiqua" w:cs="Times New Roman"/>
          <w:sz w:val="24"/>
          <w:szCs w:val="24"/>
        </w:rPr>
        <w:t xml:space="preserve">à 1.066.000 </w:t>
      </w:r>
      <w:r w:rsidR="001D59B3" w:rsidRPr="00E4316D">
        <w:rPr>
          <w:rFonts w:ascii="Book Antiqua" w:hAnsi="Book Antiqua" w:cs="Times New Roman"/>
          <w:sz w:val="24"/>
          <w:szCs w:val="24"/>
        </w:rPr>
        <w:t xml:space="preserve">personnes </w:t>
      </w:r>
      <w:r w:rsidR="009F433D" w:rsidRPr="00E4316D">
        <w:rPr>
          <w:rFonts w:ascii="Book Antiqua" w:hAnsi="Book Antiqua" w:cs="Times New Roman"/>
          <w:sz w:val="24"/>
          <w:szCs w:val="24"/>
        </w:rPr>
        <w:t>au</w:t>
      </w:r>
      <w:r w:rsidRPr="00E4316D">
        <w:rPr>
          <w:rFonts w:ascii="Book Antiqua" w:hAnsi="Book Antiqua" w:cs="Times New Roman"/>
          <w:sz w:val="24"/>
          <w:szCs w:val="24"/>
        </w:rPr>
        <w:t xml:space="preserve"> niveau national, de</w:t>
      </w:r>
      <w:r w:rsidR="00BA209F">
        <w:rPr>
          <w:rFonts w:ascii="Book Antiqua" w:hAnsi="Book Antiqua" w:cs="Times New Roman"/>
          <w:sz w:val="24"/>
          <w:szCs w:val="24"/>
        </w:rPr>
        <w:t xml:space="preserve"> </w:t>
      </w:r>
      <w:r w:rsidRPr="00E4316D">
        <w:rPr>
          <w:rFonts w:ascii="Book Antiqua" w:hAnsi="Book Antiqua" w:cs="Times New Roman"/>
          <w:sz w:val="24"/>
          <w:szCs w:val="24"/>
        </w:rPr>
        <w:t>523.000</w:t>
      </w:r>
      <w:r w:rsidR="009F433D" w:rsidRPr="00E4316D">
        <w:rPr>
          <w:rFonts w:ascii="Book Antiqua" w:hAnsi="Book Antiqua" w:cs="Times New Roman"/>
          <w:sz w:val="24"/>
          <w:szCs w:val="24"/>
        </w:rPr>
        <w:t xml:space="preserve"> à 590.000</w:t>
      </w:r>
      <w:r w:rsidRPr="00E4316D">
        <w:rPr>
          <w:rFonts w:ascii="Book Antiqua" w:hAnsi="Book Antiqua" w:cs="Times New Roman"/>
          <w:sz w:val="24"/>
          <w:szCs w:val="24"/>
        </w:rPr>
        <w:t xml:space="preserve"> personnes en milieu urbain et de</w:t>
      </w:r>
      <w:r w:rsidR="001D59B3">
        <w:rPr>
          <w:rFonts w:ascii="Book Antiqua" w:hAnsi="Book Antiqua" w:cs="Times New Roman"/>
          <w:sz w:val="24"/>
          <w:szCs w:val="24"/>
        </w:rPr>
        <w:t xml:space="preserve"> </w:t>
      </w:r>
      <w:r w:rsidRPr="00E4316D">
        <w:rPr>
          <w:rFonts w:ascii="Book Antiqua" w:hAnsi="Book Antiqua" w:cs="Times New Roman"/>
          <w:sz w:val="24"/>
          <w:szCs w:val="24"/>
        </w:rPr>
        <w:t>482.000</w:t>
      </w:r>
      <w:r w:rsidR="009F433D" w:rsidRPr="00E4316D">
        <w:rPr>
          <w:rFonts w:ascii="Book Antiqua" w:hAnsi="Book Antiqua" w:cs="Times New Roman"/>
          <w:sz w:val="24"/>
          <w:szCs w:val="24"/>
        </w:rPr>
        <w:t xml:space="preserve"> à 476.000</w:t>
      </w:r>
      <w:r w:rsidRPr="00E4316D">
        <w:rPr>
          <w:rFonts w:ascii="Book Antiqua" w:hAnsi="Book Antiqua" w:cs="Times New Roman"/>
          <w:sz w:val="24"/>
          <w:szCs w:val="24"/>
        </w:rPr>
        <w:t xml:space="preserve"> en milieu rural. </w:t>
      </w:r>
      <w:r w:rsidR="00AB2FA3" w:rsidRPr="00E4316D">
        <w:rPr>
          <w:rFonts w:ascii="Book Antiqua" w:hAnsi="Book Antiqua" w:cs="Times New Roman"/>
          <w:sz w:val="24"/>
          <w:szCs w:val="24"/>
        </w:rPr>
        <w:t xml:space="preserve">Le taux de sous-emploi est </w:t>
      </w:r>
      <w:r w:rsidR="00283E2F">
        <w:rPr>
          <w:rFonts w:ascii="Book Antiqua" w:hAnsi="Book Antiqua" w:cs="Times New Roman"/>
          <w:sz w:val="24"/>
          <w:szCs w:val="24"/>
        </w:rPr>
        <w:t xml:space="preserve">ainsi </w:t>
      </w:r>
      <w:r w:rsidR="00AB2FA3" w:rsidRPr="00E4316D">
        <w:rPr>
          <w:rFonts w:ascii="Book Antiqua" w:hAnsi="Book Antiqua" w:cs="Times New Roman"/>
          <w:sz w:val="24"/>
          <w:szCs w:val="24"/>
        </w:rPr>
        <w:t xml:space="preserve">passé de 9,6% à 10% au niveau national, de 8,1% à 8,8% en milieu urbain, </w:t>
      </w:r>
      <w:r w:rsidR="00283E2F" w:rsidRPr="00283E2F">
        <w:rPr>
          <w:rFonts w:ascii="Book Antiqua" w:hAnsi="Book Antiqua" w:cs="Times New Roman"/>
          <w:sz w:val="24"/>
          <w:szCs w:val="24"/>
        </w:rPr>
        <w:t>tandis qu'il est resté stable à 12% en milieu rural.</w:t>
      </w:r>
    </w:p>
    <w:p w:rsidR="004B3397" w:rsidRPr="00E4316D" w:rsidRDefault="004B3397" w:rsidP="006C6DC2">
      <w:pPr>
        <w:autoSpaceDE w:val="0"/>
        <w:autoSpaceDN w:val="0"/>
        <w:adjustRightInd w:val="0"/>
        <w:spacing w:before="240" w:after="240" w:line="312" w:lineRule="auto"/>
        <w:jc w:val="both"/>
        <w:rPr>
          <w:rFonts w:ascii="Book Antiqua" w:hAnsi="Book Antiqua" w:cs="Times New Roman"/>
          <w:sz w:val="24"/>
          <w:szCs w:val="24"/>
        </w:rPr>
      </w:pPr>
      <w:r w:rsidRPr="00E4316D">
        <w:rPr>
          <w:rFonts w:ascii="Book Antiqua" w:hAnsi="Book Antiqua" w:cs="Times New Roman"/>
          <w:sz w:val="24"/>
          <w:szCs w:val="24"/>
        </w:rPr>
        <w:t xml:space="preserve">S’agissant du volume de la population active occupée en situation de sous-emploi lié au nombre d’heures travaillées, il est passé de 501.000 </w:t>
      </w:r>
      <w:r w:rsidR="00AB2FA3" w:rsidRPr="00E4316D">
        <w:rPr>
          <w:rFonts w:ascii="Book Antiqua" w:hAnsi="Book Antiqua" w:cs="Times New Roman"/>
          <w:sz w:val="24"/>
          <w:szCs w:val="24"/>
        </w:rPr>
        <w:t xml:space="preserve">à 584.000 </w:t>
      </w:r>
      <w:r w:rsidRPr="00E4316D">
        <w:rPr>
          <w:rFonts w:ascii="Book Antiqua" w:hAnsi="Book Antiqua" w:cs="Times New Roman"/>
          <w:sz w:val="24"/>
          <w:szCs w:val="24"/>
        </w:rPr>
        <w:t>personnes au niveau national</w:t>
      </w:r>
      <w:r w:rsidR="00283E2F">
        <w:rPr>
          <w:rFonts w:ascii="Book Antiqua" w:hAnsi="Book Antiqua" w:cs="Times New Roman"/>
          <w:sz w:val="24"/>
          <w:szCs w:val="24"/>
        </w:rPr>
        <w:t>. L</w:t>
      </w:r>
      <w:r w:rsidRPr="00E4316D">
        <w:rPr>
          <w:rFonts w:ascii="Book Antiqua" w:hAnsi="Book Antiqua" w:cs="Times New Roman"/>
          <w:sz w:val="24"/>
          <w:szCs w:val="24"/>
        </w:rPr>
        <w:t xml:space="preserve">e taux correspondant </w:t>
      </w:r>
      <w:r w:rsidR="00283E2F">
        <w:rPr>
          <w:rFonts w:ascii="Book Antiqua" w:hAnsi="Book Antiqua" w:cs="Times New Roman"/>
          <w:sz w:val="24"/>
          <w:szCs w:val="24"/>
        </w:rPr>
        <w:t xml:space="preserve">est </w:t>
      </w:r>
      <w:r w:rsidRPr="00E4316D">
        <w:rPr>
          <w:rFonts w:ascii="Book Antiqua" w:hAnsi="Book Antiqua" w:cs="Times New Roman"/>
          <w:sz w:val="24"/>
          <w:szCs w:val="24"/>
        </w:rPr>
        <w:t>pass</w:t>
      </w:r>
      <w:r w:rsidR="00283E2F">
        <w:rPr>
          <w:rFonts w:ascii="Book Antiqua" w:hAnsi="Book Antiqua" w:cs="Times New Roman"/>
          <w:sz w:val="24"/>
          <w:szCs w:val="24"/>
        </w:rPr>
        <w:t>é</w:t>
      </w:r>
      <w:r w:rsidRPr="00E4316D">
        <w:rPr>
          <w:rFonts w:ascii="Book Antiqua" w:hAnsi="Book Antiqua" w:cs="Times New Roman"/>
          <w:sz w:val="24"/>
          <w:szCs w:val="24"/>
        </w:rPr>
        <w:t xml:space="preserve"> de 4,8%</w:t>
      </w:r>
      <w:r w:rsidR="00AB2FA3" w:rsidRPr="00E4316D">
        <w:rPr>
          <w:rFonts w:ascii="Book Antiqua" w:hAnsi="Book Antiqua" w:cs="Times New Roman"/>
          <w:sz w:val="24"/>
          <w:szCs w:val="24"/>
        </w:rPr>
        <w:t xml:space="preserve"> à 5,5%</w:t>
      </w:r>
      <w:r w:rsidR="00283E2F">
        <w:rPr>
          <w:rFonts w:ascii="Book Antiqua" w:hAnsi="Book Antiqua" w:cs="Times New Roman"/>
          <w:sz w:val="24"/>
          <w:szCs w:val="24"/>
        </w:rPr>
        <w:t>.</w:t>
      </w:r>
    </w:p>
    <w:p w:rsidR="004B3397" w:rsidRPr="00E4316D" w:rsidRDefault="004B3397" w:rsidP="00D65C1F">
      <w:pPr>
        <w:spacing w:before="240" w:after="240" w:line="312" w:lineRule="auto"/>
        <w:jc w:val="both"/>
        <w:rPr>
          <w:rFonts w:ascii="Book Antiqua" w:hAnsi="Book Antiqua" w:cs="Times New Roman"/>
          <w:sz w:val="24"/>
          <w:szCs w:val="24"/>
        </w:rPr>
      </w:pPr>
      <w:r w:rsidRPr="00E4316D">
        <w:rPr>
          <w:rFonts w:ascii="Book Antiqua" w:hAnsi="Book Antiqua" w:cs="Times New Roman"/>
          <w:sz w:val="24"/>
          <w:szCs w:val="24"/>
        </w:rPr>
        <w:lastRenderedPageBreak/>
        <w:t>La population active occupée en situation de sous-emploi lié à l’insuffisance du revenu ou à l’inadéquation entre la formation et l’emploi exercé est passée de 505.000</w:t>
      </w:r>
      <w:r w:rsidR="00AB2FA3" w:rsidRPr="00E4316D">
        <w:rPr>
          <w:rFonts w:ascii="Book Antiqua" w:hAnsi="Book Antiqua" w:cs="Times New Roman"/>
          <w:sz w:val="24"/>
          <w:szCs w:val="24"/>
        </w:rPr>
        <w:t xml:space="preserve"> à 482.000 </w:t>
      </w:r>
      <w:r w:rsidRPr="00E4316D">
        <w:rPr>
          <w:rFonts w:ascii="Book Antiqua" w:hAnsi="Book Antiqua" w:cs="Times New Roman"/>
          <w:sz w:val="24"/>
          <w:szCs w:val="24"/>
        </w:rPr>
        <w:t xml:space="preserve">personnes au niveau national. Le taux correspondant </w:t>
      </w:r>
      <w:r w:rsidR="00D65C1F" w:rsidRPr="00E4316D">
        <w:rPr>
          <w:rFonts w:ascii="Book Antiqua" w:hAnsi="Book Antiqua" w:cs="Times New Roman"/>
          <w:sz w:val="24"/>
          <w:szCs w:val="24"/>
        </w:rPr>
        <w:t>a</w:t>
      </w:r>
      <w:r w:rsidR="00283E2F">
        <w:rPr>
          <w:rFonts w:ascii="Book Antiqua" w:hAnsi="Book Antiqua" w:cs="Times New Roman"/>
          <w:sz w:val="24"/>
          <w:szCs w:val="24"/>
        </w:rPr>
        <w:t xml:space="preserve">baissé </w:t>
      </w:r>
      <w:r w:rsidRPr="00E4316D">
        <w:rPr>
          <w:rFonts w:ascii="Book Antiqua" w:hAnsi="Book Antiqua" w:cs="Times New Roman"/>
          <w:sz w:val="24"/>
          <w:szCs w:val="24"/>
        </w:rPr>
        <w:t>de 4,8%</w:t>
      </w:r>
      <w:r w:rsidR="00AB2FA3" w:rsidRPr="00E4316D">
        <w:rPr>
          <w:rFonts w:ascii="Book Antiqua" w:hAnsi="Book Antiqua" w:cs="Times New Roman"/>
          <w:sz w:val="24"/>
          <w:szCs w:val="24"/>
        </w:rPr>
        <w:t xml:space="preserve"> à 4,5%</w:t>
      </w:r>
      <w:r w:rsidRPr="00E4316D">
        <w:rPr>
          <w:rFonts w:ascii="Book Antiqua" w:hAnsi="Book Antiqua" w:cs="Times New Roman"/>
          <w:sz w:val="24"/>
          <w:szCs w:val="24"/>
        </w:rPr>
        <w:t>.</w:t>
      </w:r>
    </w:p>
    <w:p w:rsidR="004B3397" w:rsidRPr="00E4316D" w:rsidRDefault="004B3397" w:rsidP="009660EC">
      <w:pPr>
        <w:spacing w:before="240" w:after="240" w:line="312" w:lineRule="auto"/>
        <w:jc w:val="both"/>
        <w:rPr>
          <w:rFonts w:ascii="Book Antiqua" w:hAnsi="Book Antiqua" w:cs="Times New Roman"/>
          <w:sz w:val="24"/>
          <w:szCs w:val="24"/>
        </w:rPr>
      </w:pPr>
      <w:r w:rsidRPr="00E4316D">
        <w:rPr>
          <w:rFonts w:ascii="Book Antiqua" w:hAnsi="Book Antiqua" w:cs="Times New Roman"/>
          <w:sz w:val="24"/>
          <w:szCs w:val="24"/>
        </w:rPr>
        <w:t xml:space="preserve">Le secteur des BTP, le plus touché par le </w:t>
      </w:r>
      <w:r w:rsidR="00830F2E" w:rsidRPr="00E4316D">
        <w:rPr>
          <w:rFonts w:ascii="Book Antiqua" w:hAnsi="Book Antiqua" w:cs="Times New Roman"/>
          <w:sz w:val="24"/>
          <w:szCs w:val="24"/>
        </w:rPr>
        <w:t>sous-emploi</w:t>
      </w:r>
      <w:r w:rsidRPr="00E4316D">
        <w:rPr>
          <w:rFonts w:ascii="Book Antiqua" w:hAnsi="Book Antiqua" w:cs="Times New Roman"/>
          <w:sz w:val="24"/>
          <w:szCs w:val="24"/>
        </w:rPr>
        <w:t>, a connu une importante hausse du taux de sous-emploi " avec +</w:t>
      </w:r>
      <w:r w:rsidR="009315C8" w:rsidRPr="00E4316D">
        <w:rPr>
          <w:rFonts w:ascii="Book Antiqua" w:hAnsi="Book Antiqua" w:cs="Times New Roman"/>
          <w:sz w:val="24"/>
          <w:szCs w:val="24"/>
        </w:rPr>
        <w:t xml:space="preserve">1 </w:t>
      </w:r>
      <w:r w:rsidRPr="00E4316D">
        <w:rPr>
          <w:rFonts w:ascii="Book Antiqua" w:hAnsi="Book Antiqua" w:cs="Times New Roman"/>
          <w:sz w:val="24"/>
          <w:szCs w:val="24"/>
        </w:rPr>
        <w:t>point (de 18,9%</w:t>
      </w:r>
      <w:r w:rsidR="00830F2E" w:rsidRPr="00E4316D">
        <w:rPr>
          <w:rFonts w:ascii="Book Antiqua" w:hAnsi="Book Antiqua" w:cs="Times New Roman"/>
          <w:sz w:val="24"/>
          <w:szCs w:val="24"/>
        </w:rPr>
        <w:t xml:space="preserve"> à 19,9%</w:t>
      </w:r>
      <w:r w:rsidRPr="00E4316D">
        <w:rPr>
          <w:rFonts w:ascii="Book Antiqua" w:hAnsi="Book Antiqua" w:cs="Times New Roman"/>
          <w:sz w:val="24"/>
          <w:szCs w:val="24"/>
        </w:rPr>
        <w:t xml:space="preserve">), suivi par le secteur de </w:t>
      </w:r>
      <w:r w:rsidR="00830F2E" w:rsidRPr="00E4316D">
        <w:rPr>
          <w:rFonts w:ascii="Book Antiqua" w:hAnsi="Book Antiqua" w:cs="Times New Roman"/>
          <w:sz w:val="24"/>
          <w:szCs w:val="24"/>
        </w:rPr>
        <w:t>l’agriculture, forêt et pêche</w:t>
      </w:r>
      <w:r w:rsidRPr="00E4316D">
        <w:rPr>
          <w:rFonts w:ascii="Book Antiqua" w:hAnsi="Book Antiqua" w:cs="Times New Roman"/>
          <w:sz w:val="24"/>
          <w:szCs w:val="24"/>
        </w:rPr>
        <w:t xml:space="preserve">" avec </w:t>
      </w:r>
      <w:r w:rsidR="00830F2E" w:rsidRPr="00E4316D">
        <w:rPr>
          <w:rFonts w:ascii="Book Antiqua" w:hAnsi="Book Antiqua" w:cs="Times New Roman"/>
          <w:sz w:val="24"/>
          <w:szCs w:val="24"/>
        </w:rPr>
        <w:t>0,7</w:t>
      </w:r>
      <w:r w:rsidRPr="00E4316D">
        <w:rPr>
          <w:rFonts w:ascii="Book Antiqua" w:hAnsi="Book Antiqua" w:cs="Times New Roman"/>
          <w:sz w:val="24"/>
          <w:szCs w:val="24"/>
        </w:rPr>
        <w:t xml:space="preserve"> point (de </w:t>
      </w:r>
      <w:r w:rsidR="00830F2E" w:rsidRPr="00E4316D">
        <w:rPr>
          <w:rFonts w:ascii="Book Antiqua" w:hAnsi="Book Antiqua" w:cs="Times New Roman"/>
          <w:sz w:val="24"/>
          <w:szCs w:val="24"/>
        </w:rPr>
        <w:t>11,2</w:t>
      </w:r>
      <w:r w:rsidRPr="00E4316D">
        <w:rPr>
          <w:rFonts w:ascii="Book Antiqua" w:hAnsi="Book Antiqua" w:cs="Times New Roman"/>
          <w:sz w:val="24"/>
          <w:szCs w:val="24"/>
        </w:rPr>
        <w:t xml:space="preserve">% à </w:t>
      </w:r>
      <w:r w:rsidR="00830F2E" w:rsidRPr="00E4316D">
        <w:rPr>
          <w:rFonts w:ascii="Book Antiqua" w:hAnsi="Book Antiqua" w:cs="Times New Roman"/>
          <w:sz w:val="24"/>
          <w:szCs w:val="24"/>
        </w:rPr>
        <w:t>11</w:t>
      </w:r>
      <w:r w:rsidRPr="00E4316D">
        <w:rPr>
          <w:rFonts w:ascii="Book Antiqua" w:hAnsi="Book Antiqua" w:cs="Times New Roman"/>
          <w:sz w:val="24"/>
          <w:szCs w:val="24"/>
        </w:rPr>
        <w:t>,</w:t>
      </w:r>
      <w:r w:rsidR="00830F2E" w:rsidRPr="00E4316D">
        <w:rPr>
          <w:rFonts w:ascii="Book Antiqua" w:hAnsi="Book Antiqua" w:cs="Times New Roman"/>
          <w:sz w:val="24"/>
          <w:szCs w:val="24"/>
        </w:rPr>
        <w:t>9</w:t>
      </w:r>
      <w:r w:rsidRPr="00E4316D">
        <w:rPr>
          <w:rFonts w:ascii="Book Antiqua" w:hAnsi="Book Antiqua" w:cs="Times New Roman"/>
          <w:sz w:val="24"/>
          <w:szCs w:val="24"/>
        </w:rPr>
        <w:t xml:space="preserve">%). </w:t>
      </w:r>
    </w:p>
    <w:p w:rsidR="004B3397" w:rsidRPr="00E4316D" w:rsidRDefault="004E0C71" w:rsidP="00A810BF">
      <w:pPr>
        <w:spacing w:before="240" w:after="240" w:line="312" w:lineRule="auto"/>
        <w:contextualSpacing/>
        <w:jc w:val="center"/>
        <w:rPr>
          <w:rFonts w:ascii="Book Antiqua" w:eastAsia="Book Antiqua" w:hAnsi="Book Antiqua" w:cs="Book Antiqua"/>
          <w:b/>
          <w:color w:val="1F497D" w:themeColor="text2"/>
          <w:sz w:val="20"/>
          <w:szCs w:val="20"/>
        </w:rPr>
      </w:pPr>
      <w:r w:rsidRPr="00E4316D">
        <w:rPr>
          <w:rFonts w:ascii="Book Antiqua" w:eastAsia="Book Antiqua" w:hAnsi="Book Antiqua" w:cs="Book Antiqua"/>
          <w:b/>
          <w:color w:val="1F497D" w:themeColor="text2"/>
          <w:sz w:val="20"/>
          <w:szCs w:val="20"/>
        </w:rPr>
        <w:t xml:space="preserve">Graphique </w:t>
      </w:r>
      <w:r w:rsidR="00447023">
        <w:rPr>
          <w:rFonts w:ascii="Book Antiqua" w:eastAsia="Book Antiqua" w:hAnsi="Book Antiqua" w:cs="Book Antiqua"/>
          <w:b/>
          <w:color w:val="1F497D" w:themeColor="text2"/>
          <w:sz w:val="20"/>
          <w:szCs w:val="20"/>
        </w:rPr>
        <w:t>6</w:t>
      </w:r>
      <w:r w:rsidR="004B3397" w:rsidRPr="00E4316D">
        <w:rPr>
          <w:rFonts w:ascii="Book Antiqua" w:eastAsia="Book Antiqua" w:hAnsi="Book Antiqua" w:cs="Book Antiqua"/>
          <w:b/>
          <w:color w:val="1F497D" w:themeColor="text2"/>
          <w:sz w:val="20"/>
          <w:szCs w:val="20"/>
        </w:rPr>
        <w:t> : Evolution du taux de sous-emploi entre les troisièmes trimestres de 202</w:t>
      </w:r>
      <w:r w:rsidR="00BA209F">
        <w:rPr>
          <w:rFonts w:ascii="Book Antiqua" w:eastAsia="Book Antiqua" w:hAnsi="Book Antiqua" w:cs="Book Antiqua"/>
          <w:b/>
          <w:color w:val="1F497D" w:themeColor="text2"/>
          <w:sz w:val="20"/>
          <w:szCs w:val="20"/>
        </w:rPr>
        <w:t>3</w:t>
      </w:r>
      <w:r w:rsidR="004B3397" w:rsidRPr="00E4316D">
        <w:rPr>
          <w:rFonts w:ascii="Book Antiqua" w:eastAsia="Book Antiqua" w:hAnsi="Book Antiqua" w:cs="Book Antiqua"/>
          <w:b/>
          <w:color w:val="1F497D" w:themeColor="text2"/>
          <w:sz w:val="20"/>
          <w:szCs w:val="20"/>
        </w:rPr>
        <w:t xml:space="preserve"> et de 202</w:t>
      </w:r>
      <w:r w:rsidR="00BA209F">
        <w:rPr>
          <w:rFonts w:ascii="Book Antiqua" w:eastAsia="Book Antiqua" w:hAnsi="Book Antiqua" w:cs="Book Antiqua"/>
          <w:b/>
          <w:color w:val="1F497D" w:themeColor="text2"/>
          <w:sz w:val="20"/>
          <w:szCs w:val="20"/>
        </w:rPr>
        <w:t xml:space="preserve">4 </w:t>
      </w:r>
      <w:r w:rsidR="004B3397" w:rsidRPr="00E4316D">
        <w:rPr>
          <w:rFonts w:ascii="Book Antiqua" w:eastAsia="Book Antiqua" w:hAnsi="Book Antiqua" w:cs="Book Antiqua"/>
          <w:b/>
          <w:color w:val="1F497D" w:themeColor="text2"/>
          <w:sz w:val="20"/>
          <w:szCs w:val="20"/>
        </w:rPr>
        <w:t>selon les secteurs d’activité économique (en %)</w:t>
      </w:r>
    </w:p>
    <w:p w:rsidR="004B3397" w:rsidRDefault="00830F2E" w:rsidP="00A810BF">
      <w:pPr>
        <w:spacing w:before="240" w:after="240" w:line="312" w:lineRule="auto"/>
        <w:contextualSpacing/>
        <w:jc w:val="center"/>
        <w:rPr>
          <w:rFonts w:ascii="Book Antiqua" w:hAnsi="Book Antiqua" w:cs="Times New Roman"/>
          <w:sz w:val="24"/>
          <w:szCs w:val="24"/>
        </w:rPr>
      </w:pPr>
      <w:r>
        <w:rPr>
          <w:noProof/>
        </w:rPr>
        <w:drawing>
          <wp:inline distT="0" distB="0" distL="0" distR="0">
            <wp:extent cx="5713171" cy="2172614"/>
            <wp:effectExtent l="0" t="0" r="0" b="0"/>
            <wp:docPr id="2105427470" name="Chart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D42C05F8-AA42-BEF5-A352-6E779B4843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E5841" w:rsidRPr="00283BE3" w:rsidRDefault="00CE5841" w:rsidP="00CE5841">
      <w:pPr>
        <w:pStyle w:val="MMTopic2"/>
        <w:numPr>
          <w:ilvl w:val="0"/>
          <w:numId w:val="0"/>
        </w:numPr>
        <w:spacing w:line="240" w:lineRule="auto"/>
        <w:jc w:val="both"/>
        <w:rPr>
          <w:rFonts w:ascii="Book Antiqua" w:eastAsia="Book Antiqua" w:hAnsi="Book Antiqua" w:cs="Book Antiqua"/>
          <w:b/>
          <w:bCs/>
          <w:color w:val="1F497D" w:themeColor="text2"/>
          <w:lang w:eastAsia="fr-FR"/>
        </w:rPr>
      </w:pPr>
      <w:r w:rsidRPr="00283BE3">
        <w:rPr>
          <w:rFonts w:ascii="Book Antiqua" w:eastAsia="Book Antiqua" w:hAnsi="Book Antiqua" w:cs="Book Antiqua"/>
          <w:b/>
          <w:bCs/>
          <w:color w:val="1F497D" w:themeColor="text2"/>
          <w:lang w:eastAsia="fr-FR"/>
        </w:rPr>
        <w:t>III. Situation régionale du marché du travail</w:t>
      </w:r>
    </w:p>
    <w:p w:rsidR="00CE5841" w:rsidRPr="00830F2E" w:rsidRDefault="00CE5841" w:rsidP="00CE5841">
      <w:pPr>
        <w:pStyle w:val="MMTopic2"/>
        <w:numPr>
          <w:ilvl w:val="0"/>
          <w:numId w:val="0"/>
        </w:numPr>
        <w:spacing w:line="240" w:lineRule="auto"/>
        <w:jc w:val="both"/>
        <w:rPr>
          <w:rFonts w:ascii="Book Antiqua" w:eastAsia="Book Antiqua" w:hAnsi="Book Antiqua" w:cs="Book Antiqua"/>
          <w:b/>
          <w:bCs/>
          <w:color w:val="FFFFFF" w:themeColor="background1"/>
          <w:lang w:eastAsia="fr-FR"/>
        </w:rPr>
      </w:pPr>
    </w:p>
    <w:p w:rsidR="00CE5841" w:rsidRPr="00E4316D" w:rsidRDefault="00CE5841" w:rsidP="00CE5841">
      <w:pPr>
        <w:spacing w:line="360" w:lineRule="auto"/>
        <w:jc w:val="both"/>
        <w:rPr>
          <w:rFonts w:ascii="Book Antiqua" w:hAnsi="Book Antiqua" w:cs="Times New Roman"/>
          <w:sz w:val="24"/>
          <w:szCs w:val="24"/>
        </w:rPr>
      </w:pPr>
      <w:r w:rsidRPr="00E4316D">
        <w:rPr>
          <w:rFonts w:ascii="Book Antiqua" w:hAnsi="Book Antiqua" w:cs="Times New Roman"/>
          <w:sz w:val="24"/>
          <w:szCs w:val="24"/>
        </w:rPr>
        <w:t>Cinq régions abritent 72,</w:t>
      </w:r>
      <w:r w:rsidR="009315C8" w:rsidRPr="00E4316D">
        <w:rPr>
          <w:rFonts w:ascii="Book Antiqua" w:hAnsi="Book Antiqua" w:cs="Times New Roman"/>
          <w:sz w:val="24"/>
          <w:szCs w:val="24"/>
        </w:rPr>
        <w:t>4</w:t>
      </w:r>
      <w:r w:rsidRPr="00E4316D">
        <w:rPr>
          <w:rFonts w:ascii="Book Antiqua" w:hAnsi="Book Antiqua" w:cs="Times New Roman"/>
          <w:sz w:val="24"/>
          <w:szCs w:val="24"/>
        </w:rPr>
        <w:t xml:space="preserve">% de l’ensemble des actifs âgés de 15 ans et plus. </w:t>
      </w:r>
      <w:r w:rsidR="00283E2F">
        <w:rPr>
          <w:rFonts w:ascii="Book Antiqua" w:hAnsi="Book Antiqua" w:cs="Times New Roman"/>
          <w:sz w:val="24"/>
          <w:szCs w:val="24"/>
        </w:rPr>
        <w:t xml:space="preserve">La région de </w:t>
      </w:r>
      <w:r w:rsidRPr="00E4316D">
        <w:rPr>
          <w:rFonts w:ascii="Book Antiqua" w:hAnsi="Book Antiqua" w:cs="Times New Roman"/>
          <w:sz w:val="24"/>
          <w:szCs w:val="24"/>
        </w:rPr>
        <w:t>Casablanca-Settat vient en première position avec 22,</w:t>
      </w:r>
      <w:r w:rsidR="009315C8" w:rsidRPr="00E4316D">
        <w:rPr>
          <w:rFonts w:ascii="Book Antiqua" w:hAnsi="Book Antiqua" w:cs="Times New Roman"/>
          <w:sz w:val="24"/>
          <w:szCs w:val="24"/>
        </w:rPr>
        <w:t>3</w:t>
      </w:r>
      <w:r w:rsidRPr="00E4316D">
        <w:rPr>
          <w:rFonts w:ascii="Book Antiqua" w:hAnsi="Book Antiqua" w:cs="Times New Roman"/>
          <w:sz w:val="24"/>
          <w:szCs w:val="24"/>
        </w:rPr>
        <w:t>% d’actifs, suivie de Rabat-Salé-Kénitra (13,</w:t>
      </w:r>
      <w:r w:rsidR="009315C8" w:rsidRPr="00E4316D">
        <w:rPr>
          <w:rFonts w:ascii="Book Antiqua" w:hAnsi="Book Antiqua" w:cs="Times New Roman"/>
          <w:sz w:val="24"/>
          <w:szCs w:val="24"/>
        </w:rPr>
        <w:t>7</w:t>
      </w:r>
      <w:r w:rsidRPr="00E4316D">
        <w:rPr>
          <w:rFonts w:ascii="Book Antiqua" w:hAnsi="Book Antiqua" w:cs="Times New Roman"/>
          <w:sz w:val="24"/>
          <w:szCs w:val="24"/>
        </w:rPr>
        <w:t>%), de Marrakech-Safi (1</w:t>
      </w:r>
      <w:r w:rsidR="009315C8" w:rsidRPr="00E4316D">
        <w:rPr>
          <w:rFonts w:ascii="Book Antiqua" w:hAnsi="Book Antiqua" w:cs="Times New Roman"/>
          <w:sz w:val="24"/>
          <w:szCs w:val="24"/>
        </w:rPr>
        <w:t>2</w:t>
      </w:r>
      <w:r w:rsidRPr="00E4316D">
        <w:rPr>
          <w:rFonts w:ascii="Book Antiqua" w:hAnsi="Book Antiqua" w:cs="Times New Roman"/>
          <w:sz w:val="24"/>
          <w:szCs w:val="24"/>
        </w:rPr>
        <w:t>,</w:t>
      </w:r>
      <w:r w:rsidR="009315C8" w:rsidRPr="00E4316D">
        <w:rPr>
          <w:rFonts w:ascii="Book Antiqua" w:hAnsi="Book Antiqua" w:cs="Times New Roman"/>
          <w:sz w:val="24"/>
          <w:szCs w:val="24"/>
        </w:rPr>
        <w:t>9</w:t>
      </w:r>
      <w:r w:rsidRPr="00E4316D">
        <w:rPr>
          <w:rFonts w:ascii="Book Antiqua" w:hAnsi="Book Antiqua" w:cs="Times New Roman"/>
          <w:sz w:val="24"/>
          <w:szCs w:val="24"/>
        </w:rPr>
        <w:t>%), de Fès-Meknès (11,</w:t>
      </w:r>
      <w:r w:rsidR="009315C8" w:rsidRPr="00E4316D">
        <w:rPr>
          <w:rFonts w:ascii="Book Antiqua" w:hAnsi="Book Antiqua" w:cs="Times New Roman"/>
          <w:sz w:val="24"/>
          <w:szCs w:val="24"/>
        </w:rPr>
        <w:t>9</w:t>
      </w:r>
      <w:r w:rsidRPr="00E4316D">
        <w:rPr>
          <w:rFonts w:ascii="Book Antiqua" w:hAnsi="Book Antiqua" w:cs="Times New Roman"/>
          <w:sz w:val="24"/>
          <w:szCs w:val="24"/>
        </w:rPr>
        <w:t>%) et de Tanger-Tétouan-Al Hoceima (11,</w:t>
      </w:r>
      <w:r w:rsidR="009315C8" w:rsidRPr="00E4316D">
        <w:rPr>
          <w:rFonts w:ascii="Book Antiqua" w:hAnsi="Book Antiqua" w:cs="Times New Roman"/>
          <w:sz w:val="24"/>
          <w:szCs w:val="24"/>
        </w:rPr>
        <w:t>6</w:t>
      </w:r>
      <w:r w:rsidRPr="00E4316D">
        <w:rPr>
          <w:rFonts w:ascii="Book Antiqua" w:hAnsi="Book Antiqua" w:cs="Times New Roman"/>
          <w:sz w:val="24"/>
          <w:szCs w:val="24"/>
        </w:rPr>
        <w:t>%</w:t>
      </w:r>
      <w:r w:rsidR="009315C8" w:rsidRPr="00E4316D">
        <w:rPr>
          <w:rFonts w:ascii="Book Antiqua" w:hAnsi="Book Antiqua" w:cs="Times New Roman"/>
          <w:sz w:val="24"/>
          <w:szCs w:val="24"/>
        </w:rPr>
        <w:t>).</w:t>
      </w:r>
    </w:p>
    <w:p w:rsidR="00CE5841" w:rsidRPr="00E4316D" w:rsidRDefault="00BA209F" w:rsidP="002B642A">
      <w:pPr>
        <w:spacing w:line="360" w:lineRule="auto"/>
        <w:jc w:val="both"/>
        <w:rPr>
          <w:rFonts w:ascii="Book Antiqua" w:hAnsi="Book Antiqua" w:cs="Times New Roman"/>
          <w:sz w:val="24"/>
          <w:szCs w:val="24"/>
        </w:rPr>
      </w:pPr>
      <w:r>
        <w:rPr>
          <w:rFonts w:ascii="Book Antiqua" w:hAnsi="Book Antiqua" w:cs="Times New Roman"/>
          <w:sz w:val="24"/>
          <w:szCs w:val="24"/>
        </w:rPr>
        <w:t>Quatre</w:t>
      </w:r>
      <w:r w:rsidR="00CE5841" w:rsidRPr="00E4316D">
        <w:rPr>
          <w:rFonts w:ascii="Book Antiqua" w:hAnsi="Book Antiqua" w:cs="Times New Roman"/>
          <w:sz w:val="24"/>
          <w:szCs w:val="24"/>
        </w:rPr>
        <w:t xml:space="preserve"> régions ont enregistré des taux d’activité supérieurs à la moyenne nationale (43,</w:t>
      </w:r>
      <w:r w:rsidR="009315C8" w:rsidRPr="00E4316D">
        <w:rPr>
          <w:rFonts w:ascii="Book Antiqua" w:hAnsi="Book Antiqua" w:cs="Times New Roman"/>
          <w:sz w:val="24"/>
          <w:szCs w:val="24"/>
        </w:rPr>
        <w:t>6</w:t>
      </w:r>
      <w:r w:rsidR="00CE5841" w:rsidRPr="00E4316D">
        <w:rPr>
          <w:rFonts w:ascii="Book Antiqua" w:hAnsi="Book Antiqua" w:cs="Times New Roman"/>
          <w:sz w:val="24"/>
          <w:szCs w:val="24"/>
        </w:rPr>
        <w:t>%). Il s’agit des régions de Tanger-Tétouan-Al Hoceima (47,</w:t>
      </w:r>
      <w:r w:rsidR="009315C8" w:rsidRPr="00E4316D">
        <w:rPr>
          <w:rFonts w:ascii="Book Antiqua" w:hAnsi="Book Antiqua" w:cs="Times New Roman"/>
          <w:sz w:val="24"/>
          <w:szCs w:val="24"/>
        </w:rPr>
        <w:t>6</w:t>
      </w:r>
      <w:r w:rsidR="00CE5841" w:rsidRPr="00E4316D">
        <w:rPr>
          <w:rFonts w:ascii="Book Antiqua" w:hAnsi="Book Antiqua" w:cs="Times New Roman"/>
          <w:sz w:val="24"/>
          <w:szCs w:val="24"/>
        </w:rPr>
        <w:t>%),</w:t>
      </w:r>
      <w:r w:rsidR="006C6DC2">
        <w:rPr>
          <w:rFonts w:ascii="Book Antiqua" w:hAnsi="Book Antiqua" w:cs="Times New Roman" w:hint="cs"/>
          <w:sz w:val="24"/>
          <w:szCs w:val="24"/>
          <w:rtl/>
        </w:rPr>
        <w:t xml:space="preserve"> </w:t>
      </w:r>
      <w:r w:rsidR="00CE5841" w:rsidRPr="00E4316D">
        <w:rPr>
          <w:rFonts w:ascii="Book Antiqua" w:hAnsi="Book Antiqua" w:cs="Times New Roman"/>
          <w:sz w:val="24"/>
          <w:szCs w:val="24"/>
        </w:rPr>
        <w:t>de Casablanca-Settat (45,</w:t>
      </w:r>
      <w:r w:rsidR="009315C8" w:rsidRPr="00E4316D">
        <w:rPr>
          <w:rFonts w:ascii="Book Antiqua" w:hAnsi="Book Antiqua" w:cs="Times New Roman"/>
          <w:sz w:val="24"/>
          <w:szCs w:val="24"/>
        </w:rPr>
        <w:t>7</w:t>
      </w:r>
      <w:r w:rsidR="00CE5841" w:rsidRPr="00E4316D">
        <w:rPr>
          <w:rFonts w:ascii="Book Antiqua" w:hAnsi="Book Antiqua" w:cs="Times New Roman"/>
          <w:sz w:val="24"/>
          <w:szCs w:val="24"/>
        </w:rPr>
        <w:t>%), du Sud (45,</w:t>
      </w:r>
      <w:r w:rsidR="009315C8" w:rsidRPr="00E4316D">
        <w:rPr>
          <w:rFonts w:ascii="Book Antiqua" w:hAnsi="Book Antiqua" w:cs="Times New Roman"/>
          <w:sz w:val="24"/>
          <w:szCs w:val="24"/>
        </w:rPr>
        <w:t>4</w:t>
      </w:r>
      <w:r w:rsidR="00CE5841" w:rsidRPr="00E4316D">
        <w:rPr>
          <w:rFonts w:ascii="Book Antiqua" w:hAnsi="Book Antiqua" w:cs="Times New Roman"/>
          <w:sz w:val="24"/>
          <w:szCs w:val="24"/>
        </w:rPr>
        <w:t>%)</w:t>
      </w:r>
      <w:r>
        <w:rPr>
          <w:rFonts w:ascii="Book Antiqua" w:hAnsi="Book Antiqua" w:cs="Times New Roman"/>
          <w:sz w:val="24"/>
          <w:szCs w:val="24"/>
        </w:rPr>
        <w:t xml:space="preserve"> et </w:t>
      </w:r>
      <w:r w:rsidR="00CE5841" w:rsidRPr="00E4316D">
        <w:rPr>
          <w:rFonts w:ascii="Book Antiqua" w:hAnsi="Book Antiqua" w:cs="Times New Roman"/>
          <w:sz w:val="24"/>
          <w:szCs w:val="24"/>
        </w:rPr>
        <w:t>de Marrakech-Safi (43,</w:t>
      </w:r>
      <w:r w:rsidR="009315C8" w:rsidRPr="00E4316D">
        <w:rPr>
          <w:rFonts w:ascii="Book Antiqua" w:hAnsi="Book Antiqua" w:cs="Times New Roman"/>
          <w:sz w:val="24"/>
          <w:szCs w:val="24"/>
        </w:rPr>
        <w:t>7</w:t>
      </w:r>
      <w:r w:rsidR="00CE5841" w:rsidRPr="00E4316D">
        <w:rPr>
          <w:rFonts w:ascii="Book Antiqua" w:hAnsi="Book Antiqua" w:cs="Times New Roman"/>
          <w:sz w:val="24"/>
          <w:szCs w:val="24"/>
        </w:rPr>
        <w:t>%). En revanche, les taux les plus bas sont enregistrés dans les régions de Drâa-Tafilalet (38,</w:t>
      </w:r>
      <w:r w:rsidR="009315C8" w:rsidRPr="00E4316D">
        <w:rPr>
          <w:rFonts w:ascii="Book Antiqua" w:hAnsi="Book Antiqua" w:cs="Times New Roman"/>
          <w:sz w:val="24"/>
          <w:szCs w:val="24"/>
        </w:rPr>
        <w:t>7</w:t>
      </w:r>
      <w:r w:rsidR="00CE5841" w:rsidRPr="00E4316D">
        <w:rPr>
          <w:rFonts w:ascii="Book Antiqua" w:hAnsi="Book Antiqua" w:cs="Times New Roman"/>
          <w:sz w:val="24"/>
          <w:szCs w:val="24"/>
        </w:rPr>
        <w:t xml:space="preserve">%), </w:t>
      </w:r>
      <w:r w:rsidR="002B642A" w:rsidRPr="00E4316D">
        <w:rPr>
          <w:rFonts w:ascii="Book Antiqua" w:hAnsi="Book Antiqua" w:cs="Times New Roman"/>
          <w:sz w:val="24"/>
          <w:szCs w:val="24"/>
        </w:rPr>
        <w:t xml:space="preserve">de Béni Mellal-Khénifra (39,6%), de l’Oriental (40,2%) et </w:t>
      </w:r>
      <w:r w:rsidR="00CE5841" w:rsidRPr="00E4316D">
        <w:rPr>
          <w:rFonts w:ascii="Book Antiqua" w:hAnsi="Book Antiqua" w:cs="Times New Roman"/>
          <w:sz w:val="24"/>
          <w:szCs w:val="24"/>
        </w:rPr>
        <w:t>de Souss-Massa (</w:t>
      </w:r>
      <w:r w:rsidR="009315C8" w:rsidRPr="00E4316D">
        <w:rPr>
          <w:rFonts w:ascii="Book Antiqua" w:hAnsi="Book Antiqua" w:cs="Times New Roman"/>
          <w:sz w:val="24"/>
          <w:szCs w:val="24"/>
        </w:rPr>
        <w:t>41</w:t>
      </w:r>
      <w:r w:rsidR="00CE5841" w:rsidRPr="00E4316D">
        <w:rPr>
          <w:rFonts w:ascii="Book Antiqua" w:hAnsi="Book Antiqua" w:cs="Times New Roman"/>
          <w:sz w:val="24"/>
          <w:szCs w:val="24"/>
        </w:rPr>
        <w:t>,</w:t>
      </w:r>
      <w:r w:rsidR="009315C8" w:rsidRPr="00E4316D">
        <w:rPr>
          <w:rFonts w:ascii="Book Antiqua" w:hAnsi="Book Antiqua" w:cs="Times New Roman"/>
          <w:sz w:val="24"/>
          <w:szCs w:val="24"/>
        </w:rPr>
        <w:t>7</w:t>
      </w:r>
      <w:r w:rsidR="00CE5841" w:rsidRPr="00E4316D">
        <w:rPr>
          <w:rFonts w:ascii="Book Antiqua" w:hAnsi="Book Antiqua" w:cs="Times New Roman"/>
          <w:sz w:val="24"/>
          <w:szCs w:val="24"/>
        </w:rPr>
        <w:t>%)</w:t>
      </w:r>
      <w:r w:rsidR="002B642A" w:rsidRPr="00E4316D">
        <w:rPr>
          <w:rFonts w:ascii="Book Antiqua" w:hAnsi="Book Antiqua" w:cs="Times New Roman"/>
          <w:sz w:val="24"/>
          <w:szCs w:val="24"/>
        </w:rPr>
        <w:t>.</w:t>
      </w:r>
    </w:p>
    <w:p w:rsidR="00CE5841" w:rsidRPr="00A65ADE" w:rsidRDefault="00CE5841" w:rsidP="00CE5841">
      <w:pPr>
        <w:rPr>
          <w:rFonts w:ascii="Book Antiqua" w:hAnsi="Book Antiqua" w:cs="Times New Roman"/>
          <w:b/>
          <w:bCs/>
          <w:sz w:val="20"/>
          <w:szCs w:val="20"/>
        </w:rPr>
      </w:pPr>
    </w:p>
    <w:p w:rsidR="00BA209F" w:rsidRDefault="00BA209F">
      <w:pPr>
        <w:spacing w:after="200"/>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br w:type="page"/>
      </w:r>
    </w:p>
    <w:p w:rsidR="00CE5841" w:rsidRDefault="00CE5841" w:rsidP="00447023">
      <w:pPr>
        <w:spacing w:after="200"/>
        <w:jc w:val="center"/>
        <w:rPr>
          <w:rFonts w:ascii="Book Antiqua" w:eastAsia="Book Antiqua" w:hAnsi="Book Antiqua" w:cs="Book Antiqua"/>
          <w:b/>
          <w:color w:val="0070C0"/>
          <w:sz w:val="20"/>
          <w:szCs w:val="20"/>
        </w:rPr>
      </w:pPr>
      <w:r w:rsidRPr="00283BE3">
        <w:rPr>
          <w:rFonts w:ascii="Book Antiqua" w:eastAsia="Book Antiqua" w:hAnsi="Book Antiqua" w:cs="Book Antiqua"/>
          <w:b/>
          <w:color w:val="0070C0"/>
          <w:sz w:val="20"/>
          <w:szCs w:val="20"/>
        </w:rPr>
        <w:lastRenderedPageBreak/>
        <w:t xml:space="preserve">Graphique </w:t>
      </w:r>
      <w:r w:rsidR="00447023">
        <w:rPr>
          <w:rFonts w:ascii="Book Antiqua" w:eastAsia="Book Antiqua" w:hAnsi="Book Antiqua" w:cs="Book Antiqua"/>
          <w:b/>
          <w:color w:val="0070C0"/>
          <w:sz w:val="20"/>
          <w:szCs w:val="20"/>
        </w:rPr>
        <w:t>7</w:t>
      </w:r>
      <w:r>
        <w:rPr>
          <w:rFonts w:ascii="Book Antiqua" w:eastAsia="Book Antiqua" w:hAnsi="Book Antiqua" w:cs="Book Antiqua"/>
          <w:b/>
          <w:color w:val="0070C0"/>
          <w:sz w:val="20"/>
          <w:szCs w:val="20"/>
        </w:rPr>
        <w:t xml:space="preserve"> : </w:t>
      </w:r>
      <w:r w:rsidRPr="00283BE3">
        <w:rPr>
          <w:rFonts w:ascii="Book Antiqua" w:eastAsia="Book Antiqua" w:hAnsi="Book Antiqua" w:cs="Book Antiqua"/>
          <w:b/>
          <w:color w:val="0070C0"/>
          <w:sz w:val="20"/>
          <w:szCs w:val="20"/>
        </w:rPr>
        <w:t>Taux d’activité selon les régions au troisième trimestre de 202</w:t>
      </w:r>
      <w:r w:rsidR="009315C8">
        <w:rPr>
          <w:rFonts w:ascii="Book Antiqua" w:eastAsia="Book Antiqua" w:hAnsi="Book Antiqua" w:cs="Book Antiqua"/>
          <w:b/>
          <w:color w:val="0070C0"/>
          <w:sz w:val="20"/>
          <w:szCs w:val="20"/>
        </w:rPr>
        <w:t>4</w:t>
      </w:r>
      <w:r w:rsidRPr="00283BE3">
        <w:rPr>
          <w:rFonts w:ascii="Book Antiqua" w:eastAsia="Book Antiqua" w:hAnsi="Book Antiqua" w:cs="Book Antiqua"/>
          <w:b/>
          <w:color w:val="0070C0"/>
          <w:sz w:val="20"/>
          <w:szCs w:val="20"/>
        </w:rPr>
        <w:t xml:space="preserve"> (en%)</w:t>
      </w:r>
    </w:p>
    <w:p w:rsidR="009315C8" w:rsidRDefault="00A4385B" w:rsidP="00CE5841">
      <w:pPr>
        <w:jc w:val="center"/>
        <w:rPr>
          <w:rFonts w:ascii="Book Antiqua" w:eastAsia="Book Antiqua" w:hAnsi="Book Antiqua" w:cs="Book Antiqua"/>
          <w:b/>
          <w:color w:val="0070C0"/>
          <w:sz w:val="20"/>
          <w:szCs w:val="20"/>
        </w:rPr>
      </w:pPr>
      <w:r>
        <w:rPr>
          <w:noProof/>
        </w:rPr>
        <w:drawing>
          <wp:inline distT="0" distB="0" distL="0" distR="0">
            <wp:extent cx="5022850" cy="1866900"/>
            <wp:effectExtent l="0" t="0" r="0" b="0"/>
            <wp:docPr id="298308101" name="Chart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664BE7F7-3371-2145-7EEE-FA9DF01F92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315C8" w:rsidRPr="00283BE3" w:rsidRDefault="009315C8" w:rsidP="00CE5841">
      <w:pPr>
        <w:jc w:val="center"/>
        <w:rPr>
          <w:rFonts w:ascii="Book Antiqua" w:eastAsia="Book Antiqua" w:hAnsi="Book Antiqua" w:cs="Book Antiqua"/>
          <w:b/>
          <w:color w:val="0070C0"/>
          <w:sz w:val="20"/>
          <w:szCs w:val="20"/>
        </w:rPr>
      </w:pPr>
    </w:p>
    <w:p w:rsidR="00A4385B" w:rsidRDefault="00CE5841" w:rsidP="00267175">
      <w:pPr>
        <w:spacing w:line="360" w:lineRule="auto"/>
        <w:jc w:val="both"/>
        <w:rPr>
          <w:rFonts w:ascii="Book Antiqua" w:hAnsi="Book Antiqua" w:cs="Times New Roman"/>
          <w:sz w:val="24"/>
          <w:szCs w:val="24"/>
        </w:rPr>
      </w:pPr>
      <w:r w:rsidRPr="00E4316D">
        <w:rPr>
          <w:rFonts w:ascii="Book Antiqua" w:hAnsi="Book Antiqua" w:cs="Times New Roman"/>
          <w:sz w:val="24"/>
          <w:szCs w:val="24"/>
        </w:rPr>
        <w:t xml:space="preserve">Par ailleurs, six régions </w:t>
      </w:r>
      <w:r w:rsidRPr="00C7103B">
        <w:rPr>
          <w:rFonts w:ascii="Book Antiqua" w:hAnsi="Book Antiqua" w:cs="Times New Roman"/>
          <w:sz w:val="24"/>
          <w:szCs w:val="24"/>
        </w:rPr>
        <w:t xml:space="preserve">concentrent </w:t>
      </w:r>
      <w:r w:rsidR="00267175" w:rsidRPr="00C7103B">
        <w:rPr>
          <w:rFonts w:ascii="Book Antiqua" w:hAnsi="Book Antiqua" w:cs="Times New Roman"/>
          <w:sz w:val="24"/>
          <w:szCs w:val="24"/>
        </w:rPr>
        <w:t>plus</w:t>
      </w:r>
      <w:r w:rsidRPr="00C7103B">
        <w:rPr>
          <w:rFonts w:ascii="Book Antiqua" w:hAnsi="Book Antiqua" w:cs="Times New Roman"/>
          <w:sz w:val="24"/>
          <w:szCs w:val="24"/>
        </w:rPr>
        <w:t xml:space="preserve"> de trois quarts de chômeurs (7</w:t>
      </w:r>
      <w:r w:rsidR="00267175" w:rsidRPr="00C7103B">
        <w:rPr>
          <w:rFonts w:ascii="Book Antiqua" w:hAnsi="Book Antiqua" w:cs="Times New Roman"/>
          <w:sz w:val="24"/>
          <w:szCs w:val="24"/>
        </w:rPr>
        <w:t>8</w:t>
      </w:r>
      <w:r w:rsidRPr="00C7103B">
        <w:rPr>
          <w:rFonts w:ascii="Book Antiqua" w:hAnsi="Book Antiqua" w:cs="Times New Roman"/>
          <w:sz w:val="24"/>
          <w:szCs w:val="24"/>
        </w:rPr>
        <w:t>,</w:t>
      </w:r>
      <w:r w:rsidR="00267175" w:rsidRPr="00C7103B">
        <w:rPr>
          <w:rFonts w:ascii="Book Antiqua" w:hAnsi="Book Antiqua" w:cs="Times New Roman"/>
          <w:sz w:val="24"/>
          <w:szCs w:val="24"/>
        </w:rPr>
        <w:t>1</w:t>
      </w:r>
      <w:r w:rsidRPr="00C7103B">
        <w:rPr>
          <w:rFonts w:ascii="Book Antiqua" w:hAnsi="Book Antiqua" w:cs="Times New Roman"/>
          <w:sz w:val="24"/>
          <w:szCs w:val="24"/>
        </w:rPr>
        <w:t>%) au</w:t>
      </w:r>
      <w:r w:rsidRPr="00E4316D">
        <w:rPr>
          <w:rFonts w:ascii="Book Antiqua" w:hAnsi="Book Antiqua" w:cs="Times New Roman"/>
          <w:sz w:val="24"/>
          <w:szCs w:val="24"/>
        </w:rPr>
        <w:t xml:space="preserve"> niveau national. La région de Casablanca-Settat vient en première position avec 2</w:t>
      </w:r>
      <w:r w:rsidR="002B642A" w:rsidRPr="00E4316D">
        <w:rPr>
          <w:rFonts w:ascii="Book Antiqua" w:hAnsi="Book Antiqua" w:cs="Times New Roman"/>
          <w:sz w:val="24"/>
          <w:szCs w:val="24"/>
        </w:rPr>
        <w:t>4</w:t>
      </w:r>
      <w:r w:rsidRPr="00E4316D">
        <w:rPr>
          <w:rFonts w:ascii="Book Antiqua" w:hAnsi="Book Antiqua" w:cs="Times New Roman"/>
          <w:sz w:val="24"/>
          <w:szCs w:val="24"/>
        </w:rPr>
        <w:t>,</w:t>
      </w:r>
      <w:r w:rsidR="002B642A" w:rsidRPr="00E4316D">
        <w:rPr>
          <w:rFonts w:ascii="Book Antiqua" w:hAnsi="Book Antiqua" w:cs="Times New Roman"/>
          <w:sz w:val="24"/>
          <w:szCs w:val="24"/>
        </w:rPr>
        <w:t>9</w:t>
      </w:r>
      <w:r w:rsidRPr="00E4316D">
        <w:rPr>
          <w:rFonts w:ascii="Book Antiqua" w:hAnsi="Book Antiqua" w:cs="Times New Roman"/>
          <w:sz w:val="24"/>
          <w:szCs w:val="24"/>
        </w:rPr>
        <w:t>%, suivie de Fès-Meknès (13</w:t>
      </w:r>
      <w:r w:rsidR="002B642A" w:rsidRPr="00E4316D">
        <w:rPr>
          <w:rFonts w:ascii="Book Antiqua" w:hAnsi="Book Antiqua" w:cs="Times New Roman"/>
          <w:sz w:val="24"/>
          <w:szCs w:val="24"/>
        </w:rPr>
        <w:t>,3</w:t>
      </w:r>
      <w:r w:rsidRPr="00E4316D">
        <w:rPr>
          <w:rFonts w:ascii="Book Antiqua" w:hAnsi="Book Antiqua" w:cs="Times New Roman"/>
          <w:sz w:val="24"/>
          <w:szCs w:val="24"/>
        </w:rPr>
        <w:t>%), de Rabat-Salé-Kénitra (11,</w:t>
      </w:r>
      <w:r w:rsidR="002B642A" w:rsidRPr="00E4316D">
        <w:rPr>
          <w:rFonts w:ascii="Book Antiqua" w:hAnsi="Book Antiqua" w:cs="Times New Roman"/>
          <w:sz w:val="24"/>
          <w:szCs w:val="24"/>
        </w:rPr>
        <w:t>9</w:t>
      </w:r>
      <w:r w:rsidRPr="00E4316D">
        <w:rPr>
          <w:rFonts w:ascii="Book Antiqua" w:hAnsi="Book Antiqua" w:cs="Times New Roman"/>
          <w:sz w:val="24"/>
          <w:szCs w:val="24"/>
        </w:rPr>
        <w:t>%), de l’Oriental (</w:t>
      </w:r>
      <w:r w:rsidR="002B642A" w:rsidRPr="00E4316D">
        <w:rPr>
          <w:rFonts w:ascii="Book Antiqua" w:hAnsi="Book Antiqua" w:cs="Times New Roman"/>
          <w:sz w:val="24"/>
          <w:szCs w:val="24"/>
        </w:rPr>
        <w:t>10,2</w:t>
      </w:r>
      <w:r w:rsidRPr="00E4316D">
        <w:rPr>
          <w:rFonts w:ascii="Book Antiqua" w:hAnsi="Book Antiqua" w:cs="Times New Roman"/>
          <w:sz w:val="24"/>
          <w:szCs w:val="24"/>
        </w:rPr>
        <w:t>%) et de Marrakech-Safi (</w:t>
      </w:r>
      <w:r w:rsidR="002B642A" w:rsidRPr="00E4316D">
        <w:rPr>
          <w:rFonts w:ascii="Book Antiqua" w:hAnsi="Book Antiqua" w:cs="Times New Roman"/>
          <w:sz w:val="24"/>
          <w:szCs w:val="24"/>
        </w:rPr>
        <w:t>9,4</w:t>
      </w:r>
      <w:r w:rsidRPr="00E4316D">
        <w:rPr>
          <w:rFonts w:ascii="Book Antiqua" w:hAnsi="Book Antiqua" w:cs="Times New Roman"/>
          <w:sz w:val="24"/>
          <w:szCs w:val="24"/>
        </w:rPr>
        <w:t>%)</w:t>
      </w:r>
      <w:r w:rsidR="00267175">
        <w:rPr>
          <w:rFonts w:ascii="Book Antiqua" w:hAnsi="Book Antiqua" w:cs="Times New Roman"/>
          <w:sz w:val="24"/>
          <w:szCs w:val="24"/>
        </w:rPr>
        <w:t xml:space="preserve"> et</w:t>
      </w:r>
      <w:r w:rsidR="002B642A" w:rsidRPr="00E4316D">
        <w:rPr>
          <w:rFonts w:ascii="Book Antiqua" w:hAnsi="Book Antiqua" w:cs="Times New Roman"/>
          <w:sz w:val="24"/>
          <w:szCs w:val="24"/>
        </w:rPr>
        <w:t xml:space="preserve"> de </w:t>
      </w:r>
      <w:r w:rsidR="002B642A" w:rsidRPr="002B642A">
        <w:rPr>
          <w:rFonts w:ascii="Book Antiqua" w:hAnsi="Book Antiqua" w:cs="Times New Roman"/>
          <w:sz w:val="24"/>
          <w:szCs w:val="24"/>
        </w:rPr>
        <w:t>Tanger-Tétouan-Al</w:t>
      </w:r>
      <w:r w:rsidR="00B620DE" w:rsidRPr="00E4316D">
        <w:rPr>
          <w:rFonts w:ascii="Book Antiqua" w:hAnsi="Book Antiqua" w:cs="Times New Roman"/>
          <w:sz w:val="24"/>
          <w:szCs w:val="24"/>
        </w:rPr>
        <w:t xml:space="preserve"> Hoceima</w:t>
      </w:r>
      <w:r w:rsidR="002B642A" w:rsidRPr="00E4316D">
        <w:rPr>
          <w:rFonts w:ascii="Book Antiqua" w:hAnsi="Book Antiqua" w:cs="Times New Roman"/>
          <w:sz w:val="24"/>
          <w:szCs w:val="24"/>
        </w:rPr>
        <w:t xml:space="preserve"> (8,4%)</w:t>
      </w:r>
      <w:r w:rsidR="00267175">
        <w:rPr>
          <w:rFonts w:ascii="Book Antiqua" w:hAnsi="Book Antiqua" w:cs="Times New Roman"/>
          <w:sz w:val="24"/>
          <w:szCs w:val="24"/>
        </w:rPr>
        <w:t>.</w:t>
      </w:r>
      <w:r w:rsidRPr="00E4316D">
        <w:rPr>
          <w:rFonts w:ascii="Book Antiqua" w:hAnsi="Book Antiqua" w:cs="Times New Roman"/>
          <w:sz w:val="24"/>
          <w:szCs w:val="24"/>
        </w:rPr>
        <w:t xml:space="preserve"> </w:t>
      </w:r>
    </w:p>
    <w:p w:rsidR="00B620DE" w:rsidRPr="00A4385B" w:rsidRDefault="00CE5841" w:rsidP="00A4385B">
      <w:pPr>
        <w:spacing w:line="360" w:lineRule="auto"/>
        <w:jc w:val="center"/>
        <w:rPr>
          <w:rFonts w:ascii="Book Antiqua" w:hAnsi="Book Antiqua" w:cs="Times New Roman"/>
          <w:sz w:val="24"/>
          <w:szCs w:val="24"/>
        </w:rPr>
      </w:pPr>
      <w:r w:rsidRPr="00283BE3">
        <w:rPr>
          <w:rFonts w:ascii="Book Antiqua" w:eastAsia="Book Antiqua" w:hAnsi="Book Antiqua" w:cs="Book Antiqua"/>
          <w:b/>
          <w:color w:val="0070C0"/>
          <w:sz w:val="20"/>
          <w:szCs w:val="20"/>
        </w:rPr>
        <w:t xml:space="preserve">Graphique </w:t>
      </w:r>
      <w:r w:rsidR="00664987">
        <w:rPr>
          <w:rFonts w:ascii="Book Antiqua" w:eastAsia="Book Antiqua" w:hAnsi="Book Antiqua" w:cs="Book Antiqua"/>
          <w:b/>
          <w:color w:val="0070C0"/>
          <w:sz w:val="20"/>
          <w:szCs w:val="20"/>
        </w:rPr>
        <w:t>8</w:t>
      </w:r>
      <w:r>
        <w:rPr>
          <w:rFonts w:ascii="Book Antiqua" w:eastAsia="Book Antiqua" w:hAnsi="Book Antiqua" w:cs="Book Antiqua"/>
          <w:b/>
          <w:color w:val="0070C0"/>
          <w:sz w:val="20"/>
          <w:szCs w:val="20"/>
        </w:rPr>
        <w:t> :</w:t>
      </w:r>
      <w:r w:rsidRPr="00283BE3">
        <w:rPr>
          <w:rFonts w:ascii="Book Antiqua" w:eastAsia="Book Antiqua" w:hAnsi="Book Antiqua" w:cs="Book Antiqua"/>
          <w:b/>
          <w:color w:val="0070C0"/>
          <w:sz w:val="20"/>
          <w:szCs w:val="20"/>
        </w:rPr>
        <w:t xml:space="preserve"> Taux de chômage selon les régions au troisième trimestre de202</w:t>
      </w:r>
      <w:r w:rsidR="002B642A">
        <w:rPr>
          <w:rFonts w:ascii="Book Antiqua" w:eastAsia="Book Antiqua" w:hAnsi="Book Antiqua" w:cs="Book Antiqua"/>
          <w:b/>
          <w:color w:val="0070C0"/>
          <w:sz w:val="20"/>
          <w:szCs w:val="20"/>
        </w:rPr>
        <w:t>4</w:t>
      </w:r>
      <w:r w:rsidRPr="00283BE3">
        <w:rPr>
          <w:rFonts w:ascii="Book Antiqua" w:eastAsia="Book Antiqua" w:hAnsi="Book Antiqua" w:cs="Book Antiqua"/>
          <w:b/>
          <w:color w:val="0070C0"/>
          <w:sz w:val="20"/>
          <w:szCs w:val="20"/>
        </w:rPr>
        <w:t xml:space="preserve"> (en%)</w:t>
      </w:r>
      <w:r w:rsidR="00B620DE">
        <w:rPr>
          <w:noProof/>
        </w:rPr>
        <w:drawing>
          <wp:inline distT="0" distB="0" distL="0" distR="0">
            <wp:extent cx="5308600" cy="2120900"/>
            <wp:effectExtent l="0" t="0" r="0" b="0"/>
            <wp:docPr id="1460717737" name="Chart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DFD06A48-9EF9-C6FA-7AD6-D89587D08B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E5841" w:rsidRDefault="001D1178" w:rsidP="001D1178">
      <w:pPr>
        <w:spacing w:line="360" w:lineRule="auto"/>
        <w:jc w:val="lowKashida"/>
        <w:rPr>
          <w:rFonts w:ascii="Book Antiqua" w:eastAsia="Book Antiqua" w:hAnsi="Book Antiqua" w:cs="Book Antiqua"/>
          <w:b/>
          <w:color w:val="0070C0"/>
          <w:sz w:val="24"/>
          <w:szCs w:val="24"/>
        </w:rPr>
      </w:pPr>
      <w:r w:rsidRPr="00F70677">
        <w:rPr>
          <w:rFonts w:ascii="Book Antiqua" w:hAnsi="Book Antiqua" w:cs="Times New Roman"/>
          <w:sz w:val="24"/>
          <w:szCs w:val="24"/>
        </w:rPr>
        <w:t>Les taux de chômage les plus élevés sont enregistrés dans les régions du Sud (24,3%), de l’Oriental (21,4%), de Casablanca-Settat (15,3%) et de Fès-Meknès (15,2%). En revanche, les régions de Marrakech-Safi et de Tanger-Tétouan-Al Hoceïma affichent les taux les plus bas, avec 9,9%.</w:t>
      </w:r>
      <w:r w:rsidR="00CE5841">
        <w:rPr>
          <w:rFonts w:ascii="Book Antiqua" w:eastAsia="Book Antiqua" w:hAnsi="Book Antiqua" w:cs="Book Antiqua"/>
          <w:b/>
          <w:color w:val="0070C0"/>
          <w:sz w:val="24"/>
          <w:szCs w:val="24"/>
        </w:rPr>
        <w:br w:type="page"/>
      </w:r>
    </w:p>
    <w:p w:rsidR="00DA2942" w:rsidRPr="009660EC" w:rsidRDefault="00DA2942" w:rsidP="00F70677">
      <w:pPr>
        <w:spacing w:before="240" w:after="240" w:line="312" w:lineRule="auto"/>
        <w:contextualSpacing/>
        <w:jc w:val="center"/>
        <w:rPr>
          <w:rFonts w:ascii="Book Antiqua" w:eastAsia="Book Antiqua" w:hAnsi="Book Antiqua" w:cs="Book Antiqua"/>
          <w:b/>
          <w:color w:val="0070C0"/>
          <w:sz w:val="20"/>
          <w:szCs w:val="20"/>
        </w:rPr>
      </w:pPr>
      <w:r w:rsidRPr="009660EC">
        <w:rPr>
          <w:rFonts w:ascii="Book Antiqua" w:eastAsia="Book Antiqua" w:hAnsi="Book Antiqua" w:cs="Book Antiqua"/>
          <w:b/>
          <w:color w:val="0070C0"/>
          <w:sz w:val="20"/>
          <w:szCs w:val="20"/>
        </w:rPr>
        <w:lastRenderedPageBreak/>
        <w:t>Tableau 1 : Indicateurs trimestriels d’activité, d’emploi et de chômage par milieu de résidence.</w:t>
      </w:r>
    </w:p>
    <w:tbl>
      <w:tblPr>
        <w:tblStyle w:val="Grilledutableau"/>
        <w:tblW w:w="0" w:type="auto"/>
        <w:jc w:val="center"/>
        <w:tblCellMar>
          <w:left w:w="57" w:type="dxa"/>
          <w:right w:w="57" w:type="dxa"/>
        </w:tblCellMar>
        <w:tblLook w:val="04A0"/>
      </w:tblPr>
      <w:tblGrid>
        <w:gridCol w:w="3452"/>
        <w:gridCol w:w="930"/>
        <w:gridCol w:w="928"/>
        <w:gridCol w:w="948"/>
        <w:gridCol w:w="928"/>
        <w:gridCol w:w="928"/>
        <w:gridCol w:w="948"/>
      </w:tblGrid>
      <w:tr w:rsidR="00DA2942" w:rsidRPr="009660EC" w:rsidTr="00F54174">
        <w:trPr>
          <w:trHeight w:val="287"/>
          <w:jc w:val="center"/>
        </w:trPr>
        <w:tc>
          <w:tcPr>
            <w:tcW w:w="34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tl/>
              </w:rPr>
              <w:t> </w:t>
            </w:r>
          </w:p>
        </w:tc>
        <w:tc>
          <w:tcPr>
            <w:tcW w:w="28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A65ADE" w:rsidP="005750A6">
            <w:pPr>
              <w:spacing w:before="240" w:after="240" w:line="312" w:lineRule="auto"/>
              <w:contextualSpacing/>
              <w:jc w:val="center"/>
              <w:rPr>
                <w:rFonts w:asciiTheme="majorBidi" w:hAnsiTheme="majorBidi" w:cstheme="majorBidi"/>
                <w:b/>
                <w:bCs/>
                <w:sz w:val="20"/>
                <w:szCs w:val="20"/>
              </w:rPr>
            </w:pPr>
            <w:r w:rsidRPr="009660EC">
              <w:rPr>
                <w:rFonts w:ascii="Book Antiqua" w:eastAsia="Book Antiqua" w:hAnsi="Book Antiqua" w:cs="Book Antiqua"/>
                <w:b/>
                <w:bCs/>
                <w:sz w:val="20"/>
                <w:szCs w:val="20"/>
              </w:rPr>
              <w:t>3</w:t>
            </w:r>
            <w:r w:rsidR="00DA2942" w:rsidRPr="009660EC">
              <w:rPr>
                <w:rFonts w:ascii="Book Antiqua" w:eastAsia="Book Antiqua" w:hAnsi="Book Antiqua" w:cs="Book Antiqua"/>
                <w:b/>
                <w:bCs/>
                <w:sz w:val="20"/>
                <w:szCs w:val="20"/>
                <w:vertAlign w:val="superscript"/>
              </w:rPr>
              <w:t>ème</w:t>
            </w:r>
            <w:r w:rsidR="00DA2942" w:rsidRPr="009660EC">
              <w:rPr>
                <w:rFonts w:ascii="Book Antiqua" w:eastAsia="Book Antiqua" w:hAnsi="Book Antiqua" w:cs="Book Antiqua"/>
                <w:b/>
                <w:bCs/>
                <w:sz w:val="20"/>
                <w:szCs w:val="20"/>
              </w:rPr>
              <w:t xml:space="preserve"> trimestre </w:t>
            </w:r>
            <w:r w:rsidR="005750A6">
              <w:rPr>
                <w:rFonts w:ascii="Book Antiqua" w:eastAsia="Book Antiqua" w:hAnsi="Book Antiqua" w:cs="Book Antiqua"/>
                <w:b/>
                <w:bCs/>
                <w:sz w:val="20"/>
                <w:szCs w:val="20"/>
              </w:rPr>
              <w:t>de 2023</w:t>
            </w:r>
          </w:p>
        </w:tc>
        <w:tc>
          <w:tcPr>
            <w:tcW w:w="28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A65ADE" w:rsidP="005750A6">
            <w:pPr>
              <w:spacing w:before="240" w:after="240" w:line="312" w:lineRule="auto"/>
              <w:contextualSpacing/>
              <w:jc w:val="center"/>
              <w:rPr>
                <w:rFonts w:asciiTheme="majorBidi" w:hAnsiTheme="majorBidi" w:cstheme="majorBidi"/>
                <w:b/>
                <w:bCs/>
                <w:sz w:val="20"/>
                <w:szCs w:val="20"/>
              </w:rPr>
            </w:pPr>
            <w:r w:rsidRPr="009660EC">
              <w:rPr>
                <w:rFonts w:ascii="Book Antiqua" w:eastAsia="Book Antiqua" w:hAnsi="Book Antiqua" w:cs="Book Antiqua"/>
                <w:b/>
                <w:bCs/>
                <w:sz w:val="20"/>
                <w:szCs w:val="20"/>
              </w:rPr>
              <w:t>3</w:t>
            </w:r>
            <w:r w:rsidR="00DA2942" w:rsidRPr="009660EC">
              <w:rPr>
                <w:rFonts w:ascii="Book Antiqua" w:eastAsia="Book Antiqua" w:hAnsi="Book Antiqua" w:cs="Book Antiqua"/>
                <w:b/>
                <w:bCs/>
                <w:sz w:val="20"/>
                <w:szCs w:val="20"/>
                <w:vertAlign w:val="superscript"/>
              </w:rPr>
              <w:t>ème</w:t>
            </w:r>
            <w:r w:rsidR="00DA2942" w:rsidRPr="009660EC">
              <w:rPr>
                <w:rFonts w:ascii="Book Antiqua" w:eastAsia="Book Antiqua" w:hAnsi="Book Antiqua" w:cs="Book Antiqua"/>
                <w:b/>
                <w:bCs/>
                <w:sz w:val="20"/>
                <w:szCs w:val="20"/>
              </w:rPr>
              <w:t xml:space="preserve"> trimestre de 202</w:t>
            </w:r>
            <w:r w:rsidR="005750A6">
              <w:rPr>
                <w:rFonts w:ascii="Book Antiqua" w:eastAsia="Book Antiqua" w:hAnsi="Book Antiqua" w:cs="Book Antiqua"/>
                <w:b/>
                <w:bCs/>
                <w:sz w:val="20"/>
                <w:szCs w:val="20"/>
              </w:rPr>
              <w:t>4</w:t>
            </w:r>
          </w:p>
        </w:tc>
      </w:tr>
      <w:tr w:rsidR="00DA2942" w:rsidRPr="009660EC" w:rsidTr="00F54174">
        <w:trPr>
          <w:trHeight w:val="287"/>
          <w:jc w:val="center"/>
        </w:trPr>
        <w:tc>
          <w:tcPr>
            <w:tcW w:w="34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A2942" w:rsidRPr="009660EC" w:rsidRDefault="00DA2942" w:rsidP="00A810BF">
            <w:pPr>
              <w:spacing w:before="240" w:after="240" w:line="312" w:lineRule="auto"/>
              <w:contextualSpacing/>
              <w:rPr>
                <w:rFonts w:asciiTheme="majorBidi" w:eastAsia="Times New Roman" w:hAnsiTheme="majorBidi" w:cstheme="majorBidi"/>
                <w:sz w:val="20"/>
                <w:szCs w:val="20"/>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Urbain</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Rural</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Ensemble</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Urbain</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Rural</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Ensemble</w:t>
            </w:r>
          </w:p>
        </w:tc>
      </w:tr>
      <w:tr w:rsidR="00DA2942" w:rsidRPr="009660EC" w:rsidTr="00F54174">
        <w:trPr>
          <w:trHeight w:val="287"/>
          <w:jc w:val="center"/>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eastAsia="Times New Roman" w:hAnsiTheme="majorBidi" w:cstheme="majorBidi"/>
                <w:b/>
                <w:bCs/>
                <w:color w:val="365F91" w:themeColor="accent1" w:themeShade="BF"/>
                <w:sz w:val="20"/>
                <w:szCs w:val="20"/>
              </w:rPr>
            </w:pPr>
            <w:r w:rsidRPr="009660EC">
              <w:rPr>
                <w:rFonts w:asciiTheme="majorBidi" w:eastAsia="Times New Roman" w:hAnsiTheme="majorBidi" w:cstheme="majorBidi"/>
                <w:b/>
                <w:bCs/>
                <w:color w:val="365F91" w:themeColor="accent1" w:themeShade="BF"/>
                <w:sz w:val="20"/>
                <w:szCs w:val="20"/>
              </w:rPr>
              <w:t>Activité (des 15 ans et plus)</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Population active (en milliers)</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1"/>
              <w:contextualSpacing/>
              <w:jc w:val="center"/>
              <w:rPr>
                <w:rFonts w:ascii="Garamond" w:hAnsi="Garamond" w:cs="Calibri"/>
                <w:b/>
                <w:bCs/>
                <w:color w:val="010205"/>
              </w:rPr>
            </w:pPr>
            <w:r w:rsidRPr="00882C49">
              <w:rPr>
                <w:rFonts w:ascii="Garamond" w:hAnsi="Garamond" w:cs="Calibri"/>
                <w:b/>
                <w:bCs/>
                <w:color w:val="010205"/>
              </w:rPr>
              <w:t>7</w:t>
            </w:r>
            <w:r w:rsidR="00F70677" w:rsidRPr="00882C49">
              <w:rPr>
                <w:rFonts w:ascii="Garamond" w:hAnsi="Garamond" w:cs="Calibri"/>
                <w:b/>
                <w:bCs/>
                <w:color w:val="010205"/>
              </w:rPr>
              <w:t>.</w:t>
            </w:r>
            <w:r w:rsidRPr="00882C49">
              <w:rPr>
                <w:rFonts w:ascii="Garamond" w:hAnsi="Garamond" w:cs="Calibri"/>
                <w:b/>
                <w:bCs/>
                <w:color w:val="010205"/>
              </w:rPr>
              <w:t>773</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1"/>
              <w:contextualSpacing/>
              <w:jc w:val="center"/>
              <w:rPr>
                <w:rFonts w:ascii="Garamond" w:hAnsi="Garamond" w:cs="Calibri"/>
                <w:b/>
                <w:bCs/>
                <w:color w:val="010205"/>
              </w:rPr>
            </w:pPr>
            <w:r w:rsidRPr="00882C49">
              <w:rPr>
                <w:rFonts w:ascii="Garamond" w:hAnsi="Garamond" w:cs="Calibri"/>
                <w:b/>
                <w:bCs/>
                <w:color w:val="010205"/>
              </w:rPr>
              <w:t>4</w:t>
            </w:r>
            <w:r w:rsidR="00F70677" w:rsidRPr="00882C49">
              <w:rPr>
                <w:rFonts w:ascii="Garamond" w:hAnsi="Garamond" w:cs="Calibri"/>
                <w:b/>
                <w:bCs/>
                <w:color w:val="010205"/>
              </w:rPr>
              <w:t>.</w:t>
            </w:r>
            <w:r w:rsidRPr="00882C49">
              <w:rPr>
                <w:rFonts w:ascii="Garamond" w:hAnsi="Garamond" w:cs="Calibri"/>
                <w:b/>
                <w:bCs/>
                <w:color w:val="010205"/>
              </w:rPr>
              <w:t>305</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1"/>
              <w:contextualSpacing/>
              <w:jc w:val="center"/>
              <w:rPr>
                <w:rFonts w:ascii="Garamond" w:hAnsi="Garamond" w:cs="Calibri"/>
                <w:b/>
                <w:bCs/>
                <w:color w:val="010205"/>
              </w:rPr>
            </w:pPr>
            <w:r w:rsidRPr="00882C49">
              <w:rPr>
                <w:rFonts w:ascii="Garamond" w:hAnsi="Garamond" w:cs="Calibri"/>
                <w:b/>
                <w:bCs/>
                <w:color w:val="010205"/>
              </w:rPr>
              <w:t>12</w:t>
            </w:r>
            <w:r w:rsidR="00F70677" w:rsidRPr="00882C49">
              <w:rPr>
                <w:rFonts w:ascii="Garamond" w:hAnsi="Garamond" w:cs="Calibri"/>
                <w:b/>
                <w:bCs/>
                <w:color w:val="010205"/>
              </w:rPr>
              <w:t>.</w:t>
            </w:r>
            <w:r w:rsidRPr="00882C49">
              <w:rPr>
                <w:rFonts w:ascii="Garamond" w:hAnsi="Garamond" w:cs="Calibri"/>
                <w:b/>
                <w:bCs/>
                <w:color w:val="010205"/>
              </w:rPr>
              <w:t>078</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1"/>
              <w:contextualSpacing/>
              <w:jc w:val="center"/>
              <w:rPr>
                <w:rFonts w:ascii="Garamond" w:hAnsi="Garamond" w:cs="Calibri"/>
                <w:b/>
                <w:bCs/>
                <w:color w:val="010205"/>
                <w:sz w:val="20"/>
                <w:szCs w:val="20"/>
              </w:rPr>
            </w:pPr>
            <w:r>
              <w:rPr>
                <w:rFonts w:ascii="Garamond" w:hAnsi="Garamond" w:cs="Calibri"/>
                <w:b/>
                <w:bCs/>
                <w:color w:val="010205"/>
              </w:rPr>
              <w:t>8.045</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1"/>
              <w:contextualSpacing/>
              <w:jc w:val="center"/>
              <w:rPr>
                <w:rFonts w:ascii="Garamond" w:hAnsi="Garamond" w:cs="Calibri"/>
                <w:b/>
                <w:bCs/>
                <w:color w:val="010205"/>
                <w:sz w:val="20"/>
                <w:szCs w:val="20"/>
              </w:rPr>
            </w:pPr>
            <w:r>
              <w:rPr>
                <w:rFonts w:ascii="Garamond" w:hAnsi="Garamond" w:cs="Calibri"/>
                <w:b/>
                <w:bCs/>
                <w:color w:val="010205"/>
              </w:rPr>
              <w:t>4.304</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1"/>
              <w:contextualSpacing/>
              <w:jc w:val="center"/>
              <w:rPr>
                <w:rFonts w:ascii="Garamond" w:hAnsi="Garamond" w:cs="Calibri"/>
                <w:b/>
                <w:bCs/>
                <w:color w:val="010205"/>
                <w:sz w:val="20"/>
                <w:szCs w:val="20"/>
              </w:rPr>
            </w:pPr>
            <w:r>
              <w:rPr>
                <w:rFonts w:ascii="Garamond" w:hAnsi="Garamond" w:cs="Calibri"/>
                <w:b/>
                <w:bCs/>
                <w:color w:val="010205"/>
              </w:rPr>
              <w:t>12.349</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Taux de féminisation de la population active (%)</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center"/>
              <w:rPr>
                <w:rFonts w:ascii="Garamond" w:hAnsi="Garamond" w:cs="Calibri"/>
                <w:color w:val="000000"/>
              </w:rPr>
            </w:pPr>
            <w:r w:rsidRPr="00882C49">
              <w:rPr>
                <w:rFonts w:ascii="Garamond" w:hAnsi="Garamond" w:cs="Calibri"/>
                <w:color w:val="000000"/>
              </w:rPr>
              <w:t>23,2</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center"/>
              <w:rPr>
                <w:rFonts w:ascii="Garamond" w:hAnsi="Garamond" w:cs="Calibri"/>
                <w:color w:val="000000"/>
              </w:rPr>
            </w:pPr>
            <w:r w:rsidRPr="00882C49">
              <w:rPr>
                <w:rFonts w:ascii="Garamond" w:hAnsi="Garamond" w:cs="Calibri"/>
                <w:color w:val="000000"/>
              </w:rPr>
              <w:t>18,8</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center"/>
              <w:rPr>
                <w:rFonts w:ascii="Garamond" w:hAnsi="Garamond" w:cs="Calibri"/>
                <w:color w:val="000000"/>
              </w:rPr>
            </w:pPr>
            <w:r w:rsidRPr="00882C49">
              <w:rPr>
                <w:rFonts w:ascii="Garamond" w:hAnsi="Garamond" w:cs="Calibri"/>
                <w:color w:val="000000"/>
              </w:rPr>
              <w:t>21,6</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24,3</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18,5</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22,3</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Taux d'activité (%)</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center"/>
              <w:rPr>
                <w:rFonts w:ascii="Garamond" w:hAnsi="Garamond" w:cs="Calibri"/>
                <w:color w:val="000000"/>
              </w:rPr>
            </w:pPr>
            <w:r w:rsidRPr="00882C49">
              <w:rPr>
                <w:rFonts w:ascii="Garamond" w:hAnsi="Garamond" w:cs="Calibri"/>
                <w:color w:val="000000"/>
              </w:rPr>
              <w:t>41,9</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center"/>
              <w:rPr>
                <w:rFonts w:ascii="Garamond" w:hAnsi="Garamond" w:cs="Calibri"/>
                <w:color w:val="000000"/>
              </w:rPr>
            </w:pPr>
            <w:r w:rsidRPr="00882C49">
              <w:rPr>
                <w:rFonts w:ascii="Garamond" w:hAnsi="Garamond" w:cs="Calibri"/>
                <w:color w:val="000000"/>
              </w:rPr>
              <w:t>45,8</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center"/>
              <w:rPr>
                <w:rFonts w:ascii="Garamond" w:hAnsi="Garamond" w:cs="Calibri"/>
                <w:color w:val="000000"/>
              </w:rPr>
            </w:pPr>
            <w:r w:rsidRPr="00882C49">
              <w:rPr>
                <w:rFonts w:ascii="Garamond" w:hAnsi="Garamond" w:cs="Calibri"/>
                <w:color w:val="000000"/>
              </w:rPr>
              <w:t>43,2</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42,5</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45,7</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43,6</w:t>
            </w:r>
          </w:p>
        </w:tc>
      </w:tr>
      <w:tr w:rsidR="00F54174" w:rsidRPr="009660EC" w:rsidTr="00F54174">
        <w:trPr>
          <w:trHeight w:val="287"/>
          <w:jc w:val="center"/>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F54174" w:rsidRPr="009660EC" w:rsidRDefault="00F54174" w:rsidP="00F54174">
            <w:pPr>
              <w:spacing w:before="240" w:after="240" w:line="312" w:lineRule="auto"/>
              <w:contextualSpacing/>
              <w:rPr>
                <w:rFonts w:asciiTheme="majorBidi" w:eastAsia="Times New Roman" w:hAnsiTheme="majorBidi" w:cstheme="majorBidi"/>
                <w:i/>
                <w:iCs/>
                <w:sz w:val="20"/>
                <w:szCs w:val="20"/>
              </w:rPr>
            </w:pPr>
            <w:r w:rsidRPr="009660EC">
              <w:rPr>
                <w:rFonts w:asciiTheme="majorBidi" w:eastAsia="Times New Roman" w:hAnsiTheme="majorBidi" w:cstheme="majorBidi"/>
                <w:i/>
                <w:iCs/>
                <w:sz w:val="20"/>
                <w:szCs w:val="20"/>
              </w:rPr>
              <w:t>• Selon le sexe</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Hommes</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center"/>
              <w:rPr>
                <w:rFonts w:ascii="Garamond" w:hAnsi="Garamond" w:cs="Calibri"/>
                <w:color w:val="000000"/>
              </w:rPr>
            </w:pPr>
            <w:r w:rsidRPr="00882C49">
              <w:rPr>
                <w:rFonts w:ascii="Garamond" w:hAnsi="Garamond" w:cs="Calibri"/>
                <w:color w:val="000000"/>
              </w:rPr>
              <w:t>66,5</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center"/>
              <w:rPr>
                <w:rFonts w:ascii="Garamond" w:hAnsi="Garamond" w:cs="Calibri"/>
                <w:color w:val="000000"/>
              </w:rPr>
            </w:pPr>
            <w:r w:rsidRPr="00882C49">
              <w:rPr>
                <w:rFonts w:ascii="Garamond" w:hAnsi="Garamond" w:cs="Calibri"/>
                <w:color w:val="000000"/>
              </w:rPr>
              <w:t>73,0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center"/>
              <w:rPr>
                <w:rFonts w:ascii="Garamond" w:hAnsi="Garamond" w:cs="Calibri"/>
                <w:color w:val="000000"/>
              </w:rPr>
            </w:pPr>
            <w:r w:rsidRPr="00882C49">
              <w:rPr>
                <w:rFonts w:ascii="Garamond" w:hAnsi="Garamond" w:cs="Calibri"/>
                <w:color w:val="000000"/>
              </w:rPr>
              <w:t>68,7</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66,4</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72,8</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68,6</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Femmes</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center"/>
              <w:rPr>
                <w:rFonts w:ascii="Garamond" w:hAnsi="Garamond" w:cs="Calibri"/>
                <w:color w:val="000000"/>
              </w:rPr>
            </w:pPr>
            <w:r w:rsidRPr="00882C49">
              <w:rPr>
                <w:rFonts w:ascii="Garamond" w:hAnsi="Garamond" w:cs="Calibri"/>
                <w:color w:val="000000"/>
              </w:rPr>
              <w:t>18,8</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center"/>
              <w:rPr>
                <w:rFonts w:ascii="Garamond" w:hAnsi="Garamond" w:cs="Calibri"/>
                <w:color w:val="000000"/>
              </w:rPr>
            </w:pPr>
            <w:r w:rsidRPr="00882C49">
              <w:rPr>
                <w:rFonts w:ascii="Garamond" w:hAnsi="Garamond" w:cs="Calibri"/>
                <w:color w:val="000000"/>
              </w:rPr>
              <w:t>17,6</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center"/>
              <w:rPr>
                <w:rFonts w:ascii="Garamond" w:hAnsi="Garamond" w:cs="Calibri"/>
                <w:color w:val="000000"/>
              </w:rPr>
            </w:pPr>
            <w:r w:rsidRPr="00882C49">
              <w:rPr>
                <w:rFonts w:ascii="Garamond" w:hAnsi="Garamond" w:cs="Calibri"/>
                <w:color w:val="000000"/>
              </w:rPr>
              <w:t>18,4</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20,1</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17,3</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19,2</w:t>
            </w:r>
          </w:p>
        </w:tc>
      </w:tr>
      <w:tr w:rsidR="00F54174" w:rsidRPr="009660EC" w:rsidTr="00F54174">
        <w:trPr>
          <w:trHeight w:val="287"/>
          <w:jc w:val="center"/>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F54174" w:rsidRPr="009660EC" w:rsidRDefault="00F54174" w:rsidP="00F54174">
            <w:pPr>
              <w:spacing w:before="240" w:after="240" w:line="312" w:lineRule="auto"/>
              <w:contextualSpacing/>
              <w:rPr>
                <w:rFonts w:asciiTheme="majorBidi" w:eastAsia="Times New Roman" w:hAnsiTheme="majorBidi" w:cstheme="majorBidi"/>
                <w:i/>
                <w:iCs/>
                <w:sz w:val="20"/>
                <w:szCs w:val="20"/>
              </w:rPr>
            </w:pPr>
            <w:r w:rsidRPr="009660EC">
              <w:rPr>
                <w:rFonts w:asciiTheme="majorBidi" w:eastAsia="Times New Roman" w:hAnsiTheme="majorBidi" w:cstheme="majorBidi"/>
                <w:i/>
                <w:iCs/>
                <w:sz w:val="20"/>
                <w:szCs w:val="20"/>
              </w:rPr>
              <w:t>• Selon l'âge</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15-24 ans</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20,4</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23,8</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21,8</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21,7</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23,9</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22,6</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25-34 ans</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61,3</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57,7</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60,2</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62,2</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58,8</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61,1</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35-44 ans</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56,1</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61,0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57,6</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56,9</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60,1</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57,9</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45 ans et plus</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35,0</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47,5</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39,1</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35,1</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46,9</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38,9</w:t>
            </w:r>
          </w:p>
        </w:tc>
      </w:tr>
      <w:tr w:rsidR="00F54174" w:rsidRPr="009660EC" w:rsidTr="00F54174">
        <w:trPr>
          <w:trHeight w:val="287"/>
          <w:jc w:val="center"/>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F54174" w:rsidRPr="009660EC" w:rsidRDefault="00F54174" w:rsidP="00F54174">
            <w:pPr>
              <w:spacing w:before="240" w:after="240" w:line="312" w:lineRule="auto"/>
              <w:contextualSpacing/>
              <w:rPr>
                <w:rFonts w:asciiTheme="majorBidi" w:eastAsia="Times New Roman" w:hAnsiTheme="majorBidi" w:cstheme="majorBidi"/>
                <w:i/>
                <w:iCs/>
                <w:sz w:val="20"/>
                <w:szCs w:val="20"/>
              </w:rPr>
            </w:pPr>
            <w:r w:rsidRPr="009660EC">
              <w:rPr>
                <w:rFonts w:asciiTheme="majorBidi" w:eastAsia="Times New Roman" w:hAnsiTheme="majorBidi" w:cstheme="majorBidi"/>
                <w:i/>
                <w:iCs/>
                <w:sz w:val="20"/>
                <w:szCs w:val="20"/>
              </w:rPr>
              <w:t>• Selon le diplôme</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Non diplômés</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33,4</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47,4</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39,7</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33,3</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47,0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39,5</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Diplômés</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47,5</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43,0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46,5</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48,4</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43,3</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47,2</w:t>
            </w:r>
          </w:p>
        </w:tc>
      </w:tr>
      <w:tr w:rsidR="00F54174" w:rsidRPr="009660EC" w:rsidTr="00F54174">
        <w:trPr>
          <w:trHeight w:val="287"/>
          <w:jc w:val="center"/>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F54174" w:rsidRPr="009660EC" w:rsidRDefault="00F54174" w:rsidP="00F54174">
            <w:pPr>
              <w:spacing w:before="240" w:after="240" w:line="312" w:lineRule="auto"/>
              <w:contextualSpacing/>
              <w:rPr>
                <w:rFonts w:asciiTheme="majorBidi" w:eastAsia="Times New Roman" w:hAnsiTheme="majorBidi" w:cstheme="majorBidi"/>
                <w:b/>
                <w:bCs/>
                <w:color w:val="365F91" w:themeColor="accent1" w:themeShade="BF"/>
                <w:sz w:val="20"/>
                <w:szCs w:val="20"/>
              </w:rPr>
            </w:pPr>
            <w:r w:rsidRPr="009660EC">
              <w:rPr>
                <w:rFonts w:asciiTheme="majorBidi" w:eastAsia="Times New Roman" w:hAnsiTheme="majorBidi" w:cstheme="majorBidi"/>
                <w:b/>
                <w:bCs/>
                <w:color w:val="365F91" w:themeColor="accent1" w:themeShade="BF"/>
                <w:sz w:val="20"/>
                <w:szCs w:val="20"/>
              </w:rPr>
              <w:t>Emploi (des 15 ans et plus)</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Population active occupée (en milliers)</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1"/>
              <w:contextualSpacing/>
              <w:jc w:val="right"/>
              <w:rPr>
                <w:rFonts w:ascii="Garamond" w:hAnsi="Garamond" w:cs="Calibri"/>
                <w:b/>
                <w:bCs/>
                <w:color w:val="010205"/>
              </w:rPr>
            </w:pPr>
            <w:r w:rsidRPr="00882C49">
              <w:rPr>
                <w:rFonts w:ascii="Garamond" w:hAnsi="Garamond" w:cs="Calibri"/>
                <w:b/>
                <w:bCs/>
                <w:color w:val="010205"/>
              </w:rPr>
              <w:t>6</w:t>
            </w:r>
            <w:r w:rsidR="00F70677" w:rsidRPr="00882C49">
              <w:rPr>
                <w:rFonts w:ascii="Garamond" w:hAnsi="Garamond" w:cs="Calibri"/>
                <w:b/>
                <w:bCs/>
                <w:color w:val="010205"/>
              </w:rPr>
              <w:t>.</w:t>
            </w:r>
            <w:r w:rsidRPr="00882C49">
              <w:rPr>
                <w:rFonts w:ascii="Garamond" w:hAnsi="Garamond" w:cs="Calibri"/>
                <w:b/>
                <w:bCs/>
                <w:color w:val="010205"/>
              </w:rPr>
              <w:t>450</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1"/>
              <w:contextualSpacing/>
              <w:jc w:val="right"/>
              <w:rPr>
                <w:rFonts w:ascii="Garamond" w:hAnsi="Garamond" w:cs="Calibri"/>
                <w:b/>
                <w:bCs/>
                <w:color w:val="010205"/>
              </w:rPr>
            </w:pPr>
            <w:r w:rsidRPr="00882C49">
              <w:rPr>
                <w:rFonts w:ascii="Garamond" w:hAnsi="Garamond" w:cs="Calibri"/>
                <w:b/>
                <w:bCs/>
                <w:color w:val="010205"/>
              </w:rPr>
              <w:t>4</w:t>
            </w:r>
            <w:r w:rsidR="00F70677" w:rsidRPr="00882C49">
              <w:rPr>
                <w:rFonts w:ascii="Garamond" w:hAnsi="Garamond" w:cs="Calibri"/>
                <w:b/>
                <w:bCs/>
                <w:color w:val="010205"/>
              </w:rPr>
              <w:t>.</w:t>
            </w:r>
            <w:r w:rsidRPr="00882C49">
              <w:rPr>
                <w:rFonts w:ascii="Garamond" w:hAnsi="Garamond" w:cs="Calibri"/>
                <w:b/>
                <w:bCs/>
                <w:color w:val="010205"/>
              </w:rPr>
              <w:t>002</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1"/>
              <w:contextualSpacing/>
              <w:jc w:val="right"/>
              <w:rPr>
                <w:rFonts w:ascii="Garamond" w:hAnsi="Garamond" w:cs="Calibri"/>
                <w:b/>
                <w:bCs/>
                <w:color w:val="010205"/>
              </w:rPr>
            </w:pPr>
            <w:r w:rsidRPr="00882C49">
              <w:rPr>
                <w:rFonts w:ascii="Garamond" w:hAnsi="Garamond" w:cs="Calibri"/>
                <w:b/>
                <w:bCs/>
                <w:color w:val="010205"/>
              </w:rPr>
              <w:t>10</w:t>
            </w:r>
            <w:r w:rsidR="00F70677" w:rsidRPr="00882C49">
              <w:rPr>
                <w:rFonts w:ascii="Garamond" w:hAnsi="Garamond" w:cs="Calibri"/>
                <w:b/>
                <w:bCs/>
                <w:color w:val="010205"/>
              </w:rPr>
              <w:t>.</w:t>
            </w:r>
            <w:r w:rsidRPr="00882C49">
              <w:rPr>
                <w:rFonts w:ascii="Garamond" w:hAnsi="Garamond" w:cs="Calibri"/>
                <w:b/>
                <w:bCs/>
                <w:color w:val="010205"/>
              </w:rPr>
              <w:t>452</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1"/>
              <w:contextualSpacing/>
              <w:jc w:val="right"/>
              <w:rPr>
                <w:rFonts w:ascii="Garamond" w:hAnsi="Garamond" w:cs="Calibri"/>
                <w:b/>
                <w:bCs/>
                <w:color w:val="010205"/>
                <w:sz w:val="20"/>
                <w:szCs w:val="20"/>
              </w:rPr>
            </w:pPr>
            <w:r>
              <w:rPr>
                <w:rFonts w:ascii="Garamond" w:hAnsi="Garamond" w:cs="Calibri"/>
                <w:b/>
                <w:bCs/>
                <w:color w:val="010205"/>
              </w:rPr>
              <w:t>6.681</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1"/>
              <w:contextualSpacing/>
              <w:jc w:val="right"/>
              <w:rPr>
                <w:rFonts w:ascii="Garamond" w:hAnsi="Garamond" w:cs="Calibri"/>
                <w:b/>
                <w:bCs/>
                <w:color w:val="010205"/>
                <w:sz w:val="20"/>
                <w:szCs w:val="20"/>
              </w:rPr>
            </w:pPr>
            <w:r>
              <w:rPr>
                <w:rFonts w:ascii="Garamond" w:hAnsi="Garamond" w:cs="Calibri"/>
                <w:b/>
                <w:bCs/>
                <w:color w:val="010205"/>
              </w:rPr>
              <w:t>3.985</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1"/>
              <w:contextualSpacing/>
              <w:jc w:val="right"/>
              <w:rPr>
                <w:rFonts w:ascii="Garamond" w:hAnsi="Garamond" w:cs="Calibri"/>
                <w:b/>
                <w:bCs/>
                <w:color w:val="010205"/>
                <w:sz w:val="20"/>
                <w:szCs w:val="20"/>
              </w:rPr>
            </w:pPr>
            <w:r>
              <w:rPr>
                <w:rFonts w:ascii="Garamond" w:hAnsi="Garamond" w:cs="Calibri"/>
                <w:b/>
                <w:bCs/>
                <w:color w:val="010205"/>
              </w:rPr>
              <w:t>10.666</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Taux d'emploi (%)</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34,8</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42,6</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37,4</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35,3</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42,3</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37,6</w:t>
            </w:r>
          </w:p>
        </w:tc>
      </w:tr>
      <w:tr w:rsidR="00F54174" w:rsidRPr="009660EC" w:rsidTr="00F54174">
        <w:trPr>
          <w:trHeight w:val="287"/>
          <w:jc w:val="center"/>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F54174" w:rsidRPr="009660EC" w:rsidRDefault="00F54174" w:rsidP="00F54174">
            <w:pPr>
              <w:spacing w:before="240" w:after="240" w:line="312" w:lineRule="auto"/>
              <w:contextualSpacing/>
              <w:rPr>
                <w:rFonts w:asciiTheme="majorBidi" w:eastAsia="Times New Roman" w:hAnsiTheme="majorBidi" w:cstheme="majorBidi"/>
                <w:i/>
                <w:iCs/>
                <w:sz w:val="20"/>
                <w:szCs w:val="20"/>
              </w:rPr>
            </w:pPr>
            <w:r w:rsidRPr="009660EC">
              <w:rPr>
                <w:rFonts w:asciiTheme="majorBidi" w:eastAsia="Times New Roman" w:hAnsiTheme="majorBidi" w:cstheme="majorBidi"/>
                <w:i/>
                <w:iCs/>
                <w:sz w:val="20"/>
                <w:szCs w:val="20"/>
              </w:rPr>
              <w:t>• Selon le sexe</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Hommes</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56,9</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67,7</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60,7</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57,1</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67,5</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60,7</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Femmes</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14,0</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16,4</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14,8</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14,8</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15,9</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15,2</w:t>
            </w:r>
          </w:p>
        </w:tc>
      </w:tr>
      <w:tr w:rsidR="00F54174" w:rsidRPr="009660EC" w:rsidTr="00F54174">
        <w:trPr>
          <w:trHeight w:val="488"/>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4174" w:rsidRPr="009660EC" w:rsidRDefault="00F54174" w:rsidP="00F54174">
            <w:pPr>
              <w:spacing w:before="240" w:after="240" w:line="312" w:lineRule="auto"/>
              <w:contextualSpacing/>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Structure de l'emploi selon les secteurs d'activité économique (%)</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F54174" w:rsidRPr="009660EC" w:rsidRDefault="00F54174" w:rsidP="00F54174">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 </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F54174" w:rsidRPr="009660EC" w:rsidRDefault="00F54174" w:rsidP="00F54174">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 </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F54174" w:rsidRPr="009660EC" w:rsidRDefault="00F54174" w:rsidP="00F54174">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 </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F54174" w:rsidRPr="009660EC" w:rsidRDefault="00F54174" w:rsidP="00F54174">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 </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F54174" w:rsidRPr="009660EC" w:rsidRDefault="00F54174" w:rsidP="00F54174">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 </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F54174" w:rsidRPr="009660EC" w:rsidRDefault="00F54174" w:rsidP="00F54174">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 </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Agriculture, forêt et pêche</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4,0</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61,3</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25,9</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4,0</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58,2</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24,3</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 xml:space="preserve">Industrie </w:t>
            </w:r>
            <w:r>
              <w:rPr>
                <w:rFonts w:asciiTheme="majorBidi" w:eastAsia="Times New Roman" w:hAnsiTheme="majorBidi" w:cstheme="majorBidi"/>
                <w:sz w:val="20"/>
                <w:szCs w:val="20"/>
              </w:rPr>
              <w:t>y compris l’artisanat</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16,8</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5,4</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12,4</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16,6</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5,3</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12,4</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BTP</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11,7</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11,6</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11,7</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11,1</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13,4</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12,0</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Services</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67,4</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21,7</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49,9</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68,2</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23,1</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51,3</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Activités non déterminées</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0,1</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0,0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0,1</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0,1</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0,0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0,1</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Part de l'emploi rémunéré dans l'emploi total, dont :</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98,0</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77,7</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882C49" w:rsidRDefault="00E4316D" w:rsidP="00E4316D">
            <w:pPr>
              <w:spacing w:before="240" w:after="240" w:line="312" w:lineRule="auto"/>
              <w:ind w:firstLineChars="100" w:firstLine="220"/>
              <w:contextualSpacing/>
              <w:jc w:val="right"/>
              <w:rPr>
                <w:rFonts w:ascii="Garamond" w:hAnsi="Garamond" w:cs="Calibri"/>
                <w:color w:val="000000"/>
              </w:rPr>
            </w:pPr>
            <w:r w:rsidRPr="00882C49">
              <w:rPr>
                <w:rFonts w:ascii="Garamond" w:hAnsi="Garamond" w:cs="Calibri"/>
                <w:color w:val="000000"/>
              </w:rPr>
              <w:t>90,2</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97,8</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79,1</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90,8</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Salariés</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73,8</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54,1</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67,3</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71,9</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55,6</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66,6</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Auto-employés</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26,2</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45,9</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32,7</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28,1</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44,4</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33,4</w:t>
            </w:r>
          </w:p>
        </w:tc>
      </w:tr>
      <w:tr w:rsidR="00E4316D" w:rsidRPr="009660EC" w:rsidTr="00F54174">
        <w:trPr>
          <w:trHeight w:val="488"/>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16D" w:rsidRPr="009660EC" w:rsidRDefault="00E4316D" w:rsidP="00E4316D">
            <w:pPr>
              <w:spacing w:before="240" w:after="240" w:line="312" w:lineRule="auto"/>
              <w:contextualSpacing/>
              <w:rPr>
                <w:rFonts w:asciiTheme="majorBidi" w:hAnsiTheme="majorBidi" w:cstheme="majorBidi"/>
                <w:b/>
                <w:bCs/>
                <w:sz w:val="20"/>
                <w:szCs w:val="20"/>
              </w:rPr>
            </w:pPr>
            <w:r w:rsidRPr="009660EC">
              <w:rPr>
                <w:rFonts w:asciiTheme="majorBidi" w:hAnsiTheme="majorBidi" w:cstheme="majorBidi"/>
                <w:b/>
                <w:bCs/>
                <w:sz w:val="20"/>
                <w:szCs w:val="20"/>
              </w:rPr>
              <w:t>Population active occupée en sous-</w:t>
            </w:r>
            <w:r w:rsidR="00664987" w:rsidRPr="009660EC">
              <w:rPr>
                <w:rFonts w:asciiTheme="majorBidi" w:hAnsiTheme="majorBidi" w:cstheme="majorBidi"/>
                <w:b/>
                <w:bCs/>
                <w:sz w:val="20"/>
                <w:szCs w:val="20"/>
              </w:rPr>
              <w:t>emploi (</w:t>
            </w:r>
            <w:r w:rsidRPr="009660EC">
              <w:rPr>
                <w:rFonts w:asciiTheme="majorBidi" w:hAnsiTheme="majorBidi" w:cstheme="majorBidi"/>
                <w:b/>
                <w:bCs/>
                <w:sz w:val="20"/>
                <w:szCs w:val="20"/>
              </w:rPr>
              <w:t>en milliers)</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1"/>
              <w:contextualSpacing/>
              <w:jc w:val="right"/>
              <w:rPr>
                <w:rFonts w:ascii="Garamond" w:hAnsi="Garamond" w:cs="Calibri"/>
                <w:b/>
                <w:bCs/>
                <w:color w:val="010205"/>
              </w:rPr>
            </w:pPr>
            <w:r w:rsidRPr="0047463D">
              <w:rPr>
                <w:rFonts w:ascii="Garamond" w:hAnsi="Garamond" w:cs="Calibri"/>
                <w:b/>
                <w:bCs/>
                <w:color w:val="010205"/>
              </w:rPr>
              <w:t>523</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1"/>
              <w:contextualSpacing/>
              <w:jc w:val="right"/>
              <w:rPr>
                <w:rFonts w:ascii="Garamond" w:hAnsi="Garamond" w:cs="Calibri"/>
                <w:b/>
                <w:bCs/>
                <w:color w:val="010205"/>
              </w:rPr>
            </w:pPr>
            <w:r w:rsidRPr="0047463D">
              <w:rPr>
                <w:rFonts w:ascii="Garamond" w:hAnsi="Garamond" w:cs="Calibri"/>
                <w:b/>
                <w:bCs/>
                <w:color w:val="010205"/>
              </w:rPr>
              <w:t>482</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1"/>
              <w:contextualSpacing/>
              <w:jc w:val="right"/>
              <w:rPr>
                <w:rFonts w:ascii="Garamond" w:hAnsi="Garamond" w:cs="Calibri"/>
                <w:b/>
                <w:bCs/>
                <w:color w:val="010205"/>
              </w:rPr>
            </w:pPr>
            <w:r w:rsidRPr="0047463D">
              <w:rPr>
                <w:rFonts w:ascii="Garamond" w:hAnsi="Garamond" w:cs="Calibri"/>
                <w:b/>
                <w:bCs/>
                <w:color w:val="010205"/>
              </w:rPr>
              <w:t>1</w:t>
            </w:r>
            <w:r w:rsidR="00882C49" w:rsidRPr="0047463D">
              <w:rPr>
                <w:rFonts w:ascii="Garamond" w:hAnsi="Garamond" w:cs="Calibri"/>
                <w:b/>
                <w:bCs/>
                <w:color w:val="010205"/>
              </w:rPr>
              <w:t>.</w:t>
            </w:r>
            <w:r w:rsidRPr="0047463D">
              <w:rPr>
                <w:rFonts w:ascii="Garamond" w:hAnsi="Garamond" w:cs="Calibri"/>
                <w:b/>
                <w:bCs/>
                <w:color w:val="010205"/>
              </w:rPr>
              <w:t>005</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1"/>
              <w:contextualSpacing/>
              <w:jc w:val="right"/>
              <w:rPr>
                <w:rFonts w:ascii="Garamond" w:hAnsi="Garamond" w:cs="Calibri"/>
                <w:b/>
                <w:bCs/>
                <w:color w:val="010205"/>
                <w:sz w:val="20"/>
                <w:szCs w:val="20"/>
              </w:rPr>
            </w:pPr>
            <w:r>
              <w:rPr>
                <w:rFonts w:ascii="Garamond" w:hAnsi="Garamond" w:cs="Calibri"/>
                <w:b/>
                <w:bCs/>
                <w:color w:val="010205"/>
              </w:rPr>
              <w:t>590</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1"/>
              <w:contextualSpacing/>
              <w:jc w:val="right"/>
              <w:rPr>
                <w:rFonts w:ascii="Garamond" w:hAnsi="Garamond" w:cs="Calibri"/>
                <w:b/>
                <w:bCs/>
                <w:color w:val="010205"/>
                <w:sz w:val="20"/>
                <w:szCs w:val="20"/>
              </w:rPr>
            </w:pPr>
            <w:r>
              <w:rPr>
                <w:rFonts w:ascii="Garamond" w:hAnsi="Garamond" w:cs="Calibri"/>
                <w:b/>
                <w:bCs/>
                <w:color w:val="010205"/>
              </w:rPr>
              <w:t>476</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1"/>
              <w:contextualSpacing/>
              <w:jc w:val="right"/>
              <w:rPr>
                <w:rFonts w:ascii="Garamond" w:hAnsi="Garamond" w:cs="Calibri"/>
                <w:b/>
                <w:bCs/>
                <w:color w:val="010205"/>
                <w:sz w:val="20"/>
                <w:szCs w:val="20"/>
              </w:rPr>
            </w:pPr>
            <w:r>
              <w:rPr>
                <w:rFonts w:ascii="Garamond" w:hAnsi="Garamond" w:cs="Calibri"/>
                <w:b/>
                <w:bCs/>
                <w:color w:val="010205"/>
              </w:rPr>
              <w:t>1.066</w:t>
            </w: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hAnsiTheme="majorBidi" w:cstheme="majorBidi"/>
                <w:i/>
                <w:iCs/>
                <w:sz w:val="20"/>
                <w:szCs w:val="20"/>
              </w:rPr>
            </w:pPr>
            <w:r w:rsidRPr="009660EC">
              <w:rPr>
                <w:rFonts w:asciiTheme="majorBidi" w:hAnsiTheme="majorBidi" w:cstheme="majorBidi"/>
                <w:sz w:val="20"/>
                <w:szCs w:val="20"/>
              </w:rPr>
              <w:t>Taux de sous-emploi (%)</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8,1</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12,0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9,6</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8,8</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12,0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10,0</w:t>
            </w:r>
          </w:p>
        </w:tc>
      </w:tr>
      <w:tr w:rsidR="00F54174"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F54174" w:rsidRPr="009660EC" w:rsidRDefault="00F54174" w:rsidP="00F54174">
            <w:pPr>
              <w:spacing w:before="240" w:after="240" w:line="312" w:lineRule="auto"/>
              <w:contextualSpacing/>
              <w:rPr>
                <w:rFonts w:asciiTheme="majorBidi" w:hAnsiTheme="majorBidi" w:cstheme="majorBidi"/>
                <w:i/>
                <w:iCs/>
                <w:sz w:val="20"/>
                <w:szCs w:val="20"/>
              </w:rPr>
            </w:pPr>
            <w:r w:rsidRPr="009660EC">
              <w:rPr>
                <w:rFonts w:asciiTheme="majorBidi" w:hAnsiTheme="majorBidi" w:cstheme="majorBidi"/>
                <w:i/>
                <w:iCs/>
                <w:sz w:val="20"/>
                <w:szCs w:val="20"/>
              </w:rPr>
              <w:t>• Selon la forme de sous-emploi</w:t>
            </w:r>
          </w:p>
        </w:tc>
        <w:tc>
          <w:tcPr>
            <w:tcW w:w="5610" w:type="dxa"/>
            <w:gridSpan w:val="6"/>
            <w:tcBorders>
              <w:top w:val="single" w:sz="4" w:space="0" w:color="000000" w:themeColor="text1"/>
              <w:left w:val="single" w:sz="4" w:space="0" w:color="000000" w:themeColor="text1"/>
              <w:bottom w:val="single" w:sz="4" w:space="0" w:color="000000" w:themeColor="text1"/>
            </w:tcBorders>
            <w:noWrap/>
          </w:tcPr>
          <w:p w:rsidR="00F54174" w:rsidRPr="009660EC" w:rsidRDefault="00F54174" w:rsidP="00F54174">
            <w:pPr>
              <w:spacing w:before="240" w:after="240" w:line="312" w:lineRule="auto"/>
              <w:ind w:firstLineChars="100" w:firstLine="200"/>
              <w:contextualSpacing/>
              <w:jc w:val="right"/>
              <w:rPr>
                <w:rFonts w:asciiTheme="majorBidi" w:hAnsiTheme="majorBidi" w:cstheme="majorBidi"/>
                <w:color w:val="000000"/>
                <w:sz w:val="20"/>
                <w:szCs w:val="20"/>
              </w:rPr>
            </w:pPr>
          </w:p>
        </w:tc>
      </w:tr>
      <w:tr w:rsidR="00E4316D" w:rsidRPr="009660EC" w:rsidTr="00F54174">
        <w:trPr>
          <w:trHeight w:val="287"/>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Sous-emploi lié à la durée de travail</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3,5</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6,9</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4,8</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4,2</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7,6</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5,5</w:t>
            </w:r>
          </w:p>
        </w:tc>
      </w:tr>
      <w:tr w:rsidR="00E4316D" w:rsidRPr="009660EC" w:rsidTr="00F54174">
        <w:trPr>
          <w:trHeight w:val="53"/>
          <w:jc w:val="center"/>
        </w:trPr>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Sous-emploi lié aux revenus de l’activité et à l'adéquation formation-emploi</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rsidR="00E4316D" w:rsidRPr="0047463D" w:rsidRDefault="00E4316D" w:rsidP="00E4316D">
            <w:pPr>
              <w:spacing w:before="240" w:after="240" w:line="312" w:lineRule="auto"/>
              <w:ind w:firstLineChars="100" w:firstLine="220"/>
              <w:contextualSpacing/>
              <w:jc w:val="right"/>
              <w:rPr>
                <w:rFonts w:ascii="Garamond" w:hAnsi="Garamond" w:cs="Calibri"/>
                <w:color w:val="010205"/>
              </w:rPr>
            </w:pPr>
            <w:r w:rsidRPr="0047463D">
              <w:rPr>
                <w:rFonts w:ascii="Garamond" w:hAnsi="Garamond" w:cs="Calibri"/>
                <w:color w:val="010205"/>
              </w:rPr>
              <w:t>4,6</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rsidR="00E4316D" w:rsidRPr="0047463D" w:rsidRDefault="00E4316D" w:rsidP="00E4316D">
            <w:pPr>
              <w:spacing w:before="240" w:after="240" w:line="312" w:lineRule="auto"/>
              <w:ind w:firstLineChars="100" w:firstLine="220"/>
              <w:contextualSpacing/>
              <w:jc w:val="right"/>
              <w:rPr>
                <w:rFonts w:ascii="Garamond" w:hAnsi="Garamond" w:cs="Calibri"/>
                <w:color w:val="010205"/>
              </w:rPr>
            </w:pPr>
            <w:r w:rsidRPr="0047463D">
              <w:rPr>
                <w:rFonts w:ascii="Garamond" w:hAnsi="Garamond" w:cs="Calibri"/>
                <w:color w:val="010205"/>
              </w:rPr>
              <w:t>5,1</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rsidR="00E4316D" w:rsidRPr="0047463D" w:rsidRDefault="00E4316D" w:rsidP="00E4316D">
            <w:pPr>
              <w:spacing w:before="240" w:after="240" w:line="312" w:lineRule="auto"/>
              <w:ind w:firstLineChars="100" w:firstLine="220"/>
              <w:contextualSpacing/>
              <w:jc w:val="right"/>
              <w:rPr>
                <w:rFonts w:ascii="Garamond" w:hAnsi="Garamond" w:cs="Calibri"/>
                <w:color w:val="010205"/>
              </w:rPr>
            </w:pPr>
            <w:r w:rsidRPr="0047463D">
              <w:rPr>
                <w:rFonts w:ascii="Garamond" w:hAnsi="Garamond" w:cs="Calibri"/>
                <w:color w:val="010205"/>
              </w:rPr>
              <w:t>4,8</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rsidR="00E4316D" w:rsidRPr="009660EC" w:rsidRDefault="00E4316D" w:rsidP="00E4316D">
            <w:pPr>
              <w:spacing w:before="240" w:after="240" w:line="312" w:lineRule="auto"/>
              <w:ind w:firstLineChars="100" w:firstLine="220"/>
              <w:contextualSpacing/>
              <w:jc w:val="right"/>
              <w:rPr>
                <w:rFonts w:ascii="Garamond" w:hAnsi="Garamond" w:cs="Calibri"/>
                <w:color w:val="010205"/>
                <w:sz w:val="20"/>
                <w:szCs w:val="20"/>
              </w:rPr>
            </w:pPr>
            <w:r>
              <w:rPr>
                <w:rFonts w:ascii="Garamond" w:hAnsi="Garamond" w:cs="Calibri"/>
                <w:color w:val="010205"/>
              </w:rPr>
              <w:t>4,6</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rsidR="00E4316D" w:rsidRPr="009660EC" w:rsidRDefault="00E4316D" w:rsidP="00E4316D">
            <w:pPr>
              <w:spacing w:before="240" w:after="240" w:line="312" w:lineRule="auto"/>
              <w:ind w:firstLineChars="100" w:firstLine="220"/>
              <w:contextualSpacing/>
              <w:jc w:val="right"/>
              <w:rPr>
                <w:rFonts w:ascii="Garamond" w:hAnsi="Garamond" w:cs="Calibri"/>
                <w:color w:val="010205"/>
                <w:sz w:val="20"/>
                <w:szCs w:val="20"/>
              </w:rPr>
            </w:pPr>
            <w:r>
              <w:rPr>
                <w:rFonts w:ascii="Garamond" w:hAnsi="Garamond" w:cs="Calibri"/>
                <w:color w:val="010205"/>
              </w:rPr>
              <w:t>4,4</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rsidR="00E4316D" w:rsidRPr="009660EC" w:rsidRDefault="00E4316D" w:rsidP="00E4316D">
            <w:pPr>
              <w:spacing w:before="240" w:after="240" w:line="312" w:lineRule="auto"/>
              <w:ind w:firstLineChars="100" w:firstLine="220"/>
              <w:contextualSpacing/>
              <w:jc w:val="right"/>
              <w:rPr>
                <w:rFonts w:ascii="Garamond" w:hAnsi="Garamond" w:cs="Calibri"/>
                <w:color w:val="010205"/>
                <w:sz w:val="20"/>
                <w:szCs w:val="20"/>
              </w:rPr>
            </w:pPr>
            <w:r>
              <w:rPr>
                <w:rFonts w:ascii="Garamond" w:hAnsi="Garamond" w:cs="Calibri"/>
                <w:color w:val="010205"/>
              </w:rPr>
              <w:t>4,5</w:t>
            </w:r>
          </w:p>
        </w:tc>
      </w:tr>
    </w:tbl>
    <w:p w:rsidR="00DA2942" w:rsidRPr="009660EC" w:rsidRDefault="00DA2942" w:rsidP="00A810BF">
      <w:pPr>
        <w:spacing w:before="240" w:after="240" w:line="312" w:lineRule="auto"/>
        <w:contextualSpacing/>
        <w:rPr>
          <w:rFonts w:ascii="Book Antiqua" w:eastAsia="Book Antiqua" w:hAnsi="Book Antiqua" w:cs="Book Antiqua"/>
          <w:b/>
          <w:color w:val="0070C0"/>
        </w:rPr>
      </w:pPr>
      <w:r w:rsidRPr="009660EC">
        <w:rPr>
          <w:rFonts w:ascii="Book Antiqua" w:eastAsia="Book Antiqua" w:hAnsi="Book Antiqua" w:cs="Book Antiqua"/>
          <w:b/>
          <w:color w:val="0070C0"/>
        </w:rPr>
        <w:lastRenderedPageBreak/>
        <w:t>Tableau1 (suite) : Indicateurs trimestriels d’activité, d’emploi et de chômage par milieu de résidence</w:t>
      </w:r>
    </w:p>
    <w:tbl>
      <w:tblPr>
        <w:tblStyle w:val="Grilledutableau"/>
        <w:tblW w:w="9689" w:type="dxa"/>
        <w:jc w:val="center"/>
        <w:tblLook w:val="04A0"/>
      </w:tblPr>
      <w:tblGrid>
        <w:gridCol w:w="3672"/>
        <w:gridCol w:w="980"/>
        <w:gridCol w:w="979"/>
        <w:gridCol w:w="1050"/>
        <w:gridCol w:w="979"/>
        <w:gridCol w:w="979"/>
        <w:gridCol w:w="1050"/>
      </w:tblGrid>
      <w:tr w:rsidR="00DA2942" w:rsidRPr="009660EC" w:rsidTr="00F54174">
        <w:trPr>
          <w:trHeight w:val="309"/>
          <w:jc w:val="center"/>
        </w:trPr>
        <w:tc>
          <w:tcPr>
            <w:tcW w:w="367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hAnsiTheme="majorBidi" w:cstheme="majorBidi"/>
                <w:b/>
                <w:bCs/>
                <w:sz w:val="20"/>
                <w:szCs w:val="20"/>
              </w:rPr>
            </w:pPr>
            <w:r w:rsidRPr="009660EC">
              <w:rPr>
                <w:rFonts w:asciiTheme="majorBidi" w:hAnsiTheme="majorBidi" w:cstheme="majorBidi"/>
                <w:b/>
                <w:bCs/>
                <w:sz w:val="20"/>
                <w:szCs w:val="20"/>
                <w:rtl/>
              </w:rPr>
              <w:t> </w:t>
            </w:r>
          </w:p>
        </w:tc>
        <w:tc>
          <w:tcPr>
            <w:tcW w:w="30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A65ADE" w:rsidP="00A810BF">
            <w:pPr>
              <w:spacing w:before="240" w:after="240" w:line="312" w:lineRule="auto"/>
              <w:contextualSpacing/>
              <w:jc w:val="center"/>
              <w:rPr>
                <w:rFonts w:asciiTheme="majorBidi" w:hAnsiTheme="majorBidi" w:cstheme="majorBidi"/>
                <w:b/>
                <w:bCs/>
                <w:sz w:val="20"/>
                <w:szCs w:val="20"/>
              </w:rPr>
            </w:pPr>
            <w:r w:rsidRPr="009660EC">
              <w:rPr>
                <w:rFonts w:ascii="Book Antiqua" w:eastAsia="Book Antiqua" w:hAnsi="Book Antiqua" w:cs="Book Antiqua"/>
                <w:b/>
                <w:bCs/>
                <w:sz w:val="20"/>
                <w:szCs w:val="20"/>
              </w:rPr>
              <w:t>3</w:t>
            </w:r>
            <w:r w:rsidR="00DA2942" w:rsidRPr="00664987">
              <w:rPr>
                <w:rFonts w:ascii="Book Antiqua" w:eastAsia="Book Antiqua" w:hAnsi="Book Antiqua" w:cs="Book Antiqua"/>
                <w:b/>
                <w:bCs/>
                <w:sz w:val="20"/>
                <w:szCs w:val="20"/>
                <w:vertAlign w:val="superscript"/>
              </w:rPr>
              <w:t>ème</w:t>
            </w:r>
            <w:r w:rsidR="00DA2942" w:rsidRPr="009660EC">
              <w:rPr>
                <w:rFonts w:ascii="Book Antiqua" w:eastAsia="Book Antiqua" w:hAnsi="Book Antiqua" w:cs="Book Antiqua"/>
                <w:b/>
                <w:bCs/>
                <w:sz w:val="20"/>
                <w:szCs w:val="20"/>
              </w:rPr>
              <w:t xml:space="preserve"> trimestre de 202</w:t>
            </w:r>
            <w:r w:rsidR="00F54174">
              <w:rPr>
                <w:rFonts w:ascii="Book Antiqua" w:eastAsia="Book Antiqua" w:hAnsi="Book Antiqua" w:cs="Book Antiqua"/>
                <w:b/>
                <w:bCs/>
                <w:sz w:val="20"/>
                <w:szCs w:val="20"/>
              </w:rPr>
              <w:t>3</w:t>
            </w:r>
          </w:p>
        </w:tc>
        <w:tc>
          <w:tcPr>
            <w:tcW w:w="300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A65ADE" w:rsidP="00A810BF">
            <w:pPr>
              <w:spacing w:before="240" w:after="240" w:line="312" w:lineRule="auto"/>
              <w:contextualSpacing/>
              <w:jc w:val="center"/>
              <w:rPr>
                <w:rFonts w:ascii="Book Antiqua" w:eastAsia="Book Antiqua" w:hAnsi="Book Antiqua" w:cs="Book Antiqua"/>
                <w:b/>
                <w:bCs/>
                <w:sz w:val="20"/>
                <w:szCs w:val="20"/>
              </w:rPr>
            </w:pPr>
            <w:r w:rsidRPr="009660EC">
              <w:rPr>
                <w:rFonts w:ascii="Book Antiqua" w:eastAsia="Book Antiqua" w:hAnsi="Book Antiqua" w:cs="Book Antiqua"/>
                <w:b/>
                <w:bCs/>
                <w:sz w:val="20"/>
                <w:szCs w:val="20"/>
              </w:rPr>
              <w:t>3</w:t>
            </w:r>
            <w:r w:rsidR="00DA2942" w:rsidRPr="00664987">
              <w:rPr>
                <w:rFonts w:ascii="Book Antiqua" w:eastAsia="Book Antiqua" w:hAnsi="Book Antiqua" w:cs="Book Antiqua"/>
                <w:b/>
                <w:bCs/>
                <w:sz w:val="20"/>
                <w:szCs w:val="20"/>
                <w:vertAlign w:val="superscript"/>
              </w:rPr>
              <w:t>ème</w:t>
            </w:r>
            <w:r w:rsidR="00DA2942" w:rsidRPr="009660EC">
              <w:rPr>
                <w:rFonts w:ascii="Book Antiqua" w:eastAsia="Book Antiqua" w:hAnsi="Book Antiqua" w:cs="Book Antiqua"/>
                <w:b/>
                <w:bCs/>
                <w:sz w:val="20"/>
                <w:szCs w:val="20"/>
              </w:rPr>
              <w:t xml:space="preserve"> trimestre de 202</w:t>
            </w:r>
            <w:r w:rsidR="00F54174">
              <w:rPr>
                <w:rFonts w:ascii="Book Antiqua" w:eastAsia="Book Antiqua" w:hAnsi="Book Antiqua" w:cs="Book Antiqua"/>
                <w:b/>
                <w:bCs/>
                <w:sz w:val="20"/>
                <w:szCs w:val="20"/>
              </w:rPr>
              <w:t>4</w:t>
            </w:r>
          </w:p>
        </w:tc>
      </w:tr>
      <w:tr w:rsidR="00DA2942" w:rsidRPr="009660EC" w:rsidTr="00F54174">
        <w:trPr>
          <w:trHeight w:val="309"/>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A2942" w:rsidRPr="009660EC" w:rsidRDefault="00DA2942" w:rsidP="00A810BF">
            <w:pPr>
              <w:spacing w:before="240" w:after="240" w:line="312" w:lineRule="auto"/>
              <w:contextualSpacing/>
              <w:rPr>
                <w:rFonts w:asciiTheme="majorBidi" w:hAnsiTheme="majorBidi" w:cstheme="majorBidi"/>
                <w:b/>
                <w:bCs/>
                <w:sz w:val="20"/>
                <w:szCs w:val="20"/>
              </w:rPr>
            </w:pP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Urbain</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Rural</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Ensemble</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Urbain</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Rural</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Ensemble</w:t>
            </w:r>
          </w:p>
        </w:tc>
      </w:tr>
      <w:tr w:rsidR="00DA2942" w:rsidRPr="009660EC" w:rsidTr="00F54174">
        <w:trPr>
          <w:trHeight w:val="309"/>
          <w:jc w:val="center"/>
        </w:trPr>
        <w:tc>
          <w:tcPr>
            <w:tcW w:w="96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hAnsiTheme="majorBidi" w:cstheme="majorBidi"/>
                <w:b/>
                <w:bCs/>
                <w:color w:val="365F91" w:themeColor="accent1" w:themeShade="BF"/>
                <w:sz w:val="20"/>
                <w:szCs w:val="20"/>
              </w:rPr>
            </w:pPr>
            <w:r w:rsidRPr="009660EC">
              <w:rPr>
                <w:rFonts w:asciiTheme="majorBidi" w:hAnsiTheme="majorBidi" w:cstheme="majorBidi"/>
                <w:b/>
                <w:bCs/>
                <w:color w:val="365F91" w:themeColor="accent1" w:themeShade="BF"/>
                <w:sz w:val="20"/>
                <w:szCs w:val="20"/>
              </w:rPr>
              <w:t>Chômage</w:t>
            </w:r>
          </w:p>
        </w:tc>
      </w:tr>
      <w:tr w:rsidR="00E4316D" w:rsidRPr="009660EC" w:rsidTr="00F54174">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hAnsiTheme="majorBidi" w:cstheme="majorBidi"/>
                <w:b/>
                <w:bCs/>
                <w:sz w:val="20"/>
                <w:szCs w:val="20"/>
              </w:rPr>
            </w:pPr>
            <w:r w:rsidRPr="009660EC">
              <w:rPr>
                <w:rFonts w:asciiTheme="majorBidi" w:hAnsiTheme="majorBidi" w:cstheme="majorBidi"/>
                <w:b/>
                <w:bCs/>
                <w:sz w:val="20"/>
                <w:szCs w:val="20"/>
              </w:rPr>
              <w:t>Population active en chômage (en milliers)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1"/>
              <w:contextualSpacing/>
              <w:jc w:val="right"/>
              <w:rPr>
                <w:rFonts w:ascii="Garamond" w:hAnsi="Garamond" w:cs="Calibri"/>
                <w:b/>
                <w:bCs/>
                <w:color w:val="010205"/>
              </w:rPr>
            </w:pPr>
            <w:r w:rsidRPr="0047463D">
              <w:rPr>
                <w:rFonts w:ascii="Garamond" w:hAnsi="Garamond" w:cs="Calibri"/>
                <w:b/>
                <w:bCs/>
                <w:color w:val="010205"/>
              </w:rPr>
              <w:t>1</w:t>
            </w:r>
            <w:r w:rsidR="0047463D" w:rsidRPr="0047463D">
              <w:rPr>
                <w:rFonts w:ascii="Garamond" w:hAnsi="Garamond" w:cs="Calibri"/>
                <w:b/>
                <w:bCs/>
                <w:color w:val="010205"/>
              </w:rPr>
              <w:t>.</w:t>
            </w:r>
            <w:r w:rsidRPr="0047463D">
              <w:rPr>
                <w:rFonts w:ascii="Garamond" w:hAnsi="Garamond" w:cs="Calibri"/>
                <w:b/>
                <w:bCs/>
                <w:color w:val="010205"/>
              </w:rPr>
              <w:t>322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1"/>
              <w:contextualSpacing/>
              <w:jc w:val="right"/>
              <w:rPr>
                <w:rFonts w:ascii="Garamond" w:hAnsi="Garamond" w:cs="Calibri"/>
                <w:b/>
                <w:bCs/>
                <w:color w:val="010205"/>
              </w:rPr>
            </w:pPr>
            <w:r w:rsidRPr="0047463D">
              <w:rPr>
                <w:rFonts w:ascii="Garamond" w:hAnsi="Garamond" w:cs="Calibri"/>
                <w:b/>
                <w:bCs/>
                <w:color w:val="010205"/>
              </w:rPr>
              <w:t>303</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1"/>
              <w:contextualSpacing/>
              <w:jc w:val="right"/>
              <w:rPr>
                <w:rFonts w:ascii="Garamond" w:hAnsi="Garamond" w:cs="Calibri"/>
                <w:b/>
                <w:bCs/>
                <w:color w:val="010205"/>
              </w:rPr>
            </w:pPr>
            <w:r w:rsidRPr="0047463D">
              <w:rPr>
                <w:rFonts w:ascii="Garamond" w:hAnsi="Garamond" w:cs="Calibri"/>
                <w:b/>
                <w:bCs/>
                <w:color w:val="010205"/>
              </w:rPr>
              <w:t>1</w:t>
            </w:r>
            <w:r w:rsidR="00F70677" w:rsidRPr="0047463D">
              <w:rPr>
                <w:rFonts w:ascii="Garamond" w:hAnsi="Garamond" w:cs="Calibri"/>
                <w:b/>
                <w:bCs/>
                <w:color w:val="010205"/>
              </w:rPr>
              <w:t>.</w:t>
            </w:r>
            <w:r w:rsidRPr="0047463D">
              <w:rPr>
                <w:rFonts w:ascii="Garamond" w:hAnsi="Garamond" w:cs="Calibri"/>
                <w:b/>
                <w:bCs/>
                <w:color w:val="010205"/>
              </w:rPr>
              <w:t>625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1"/>
              <w:contextualSpacing/>
              <w:jc w:val="right"/>
              <w:rPr>
                <w:rFonts w:ascii="Garamond" w:hAnsi="Garamond" w:cs="Calibri"/>
                <w:b/>
                <w:bCs/>
                <w:color w:val="010205"/>
                <w:sz w:val="20"/>
                <w:szCs w:val="20"/>
              </w:rPr>
            </w:pPr>
            <w:r>
              <w:rPr>
                <w:rFonts w:ascii="Garamond" w:hAnsi="Garamond" w:cs="Calibri"/>
                <w:b/>
                <w:bCs/>
                <w:color w:val="010205"/>
              </w:rPr>
              <w:t>1.364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1"/>
              <w:contextualSpacing/>
              <w:jc w:val="right"/>
              <w:rPr>
                <w:rFonts w:ascii="Garamond" w:hAnsi="Garamond" w:cs="Calibri"/>
                <w:b/>
                <w:bCs/>
                <w:color w:val="010205"/>
                <w:sz w:val="20"/>
                <w:szCs w:val="20"/>
              </w:rPr>
            </w:pPr>
            <w:r>
              <w:rPr>
                <w:rFonts w:ascii="Garamond" w:hAnsi="Garamond" w:cs="Calibri"/>
                <w:b/>
                <w:bCs/>
                <w:color w:val="010205"/>
              </w:rPr>
              <w:t>319</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1"/>
              <w:contextualSpacing/>
              <w:jc w:val="right"/>
              <w:rPr>
                <w:rFonts w:ascii="Garamond" w:hAnsi="Garamond" w:cs="Calibri"/>
                <w:b/>
                <w:bCs/>
                <w:color w:val="010205"/>
                <w:sz w:val="20"/>
                <w:szCs w:val="20"/>
              </w:rPr>
            </w:pPr>
            <w:r>
              <w:rPr>
                <w:rFonts w:ascii="Garamond" w:hAnsi="Garamond" w:cs="Calibri"/>
                <w:b/>
                <w:bCs/>
                <w:color w:val="010205"/>
              </w:rPr>
              <w:t>1.683</w:t>
            </w:r>
          </w:p>
        </w:tc>
      </w:tr>
      <w:tr w:rsidR="00E4316D" w:rsidRPr="009660EC" w:rsidTr="00F54174">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Taux de féminisation de la population active en chômage (%)</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35,0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17,6</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31,7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37,5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19,0</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34,0</w:t>
            </w:r>
          </w:p>
        </w:tc>
      </w:tr>
      <w:tr w:rsidR="00E4316D" w:rsidRPr="009660EC" w:rsidTr="00F54174">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Taux de chômage (%)</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17,0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7,0</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13,5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17,0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7,4</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13,6</w:t>
            </w:r>
          </w:p>
        </w:tc>
      </w:tr>
      <w:tr w:rsidR="00DA2942" w:rsidRPr="009660EC" w:rsidTr="00F54174">
        <w:trPr>
          <w:trHeight w:val="309"/>
          <w:jc w:val="center"/>
        </w:trPr>
        <w:tc>
          <w:tcPr>
            <w:tcW w:w="96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hAnsiTheme="majorBidi" w:cstheme="majorBidi"/>
                <w:i/>
                <w:iCs/>
                <w:sz w:val="20"/>
                <w:szCs w:val="20"/>
              </w:rPr>
            </w:pPr>
            <w:r w:rsidRPr="009660EC">
              <w:rPr>
                <w:rFonts w:asciiTheme="majorBidi" w:hAnsiTheme="majorBidi" w:cstheme="majorBidi"/>
                <w:i/>
                <w:iCs/>
                <w:sz w:val="20"/>
                <w:szCs w:val="20"/>
              </w:rPr>
              <w:t>• Selon le sexe</w:t>
            </w:r>
          </w:p>
        </w:tc>
      </w:tr>
      <w:tr w:rsidR="00E4316D" w:rsidRPr="009660EC" w:rsidTr="00F54174">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Hommes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14,4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7,1</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11,7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14,0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7,4</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11,6</w:t>
            </w:r>
          </w:p>
        </w:tc>
      </w:tr>
      <w:tr w:rsidR="00E4316D" w:rsidRPr="009660EC" w:rsidTr="00F54174">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Femmes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25,7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6,6</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19,8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26,1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7,6</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20,8</w:t>
            </w:r>
          </w:p>
        </w:tc>
      </w:tr>
      <w:tr w:rsidR="00DA2942" w:rsidRPr="009660EC" w:rsidTr="00F54174">
        <w:trPr>
          <w:trHeight w:val="309"/>
          <w:jc w:val="center"/>
        </w:trPr>
        <w:tc>
          <w:tcPr>
            <w:tcW w:w="96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hAnsiTheme="majorBidi" w:cstheme="majorBidi"/>
                <w:i/>
                <w:iCs/>
                <w:sz w:val="20"/>
                <w:szCs w:val="20"/>
              </w:rPr>
            </w:pPr>
            <w:r w:rsidRPr="009660EC">
              <w:rPr>
                <w:rFonts w:asciiTheme="majorBidi" w:hAnsiTheme="majorBidi" w:cstheme="majorBidi"/>
                <w:i/>
                <w:iCs/>
                <w:sz w:val="20"/>
                <w:szCs w:val="20"/>
              </w:rPr>
              <w:t>• Selon l'âge</w:t>
            </w:r>
          </w:p>
        </w:tc>
      </w:tr>
      <w:tr w:rsidR="00E4316D" w:rsidRPr="009660EC" w:rsidTr="00F54174">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15-24 ans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49,7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23,3</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38,2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50,3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24,7</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39,5</w:t>
            </w:r>
          </w:p>
        </w:tc>
      </w:tr>
      <w:tr w:rsidR="00E4316D" w:rsidRPr="009660EC" w:rsidTr="00F54174">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25-34 ans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25,6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10,2</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20,9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25,9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9,0</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20,9</w:t>
            </w:r>
          </w:p>
        </w:tc>
      </w:tr>
      <w:tr w:rsidR="00E4316D" w:rsidRPr="009660EC" w:rsidTr="00F54174">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35-44 ans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10,3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9C5700"/>
              </w:rPr>
            </w:pPr>
            <w:r w:rsidRPr="0047463D">
              <w:rPr>
                <w:rFonts w:ascii="Garamond" w:hAnsi="Garamond" w:cs="Calibri"/>
                <w:color w:val="000000"/>
              </w:rPr>
              <w:t>3,6</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8,1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9,3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4,2</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7,7</w:t>
            </w:r>
          </w:p>
        </w:tc>
      </w:tr>
      <w:tr w:rsidR="00E4316D" w:rsidRPr="009660EC" w:rsidTr="00F54174">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45 ans et plus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5,0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1,8</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3,7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5,1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2,6</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4,1</w:t>
            </w:r>
          </w:p>
        </w:tc>
      </w:tr>
      <w:tr w:rsidR="00DA2942" w:rsidRPr="009660EC" w:rsidTr="00F54174">
        <w:trPr>
          <w:trHeight w:val="309"/>
          <w:jc w:val="center"/>
        </w:trPr>
        <w:tc>
          <w:tcPr>
            <w:tcW w:w="96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hAnsiTheme="majorBidi" w:cstheme="majorBidi"/>
                <w:i/>
                <w:iCs/>
                <w:sz w:val="20"/>
                <w:szCs w:val="20"/>
              </w:rPr>
            </w:pPr>
            <w:r w:rsidRPr="009660EC">
              <w:rPr>
                <w:rFonts w:asciiTheme="majorBidi" w:hAnsiTheme="majorBidi" w:cstheme="majorBidi"/>
                <w:i/>
                <w:iCs/>
                <w:sz w:val="20"/>
                <w:szCs w:val="20"/>
              </w:rPr>
              <w:t>• Selon le diplôme</w:t>
            </w:r>
          </w:p>
        </w:tc>
      </w:tr>
      <w:tr w:rsidR="00E4316D" w:rsidRPr="009660EC" w:rsidTr="00F54174">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Non diplômés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8,2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3,1</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5,5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7,2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4,0</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5,5</w:t>
            </w:r>
          </w:p>
        </w:tc>
      </w:tr>
      <w:tr w:rsidR="00E4316D" w:rsidRPr="009660EC" w:rsidTr="00F54174">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4316D" w:rsidRPr="009660EC" w:rsidRDefault="00E4316D" w:rsidP="00E4316D">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Diplômés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21,1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14,9</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47463D" w:rsidRDefault="00E4316D" w:rsidP="00E4316D">
            <w:pPr>
              <w:spacing w:before="240" w:after="240" w:line="312" w:lineRule="auto"/>
              <w:ind w:firstLineChars="100" w:firstLine="220"/>
              <w:contextualSpacing/>
              <w:jc w:val="right"/>
              <w:rPr>
                <w:rFonts w:ascii="Garamond" w:hAnsi="Garamond" w:cs="Calibri"/>
                <w:color w:val="000000"/>
              </w:rPr>
            </w:pPr>
            <w:r w:rsidRPr="0047463D">
              <w:rPr>
                <w:rFonts w:ascii="Garamond" w:hAnsi="Garamond" w:cs="Calibri"/>
                <w:color w:val="000000"/>
              </w:rPr>
              <w:t>19,8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21,3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14,0</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E4316D" w:rsidRPr="009660EC" w:rsidRDefault="00E4316D" w:rsidP="00E4316D">
            <w:pPr>
              <w:spacing w:before="240" w:after="240" w:line="312" w:lineRule="auto"/>
              <w:ind w:firstLineChars="100" w:firstLine="220"/>
              <w:contextualSpacing/>
              <w:jc w:val="right"/>
              <w:rPr>
                <w:rFonts w:ascii="Garamond" w:hAnsi="Garamond" w:cs="Calibri"/>
                <w:color w:val="000000"/>
                <w:sz w:val="20"/>
                <w:szCs w:val="20"/>
              </w:rPr>
            </w:pPr>
            <w:r>
              <w:rPr>
                <w:rFonts w:ascii="Garamond" w:hAnsi="Garamond" w:cs="Calibri"/>
                <w:color w:val="000000"/>
              </w:rPr>
              <w:t>19,8</w:t>
            </w:r>
          </w:p>
        </w:tc>
      </w:tr>
    </w:tbl>
    <w:p w:rsidR="00DA2942" w:rsidRDefault="00DA2942" w:rsidP="00A810BF">
      <w:pPr>
        <w:numPr>
          <w:ilvl w:val="0"/>
          <w:numId w:val="1"/>
        </w:numPr>
        <w:tabs>
          <w:tab w:val="left" w:pos="-720"/>
        </w:tabs>
        <w:suppressAutoHyphens/>
        <w:spacing w:before="240" w:after="240" w:line="312" w:lineRule="auto"/>
        <w:contextualSpacing/>
        <w:jc w:val="both"/>
        <w:rPr>
          <w:rFonts w:ascii="Times New Roman" w:eastAsia="Calibri" w:hAnsi="Times New Roman" w:cs="Times New Roman"/>
          <w:color w:val="222222"/>
          <w:sz w:val="20"/>
          <w:szCs w:val="20"/>
          <w:shd w:val="clear" w:color="auto" w:fill="FFFFFF"/>
          <w:lang w:eastAsia="en-US"/>
        </w:rPr>
      </w:pPr>
      <w:r>
        <w:rPr>
          <w:rFonts w:ascii="Times New Roman" w:eastAsia="Calibri" w:hAnsi="Times New Roman" w:cs="Times New Roman"/>
          <w:color w:val="222222"/>
          <w:sz w:val="20"/>
          <w:szCs w:val="20"/>
          <w:shd w:val="clear" w:color="auto" w:fill="FFFFFF"/>
          <w:lang w:eastAsia="en-US"/>
        </w:rPr>
        <w:t xml:space="preserve">Source : Enquête nationale sur l'emploi, Haut-commissariat au Plan </w:t>
      </w:r>
    </w:p>
    <w:p w:rsidR="00DA2942" w:rsidRDefault="00DA2942" w:rsidP="00A810BF">
      <w:pPr>
        <w:numPr>
          <w:ilvl w:val="0"/>
          <w:numId w:val="1"/>
        </w:numPr>
        <w:tabs>
          <w:tab w:val="left" w:pos="-720"/>
        </w:tabs>
        <w:suppressAutoHyphens/>
        <w:spacing w:before="240" w:after="240" w:line="312" w:lineRule="auto"/>
        <w:contextualSpacing/>
        <w:jc w:val="both"/>
        <w:rPr>
          <w:rFonts w:ascii="Times New Roman" w:eastAsia="Calibri" w:hAnsi="Times New Roman" w:cs="Times New Roman"/>
          <w:color w:val="222222"/>
          <w:sz w:val="20"/>
          <w:szCs w:val="20"/>
          <w:shd w:val="clear" w:color="auto" w:fill="FFFFFF"/>
          <w:lang w:eastAsia="en-US"/>
        </w:rPr>
      </w:pPr>
      <w:r>
        <w:rPr>
          <w:rFonts w:ascii="Times New Roman" w:eastAsia="Calibri" w:hAnsi="Times New Roman" w:cs="Times New Roman"/>
          <w:color w:val="222222"/>
          <w:sz w:val="20"/>
          <w:szCs w:val="20"/>
          <w:shd w:val="clear" w:color="auto" w:fill="FFFFFF"/>
          <w:lang w:eastAsia="en-US"/>
        </w:rPr>
        <w:t>Pour les définitions des concepts et indicateurs utilisés, se référer au glossaire disponible sur le site web du HCP </w:t>
      </w:r>
      <w:r>
        <w:rPr>
          <w:rFonts w:ascii="Times New Roman" w:eastAsia="Calibri" w:hAnsi="Times New Roman" w:cs="Times New Roman"/>
          <w:b/>
          <w:bCs/>
          <w:color w:val="222222"/>
          <w:sz w:val="20"/>
          <w:szCs w:val="20"/>
          <w:shd w:val="clear" w:color="auto" w:fill="FFFFFF"/>
          <w:lang w:eastAsia="en-US"/>
        </w:rPr>
        <w:t xml:space="preserve">: </w:t>
      </w:r>
      <w:hyperlink r:id="rId16" w:history="1">
        <w:r>
          <w:rPr>
            <w:rStyle w:val="Lienhypertexte"/>
            <w:rFonts w:ascii="Times New Roman" w:eastAsia="Calibri" w:hAnsi="Times New Roman" w:cs="Times New Roman"/>
            <w:b/>
            <w:bCs/>
            <w:color w:val="222222"/>
            <w:sz w:val="20"/>
            <w:szCs w:val="20"/>
            <w:shd w:val="clear" w:color="auto" w:fill="FFFFFF"/>
            <w:lang w:eastAsia="en-US"/>
          </w:rPr>
          <w:t>http://www.hcp.ma</w:t>
        </w:r>
      </w:hyperlink>
      <w:r>
        <w:rPr>
          <w:rFonts w:ascii="Times New Roman" w:eastAsia="Calibri" w:hAnsi="Times New Roman" w:cs="Times New Roman"/>
          <w:color w:val="222222"/>
          <w:sz w:val="20"/>
          <w:szCs w:val="20"/>
          <w:shd w:val="clear" w:color="auto" w:fill="FFFFFF"/>
          <w:lang w:eastAsia="en-US"/>
        </w:rPr>
        <w:t>.</w:t>
      </w:r>
    </w:p>
    <w:p w:rsidR="00DA2942" w:rsidRDefault="00DA2942" w:rsidP="00A810BF">
      <w:pPr>
        <w:numPr>
          <w:ilvl w:val="0"/>
          <w:numId w:val="1"/>
        </w:numPr>
        <w:tabs>
          <w:tab w:val="left" w:pos="-720"/>
        </w:tabs>
        <w:suppressAutoHyphens/>
        <w:spacing w:before="240" w:after="240" w:line="312" w:lineRule="auto"/>
        <w:contextualSpacing/>
        <w:jc w:val="both"/>
        <w:rPr>
          <w:rFonts w:ascii="Book Antiqua" w:eastAsiaTheme="minorEastAsia" w:hAnsi="Book Antiqua" w:cs="Times New Roman"/>
        </w:rPr>
      </w:pPr>
      <w:r>
        <w:rPr>
          <w:rFonts w:ascii="Times New Roman" w:eastAsia="Calibri" w:hAnsi="Times New Roman" w:cs="Times New Roman"/>
          <w:color w:val="222222"/>
          <w:sz w:val="20"/>
          <w:szCs w:val="20"/>
          <w:shd w:val="clear" w:color="auto" w:fill="FFFFFF"/>
          <w:lang w:eastAsia="en-US"/>
        </w:rPr>
        <w:t>Les données chiffrées sont arrondies. Le résultat arrondi d’une combinaison de données chiffrées (qui fait intervenir leurs valeurs réelles) peut se trouver légèrement différent de celui que donnerait la combinaison de leurs valeurs arrondies.</w:t>
      </w:r>
    </w:p>
    <w:p w:rsidR="00DA2942" w:rsidRDefault="00DA2942" w:rsidP="00A810BF">
      <w:pPr>
        <w:spacing w:before="240" w:after="240" w:line="312" w:lineRule="auto"/>
        <w:contextualSpacing/>
        <w:rPr>
          <w:rFonts w:ascii="Book Antiqua" w:hAnsi="Book Antiqua" w:cs="Times New Roman"/>
        </w:rPr>
      </w:pPr>
    </w:p>
    <w:p w:rsidR="00DA2942" w:rsidRDefault="00DA2942" w:rsidP="00A810BF">
      <w:pPr>
        <w:spacing w:before="240" w:after="240" w:line="312" w:lineRule="auto"/>
        <w:contextualSpacing/>
        <w:rPr>
          <w:rFonts w:ascii="Book Antiqua" w:hAnsi="Book Antiqua" w:cs="Times New Roman"/>
        </w:rPr>
      </w:pPr>
    </w:p>
    <w:p w:rsidR="00DA2942" w:rsidRDefault="00DA2942" w:rsidP="00A810BF">
      <w:pPr>
        <w:pStyle w:val="Titre1"/>
        <w:keepLines w:val="0"/>
        <w:spacing w:before="240" w:after="240" w:line="312" w:lineRule="auto"/>
        <w:contextualSpacing/>
        <w:rPr>
          <w:rFonts w:ascii="Book Antiqua" w:eastAsia="Book Antiqua" w:hAnsi="Book Antiqua" w:cs="Book Antiqua"/>
          <w:b/>
          <w:bCs/>
          <w:color w:val="31849B" w:themeColor="accent5" w:themeShade="BF"/>
          <w:sz w:val="26"/>
          <w:szCs w:val="26"/>
        </w:rPr>
      </w:pPr>
      <w:r>
        <w:rPr>
          <w:rFonts w:ascii="Book Antiqua" w:hAnsi="Book Antiqua" w:cs="Times New Roman"/>
        </w:rPr>
        <w:br w:type="page"/>
      </w:r>
    </w:p>
    <w:tbl>
      <w:tblPr>
        <w:tblStyle w:val="Grilledutableau"/>
        <w:tblW w:w="4950" w:type="pct"/>
        <w:jc w:val="center"/>
        <w:tblLook w:val="04A0"/>
      </w:tblPr>
      <w:tblGrid>
        <w:gridCol w:w="4635"/>
        <w:gridCol w:w="2313"/>
        <w:gridCol w:w="2247"/>
      </w:tblGrid>
      <w:tr w:rsidR="00DA2942" w:rsidRPr="009660EC" w:rsidTr="00E24161">
        <w:trPr>
          <w:trHeight w:val="315"/>
          <w:jc w:val="center"/>
        </w:trPr>
        <w:tc>
          <w:tcPr>
            <w:tcW w:w="5000" w:type="pct"/>
            <w:gridSpan w:val="3"/>
            <w:tcBorders>
              <w:top w:val="nil"/>
              <w:left w:val="nil"/>
              <w:bottom w:val="single" w:sz="4" w:space="0" w:color="auto"/>
              <w:right w:val="nil"/>
            </w:tcBorders>
            <w:noWrap/>
            <w:hideMark/>
          </w:tcPr>
          <w:p w:rsidR="00DA2942" w:rsidRPr="0047463D" w:rsidRDefault="00DA2942" w:rsidP="00A810BF">
            <w:pPr>
              <w:spacing w:before="240" w:after="240" w:line="312" w:lineRule="auto"/>
              <w:contextualSpacing/>
              <w:jc w:val="center"/>
              <w:rPr>
                <w:rFonts w:ascii="Book Antiqua" w:eastAsia="Book Antiqua" w:hAnsi="Book Antiqua" w:cs="Book Antiqua"/>
                <w:b/>
                <w:color w:val="0070C0"/>
              </w:rPr>
            </w:pPr>
            <w:r w:rsidRPr="0047463D">
              <w:rPr>
                <w:rFonts w:ascii="Book Antiqua" w:eastAsia="Book Antiqua" w:hAnsi="Book Antiqua" w:cs="Book Antiqua"/>
                <w:b/>
                <w:color w:val="0070C0"/>
              </w:rPr>
              <w:lastRenderedPageBreak/>
              <w:t>Tableau 2 : Taux d'activité, d’emploi et de chômage par région (en%)</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 </w:t>
            </w:r>
          </w:p>
        </w:tc>
        <w:tc>
          <w:tcPr>
            <w:tcW w:w="1258"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jc w:val="center"/>
              <w:rPr>
                <w:rFonts w:ascii="Garamond" w:eastAsia="Book Antiqua" w:hAnsi="Garamond" w:cs="Book Antiqua"/>
                <w:b/>
                <w:bCs/>
                <w:sz w:val="20"/>
                <w:szCs w:val="20"/>
              </w:rPr>
            </w:pPr>
            <w:r w:rsidRPr="009660EC">
              <w:rPr>
                <w:rFonts w:ascii="Book Antiqua" w:eastAsia="Book Antiqua" w:hAnsi="Book Antiqua" w:cs="Book Antiqua"/>
                <w:b/>
                <w:bCs/>
                <w:sz w:val="20"/>
                <w:szCs w:val="20"/>
              </w:rPr>
              <w:t>3</w:t>
            </w:r>
            <w:r w:rsidRPr="009660EC">
              <w:rPr>
                <w:rFonts w:ascii="Book Antiqua" w:eastAsia="Book Antiqua" w:hAnsi="Book Antiqua" w:cs="Book Antiqua"/>
                <w:b/>
                <w:bCs/>
                <w:sz w:val="20"/>
                <w:szCs w:val="20"/>
                <w:vertAlign w:val="superscript"/>
              </w:rPr>
              <w:t>ème</w:t>
            </w:r>
            <w:r w:rsidRPr="009660EC">
              <w:rPr>
                <w:rFonts w:ascii="Book Antiqua" w:eastAsia="Book Antiqua" w:hAnsi="Book Antiqua" w:cs="Book Antiqua"/>
                <w:b/>
                <w:bCs/>
                <w:sz w:val="20"/>
                <w:szCs w:val="20"/>
              </w:rPr>
              <w:t xml:space="preserve"> trimestre de 202</w:t>
            </w:r>
            <w:r w:rsidR="005750A6">
              <w:rPr>
                <w:rFonts w:ascii="Book Antiqua" w:eastAsia="Book Antiqua" w:hAnsi="Book Antiqua" w:cs="Book Antiqua"/>
                <w:b/>
                <w:bCs/>
                <w:sz w:val="20"/>
                <w:szCs w:val="20"/>
              </w:rPr>
              <w:t>3</w:t>
            </w:r>
          </w:p>
        </w:tc>
        <w:tc>
          <w:tcPr>
            <w:tcW w:w="1222"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jc w:val="center"/>
              <w:rPr>
                <w:rFonts w:ascii="Garamond" w:eastAsia="Book Antiqua" w:hAnsi="Garamond" w:cs="Book Antiqua"/>
                <w:b/>
                <w:bCs/>
                <w:sz w:val="20"/>
                <w:szCs w:val="20"/>
              </w:rPr>
            </w:pPr>
            <w:r w:rsidRPr="009660EC">
              <w:rPr>
                <w:rFonts w:ascii="Book Antiqua" w:eastAsia="Book Antiqua" w:hAnsi="Book Antiqua" w:cs="Book Antiqua"/>
                <w:b/>
                <w:bCs/>
                <w:sz w:val="20"/>
                <w:szCs w:val="20"/>
              </w:rPr>
              <w:t>3</w:t>
            </w:r>
            <w:r w:rsidRPr="009660EC">
              <w:rPr>
                <w:rFonts w:ascii="Book Antiqua" w:eastAsia="Book Antiqua" w:hAnsi="Book Antiqua" w:cs="Book Antiqua"/>
                <w:b/>
                <w:bCs/>
                <w:sz w:val="20"/>
                <w:szCs w:val="20"/>
                <w:vertAlign w:val="superscript"/>
              </w:rPr>
              <w:t>ème</w:t>
            </w:r>
            <w:r w:rsidRPr="009660EC">
              <w:rPr>
                <w:rFonts w:ascii="Book Antiqua" w:eastAsia="Book Antiqua" w:hAnsi="Book Antiqua" w:cs="Book Antiqua"/>
                <w:b/>
                <w:bCs/>
                <w:sz w:val="20"/>
                <w:szCs w:val="20"/>
              </w:rPr>
              <w:t xml:space="preserve"> trimestre de 202</w:t>
            </w:r>
            <w:r w:rsidR="005750A6">
              <w:rPr>
                <w:rFonts w:ascii="Book Antiqua" w:eastAsia="Book Antiqua" w:hAnsi="Book Antiqua" w:cs="Book Antiqua"/>
                <w:b/>
                <w:bCs/>
                <w:sz w:val="20"/>
                <w:szCs w:val="20"/>
              </w:rPr>
              <w:t>4</w:t>
            </w:r>
          </w:p>
        </w:tc>
      </w:tr>
      <w:tr w:rsidR="00DA2942" w:rsidRPr="009660EC" w:rsidTr="00E24161">
        <w:trPr>
          <w:trHeight w:val="315"/>
          <w:jc w:val="center"/>
        </w:trPr>
        <w:tc>
          <w:tcPr>
            <w:tcW w:w="5000" w:type="pct"/>
            <w:gridSpan w:val="3"/>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b/>
                <w:bCs/>
                <w:color w:val="0070C0"/>
                <w:sz w:val="20"/>
                <w:szCs w:val="20"/>
                <w:highlight w:val="green"/>
              </w:rPr>
            </w:pPr>
            <w:r w:rsidRPr="009660EC">
              <w:rPr>
                <w:rFonts w:ascii="Garamond" w:hAnsi="Garamond"/>
                <w:b/>
                <w:bCs/>
                <w:color w:val="0070C0"/>
                <w:sz w:val="20"/>
                <w:szCs w:val="20"/>
              </w:rPr>
              <w:t>Taux d'activité (des 15 ans ou plus)</w:t>
            </w:r>
          </w:p>
        </w:tc>
      </w:tr>
      <w:tr w:rsidR="005750A6" w:rsidRPr="009660EC" w:rsidTr="005750A6">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5750A6" w:rsidRPr="009660EC" w:rsidRDefault="005750A6" w:rsidP="005750A6">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Tanger-Tétouan-Al Hoceïma</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47,0</w:t>
            </w:r>
          </w:p>
        </w:tc>
        <w:tc>
          <w:tcPr>
            <w:tcW w:w="1222"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47,6</w:t>
            </w:r>
          </w:p>
        </w:tc>
      </w:tr>
      <w:tr w:rsidR="005750A6" w:rsidRPr="009660EC" w:rsidTr="005750A6">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5750A6" w:rsidRPr="009660EC" w:rsidRDefault="005750A6" w:rsidP="005750A6">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Oriental</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39,9</w:t>
            </w:r>
          </w:p>
        </w:tc>
        <w:tc>
          <w:tcPr>
            <w:tcW w:w="1222"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40,2</w:t>
            </w:r>
          </w:p>
        </w:tc>
      </w:tr>
      <w:tr w:rsidR="005750A6" w:rsidRPr="009660EC" w:rsidTr="005750A6">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5750A6" w:rsidRPr="009660EC" w:rsidRDefault="005750A6" w:rsidP="005750A6">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Fès-Meknès</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41,8</w:t>
            </w:r>
          </w:p>
        </w:tc>
        <w:tc>
          <w:tcPr>
            <w:tcW w:w="1222"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43,0</w:t>
            </w:r>
          </w:p>
        </w:tc>
      </w:tr>
      <w:tr w:rsidR="005750A6" w:rsidRPr="009660EC" w:rsidTr="005750A6">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5750A6" w:rsidRPr="009660EC" w:rsidRDefault="005750A6" w:rsidP="005750A6">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Rabat-Salé-Kénitra</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43,6</w:t>
            </w:r>
          </w:p>
        </w:tc>
        <w:tc>
          <w:tcPr>
            <w:tcW w:w="1222"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43,6</w:t>
            </w:r>
          </w:p>
        </w:tc>
      </w:tr>
      <w:tr w:rsidR="005750A6" w:rsidRPr="009660EC" w:rsidTr="005750A6">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5750A6" w:rsidRPr="009660EC" w:rsidRDefault="005750A6" w:rsidP="005750A6">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Béni Mellal-Khénifra</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40,0</w:t>
            </w:r>
          </w:p>
        </w:tc>
        <w:tc>
          <w:tcPr>
            <w:tcW w:w="1222"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39,6</w:t>
            </w:r>
          </w:p>
        </w:tc>
      </w:tr>
      <w:tr w:rsidR="005750A6" w:rsidRPr="009660EC" w:rsidTr="005750A6">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5750A6" w:rsidRPr="009660EC" w:rsidRDefault="005750A6" w:rsidP="005750A6">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Casablanca-Settat</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45,9</w:t>
            </w:r>
          </w:p>
        </w:tc>
        <w:tc>
          <w:tcPr>
            <w:tcW w:w="1222"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45,7</w:t>
            </w:r>
          </w:p>
        </w:tc>
      </w:tr>
      <w:tr w:rsidR="005750A6" w:rsidRPr="009660EC" w:rsidTr="005750A6">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5750A6" w:rsidRPr="009660EC" w:rsidRDefault="005750A6" w:rsidP="005750A6">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Marrakech-Safi</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43,8</w:t>
            </w:r>
          </w:p>
        </w:tc>
        <w:tc>
          <w:tcPr>
            <w:tcW w:w="1222"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43,7</w:t>
            </w:r>
          </w:p>
        </w:tc>
      </w:tr>
      <w:tr w:rsidR="005750A6" w:rsidRPr="009660EC" w:rsidTr="005750A6">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5750A6" w:rsidRPr="009660EC" w:rsidRDefault="005750A6" w:rsidP="005750A6">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Drâa-Tafilalet</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38,3</w:t>
            </w:r>
          </w:p>
        </w:tc>
        <w:tc>
          <w:tcPr>
            <w:tcW w:w="1222"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38,7</w:t>
            </w:r>
          </w:p>
        </w:tc>
      </w:tr>
      <w:tr w:rsidR="005750A6" w:rsidRPr="009660EC" w:rsidTr="005750A6">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5750A6" w:rsidRPr="009660EC" w:rsidRDefault="005750A6" w:rsidP="005750A6">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Souss-Massa</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39,5</w:t>
            </w:r>
          </w:p>
        </w:tc>
        <w:tc>
          <w:tcPr>
            <w:tcW w:w="1222"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41,7</w:t>
            </w:r>
          </w:p>
        </w:tc>
      </w:tr>
      <w:tr w:rsidR="005750A6" w:rsidRPr="009660EC" w:rsidTr="005750A6">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5750A6" w:rsidRPr="009660EC" w:rsidRDefault="005750A6" w:rsidP="005750A6">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Régions du Sud</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45,6</w:t>
            </w:r>
          </w:p>
        </w:tc>
        <w:tc>
          <w:tcPr>
            <w:tcW w:w="1222"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45,4</w:t>
            </w:r>
          </w:p>
        </w:tc>
      </w:tr>
      <w:tr w:rsidR="005750A6" w:rsidRPr="009660EC" w:rsidTr="005750A6">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5750A6" w:rsidRPr="009660EC" w:rsidRDefault="005750A6" w:rsidP="005750A6">
            <w:pPr>
              <w:spacing w:before="240" w:after="240" w:line="312" w:lineRule="auto"/>
              <w:contextualSpacing/>
              <w:rPr>
                <w:rFonts w:ascii="Garamond" w:eastAsia="Book Antiqua" w:hAnsi="Garamond" w:cs="Book Antiqua"/>
                <w:b/>
                <w:bCs/>
                <w:sz w:val="20"/>
                <w:szCs w:val="20"/>
              </w:rPr>
            </w:pPr>
            <w:r w:rsidRPr="009660EC">
              <w:rPr>
                <w:rFonts w:ascii="Garamond" w:eastAsia="Book Antiqua" w:hAnsi="Garamond" w:cs="Book Antiqua"/>
                <w:b/>
                <w:bCs/>
                <w:sz w:val="20"/>
                <w:szCs w:val="20"/>
              </w:rPr>
              <w:t>Ensemble</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5750A6" w:rsidRPr="009660EC" w:rsidRDefault="005750A6" w:rsidP="005750A6">
            <w:pPr>
              <w:spacing w:before="240" w:after="240" w:line="312" w:lineRule="auto"/>
              <w:ind w:firstLineChars="300" w:firstLine="602"/>
              <w:contextualSpacing/>
              <w:jc w:val="center"/>
              <w:rPr>
                <w:rFonts w:ascii="Garamond" w:hAnsi="Garamond" w:cs="Calibri"/>
                <w:b/>
                <w:bCs/>
                <w:color w:val="000000"/>
                <w:sz w:val="20"/>
                <w:szCs w:val="20"/>
              </w:rPr>
            </w:pPr>
            <w:r w:rsidRPr="009660EC">
              <w:rPr>
                <w:rFonts w:ascii="Garamond" w:hAnsi="Garamond" w:cs="Calibri"/>
                <w:b/>
                <w:bCs/>
                <w:color w:val="000000"/>
                <w:sz w:val="20"/>
                <w:szCs w:val="20"/>
              </w:rPr>
              <w:t>43,2</w:t>
            </w:r>
          </w:p>
        </w:tc>
        <w:tc>
          <w:tcPr>
            <w:tcW w:w="1222" w:type="pct"/>
            <w:tcBorders>
              <w:top w:val="single" w:sz="4" w:space="0" w:color="auto"/>
              <w:left w:val="single" w:sz="4" w:space="0" w:color="auto"/>
              <w:bottom w:val="single" w:sz="4" w:space="0" w:color="auto"/>
              <w:right w:val="single" w:sz="4" w:space="0" w:color="auto"/>
            </w:tcBorders>
            <w:noWrap/>
            <w:vAlign w:val="bottom"/>
          </w:tcPr>
          <w:p w:rsidR="005750A6" w:rsidRPr="005750A6" w:rsidRDefault="005750A6" w:rsidP="005750A6">
            <w:pPr>
              <w:spacing w:before="240" w:after="240" w:line="312" w:lineRule="auto"/>
              <w:ind w:firstLineChars="300" w:firstLine="602"/>
              <w:contextualSpacing/>
              <w:jc w:val="center"/>
              <w:rPr>
                <w:rFonts w:ascii="Garamond" w:hAnsi="Garamond" w:cs="Calibri"/>
                <w:b/>
                <w:bCs/>
                <w:color w:val="000000"/>
                <w:sz w:val="20"/>
                <w:szCs w:val="20"/>
              </w:rPr>
            </w:pPr>
            <w:r w:rsidRPr="005750A6">
              <w:rPr>
                <w:rFonts w:ascii="Garamond" w:hAnsi="Garamond" w:cs="Calibri"/>
                <w:b/>
                <w:bCs/>
                <w:color w:val="000000"/>
                <w:sz w:val="20"/>
                <w:szCs w:val="20"/>
              </w:rPr>
              <w:t>43,6</w:t>
            </w:r>
          </w:p>
        </w:tc>
      </w:tr>
      <w:tr w:rsidR="00DA2942" w:rsidRPr="009660EC" w:rsidTr="00E24161">
        <w:trPr>
          <w:trHeight w:val="315"/>
          <w:jc w:val="center"/>
        </w:trPr>
        <w:tc>
          <w:tcPr>
            <w:tcW w:w="5000" w:type="pct"/>
            <w:gridSpan w:val="3"/>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b/>
                <w:bCs/>
                <w:color w:val="0070C0"/>
                <w:sz w:val="20"/>
                <w:szCs w:val="20"/>
              </w:rPr>
            </w:pPr>
            <w:r w:rsidRPr="009660EC">
              <w:rPr>
                <w:rFonts w:ascii="Garamond" w:hAnsi="Garamond"/>
                <w:b/>
                <w:bCs/>
                <w:color w:val="0070C0"/>
                <w:sz w:val="20"/>
                <w:szCs w:val="20"/>
              </w:rPr>
              <w:t>Taux d'emploi (des 15 ans ou plus)</w:t>
            </w:r>
          </w:p>
        </w:tc>
      </w:tr>
      <w:tr w:rsidR="005750A6"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5750A6" w:rsidRPr="009660EC" w:rsidRDefault="005750A6" w:rsidP="005750A6">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Tanger-Tétouan-Al Hoceïma</w:t>
            </w:r>
          </w:p>
        </w:tc>
        <w:tc>
          <w:tcPr>
            <w:tcW w:w="1258"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42,6</w:t>
            </w:r>
          </w:p>
        </w:tc>
        <w:tc>
          <w:tcPr>
            <w:tcW w:w="1222"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42,9</w:t>
            </w:r>
          </w:p>
        </w:tc>
      </w:tr>
      <w:tr w:rsidR="005750A6"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5750A6" w:rsidRPr="009660EC" w:rsidRDefault="005750A6" w:rsidP="005750A6">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Oriental</w:t>
            </w:r>
          </w:p>
        </w:tc>
        <w:tc>
          <w:tcPr>
            <w:tcW w:w="1258"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31,8</w:t>
            </w:r>
          </w:p>
        </w:tc>
        <w:tc>
          <w:tcPr>
            <w:tcW w:w="1222"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31,5</w:t>
            </w:r>
          </w:p>
        </w:tc>
      </w:tr>
      <w:tr w:rsidR="005750A6"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5750A6" w:rsidRPr="009660EC" w:rsidRDefault="005750A6" w:rsidP="005750A6">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Fès-Meknès</w:t>
            </w:r>
          </w:p>
        </w:tc>
        <w:tc>
          <w:tcPr>
            <w:tcW w:w="1258"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35,6</w:t>
            </w:r>
          </w:p>
        </w:tc>
        <w:tc>
          <w:tcPr>
            <w:tcW w:w="1222"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36,4</w:t>
            </w:r>
          </w:p>
        </w:tc>
      </w:tr>
      <w:tr w:rsidR="005750A6"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5750A6" w:rsidRPr="009660EC" w:rsidRDefault="005750A6" w:rsidP="005750A6">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Rabat-Salé-Kénitra</w:t>
            </w:r>
          </w:p>
        </w:tc>
        <w:tc>
          <w:tcPr>
            <w:tcW w:w="1258"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38,6</w:t>
            </w:r>
          </w:p>
        </w:tc>
        <w:tc>
          <w:tcPr>
            <w:tcW w:w="1222"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38,4</w:t>
            </w:r>
          </w:p>
        </w:tc>
      </w:tr>
      <w:tr w:rsidR="005750A6"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5750A6" w:rsidRPr="009660EC" w:rsidRDefault="005750A6" w:rsidP="005750A6">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Béni Mellal-Khénifra</w:t>
            </w:r>
          </w:p>
        </w:tc>
        <w:tc>
          <w:tcPr>
            <w:tcW w:w="1258"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34,7</w:t>
            </w:r>
          </w:p>
        </w:tc>
        <w:tc>
          <w:tcPr>
            <w:tcW w:w="1222"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35,0</w:t>
            </w:r>
          </w:p>
        </w:tc>
      </w:tr>
      <w:tr w:rsidR="005750A6"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5750A6" w:rsidRPr="009660EC" w:rsidRDefault="005750A6" w:rsidP="005750A6">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Casablanca-Settat</w:t>
            </w:r>
          </w:p>
        </w:tc>
        <w:tc>
          <w:tcPr>
            <w:tcW w:w="1258"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39,0</w:t>
            </w:r>
          </w:p>
        </w:tc>
        <w:tc>
          <w:tcPr>
            <w:tcW w:w="1222"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38,7</w:t>
            </w:r>
          </w:p>
        </w:tc>
      </w:tr>
      <w:tr w:rsidR="005750A6"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5750A6" w:rsidRPr="009660EC" w:rsidRDefault="005750A6" w:rsidP="005750A6">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Marrakech-Safi</w:t>
            </w:r>
          </w:p>
        </w:tc>
        <w:tc>
          <w:tcPr>
            <w:tcW w:w="1258"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40,1</w:t>
            </w:r>
          </w:p>
        </w:tc>
        <w:tc>
          <w:tcPr>
            <w:tcW w:w="1222"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39,4</w:t>
            </w:r>
          </w:p>
        </w:tc>
      </w:tr>
      <w:tr w:rsidR="005750A6"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5750A6" w:rsidRPr="009660EC" w:rsidRDefault="005750A6" w:rsidP="005750A6">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Drâa-Tafilalet</w:t>
            </w:r>
          </w:p>
        </w:tc>
        <w:tc>
          <w:tcPr>
            <w:tcW w:w="1258"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32,5</w:t>
            </w:r>
          </w:p>
        </w:tc>
        <w:tc>
          <w:tcPr>
            <w:tcW w:w="1222"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33,2</w:t>
            </w:r>
          </w:p>
        </w:tc>
      </w:tr>
      <w:tr w:rsidR="005750A6"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5750A6" w:rsidRPr="009660EC" w:rsidRDefault="005750A6" w:rsidP="005750A6">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Souss-Massa</w:t>
            </w:r>
          </w:p>
        </w:tc>
        <w:tc>
          <w:tcPr>
            <w:tcW w:w="1258"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33,7</w:t>
            </w:r>
          </w:p>
        </w:tc>
        <w:tc>
          <w:tcPr>
            <w:tcW w:w="1222"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36,6</w:t>
            </w:r>
          </w:p>
        </w:tc>
      </w:tr>
      <w:tr w:rsidR="005750A6"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5750A6" w:rsidRPr="009660EC" w:rsidRDefault="005750A6" w:rsidP="005750A6">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Régions du Sud</w:t>
            </w:r>
          </w:p>
        </w:tc>
        <w:tc>
          <w:tcPr>
            <w:tcW w:w="1258"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34,9</w:t>
            </w:r>
          </w:p>
        </w:tc>
        <w:tc>
          <w:tcPr>
            <w:tcW w:w="1222"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34,4</w:t>
            </w:r>
          </w:p>
        </w:tc>
      </w:tr>
      <w:tr w:rsidR="005750A6"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5750A6" w:rsidRPr="009660EC" w:rsidRDefault="005750A6" w:rsidP="005750A6">
            <w:pPr>
              <w:spacing w:before="240" w:after="240" w:line="312" w:lineRule="auto"/>
              <w:contextualSpacing/>
              <w:rPr>
                <w:rFonts w:ascii="Garamond" w:eastAsia="Book Antiqua" w:hAnsi="Garamond" w:cs="Book Antiqua"/>
                <w:b/>
                <w:bCs/>
                <w:sz w:val="20"/>
                <w:szCs w:val="20"/>
              </w:rPr>
            </w:pPr>
            <w:r w:rsidRPr="009660EC">
              <w:rPr>
                <w:rFonts w:ascii="Garamond" w:eastAsia="Book Antiqua" w:hAnsi="Garamond" w:cs="Book Antiqua"/>
                <w:b/>
                <w:bCs/>
                <w:sz w:val="20"/>
                <w:szCs w:val="20"/>
              </w:rPr>
              <w:t>Ensemble</w:t>
            </w:r>
          </w:p>
        </w:tc>
        <w:tc>
          <w:tcPr>
            <w:tcW w:w="1258" w:type="pct"/>
            <w:tcBorders>
              <w:top w:val="single" w:sz="4" w:space="0" w:color="auto"/>
              <w:left w:val="single" w:sz="4" w:space="0" w:color="auto"/>
              <w:bottom w:val="single" w:sz="4" w:space="0" w:color="auto"/>
              <w:right w:val="single" w:sz="4" w:space="0" w:color="auto"/>
            </w:tcBorders>
            <w:noWrap/>
            <w:vAlign w:val="bottom"/>
          </w:tcPr>
          <w:p w:rsidR="005750A6" w:rsidRPr="009660EC" w:rsidRDefault="005750A6" w:rsidP="005750A6">
            <w:pPr>
              <w:spacing w:before="240" w:after="240" w:line="312" w:lineRule="auto"/>
              <w:ind w:firstLineChars="300" w:firstLine="602"/>
              <w:contextualSpacing/>
              <w:jc w:val="center"/>
              <w:rPr>
                <w:rFonts w:ascii="Garamond" w:hAnsi="Garamond" w:cs="Calibri"/>
                <w:b/>
                <w:bCs/>
                <w:color w:val="000000"/>
                <w:sz w:val="20"/>
                <w:szCs w:val="20"/>
              </w:rPr>
            </w:pPr>
            <w:r w:rsidRPr="009660EC">
              <w:rPr>
                <w:rFonts w:ascii="Garamond" w:hAnsi="Garamond" w:cs="Calibri"/>
                <w:b/>
                <w:bCs/>
                <w:color w:val="000000"/>
                <w:sz w:val="20"/>
                <w:szCs w:val="20"/>
              </w:rPr>
              <w:t>37,4</w:t>
            </w:r>
          </w:p>
        </w:tc>
        <w:tc>
          <w:tcPr>
            <w:tcW w:w="1222" w:type="pct"/>
            <w:tcBorders>
              <w:top w:val="single" w:sz="4" w:space="0" w:color="auto"/>
              <w:left w:val="single" w:sz="4" w:space="0" w:color="auto"/>
              <w:bottom w:val="single" w:sz="4" w:space="0" w:color="auto"/>
              <w:right w:val="single" w:sz="4" w:space="0" w:color="auto"/>
            </w:tcBorders>
            <w:noWrap/>
            <w:vAlign w:val="bottom"/>
          </w:tcPr>
          <w:p w:rsidR="005750A6" w:rsidRPr="005750A6" w:rsidRDefault="005750A6" w:rsidP="005750A6">
            <w:pPr>
              <w:spacing w:before="240" w:after="240" w:line="312" w:lineRule="auto"/>
              <w:ind w:firstLineChars="300" w:firstLine="602"/>
              <w:contextualSpacing/>
              <w:jc w:val="center"/>
              <w:rPr>
                <w:rFonts w:ascii="Garamond" w:hAnsi="Garamond" w:cs="Calibri"/>
                <w:b/>
                <w:bCs/>
                <w:color w:val="000000"/>
                <w:sz w:val="20"/>
                <w:szCs w:val="20"/>
              </w:rPr>
            </w:pPr>
            <w:r w:rsidRPr="005750A6">
              <w:rPr>
                <w:rFonts w:ascii="Garamond" w:hAnsi="Garamond" w:cs="Calibri"/>
                <w:b/>
                <w:bCs/>
                <w:color w:val="000000"/>
                <w:sz w:val="20"/>
                <w:szCs w:val="20"/>
              </w:rPr>
              <w:t>37,6</w:t>
            </w:r>
          </w:p>
        </w:tc>
      </w:tr>
      <w:tr w:rsidR="00DA2942" w:rsidRPr="009660EC" w:rsidTr="00E24161">
        <w:trPr>
          <w:trHeight w:val="315"/>
          <w:jc w:val="center"/>
        </w:trPr>
        <w:tc>
          <w:tcPr>
            <w:tcW w:w="5000" w:type="pct"/>
            <w:gridSpan w:val="3"/>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b/>
                <w:bCs/>
                <w:sz w:val="20"/>
                <w:szCs w:val="20"/>
              </w:rPr>
            </w:pPr>
            <w:r w:rsidRPr="009660EC">
              <w:rPr>
                <w:rFonts w:ascii="Garamond" w:hAnsi="Garamond"/>
                <w:b/>
                <w:bCs/>
                <w:color w:val="0070C0"/>
                <w:sz w:val="20"/>
                <w:szCs w:val="20"/>
              </w:rPr>
              <w:t>Taux de chômage</w:t>
            </w:r>
          </w:p>
        </w:tc>
      </w:tr>
      <w:tr w:rsidR="00F54174"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F54174" w:rsidRPr="009660EC" w:rsidRDefault="00F54174" w:rsidP="00F54174">
            <w:pPr>
              <w:tabs>
                <w:tab w:val="left" w:pos="2505"/>
              </w:tabs>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Tanger-Tétouan-Al Hoceïma</w:t>
            </w:r>
            <w:r w:rsidRPr="009660EC">
              <w:rPr>
                <w:rFonts w:ascii="Garamond" w:eastAsia="Book Antiqua" w:hAnsi="Garamond" w:cs="Book Antiqua"/>
                <w:sz w:val="20"/>
                <w:szCs w:val="20"/>
              </w:rPr>
              <w:tab/>
            </w:r>
          </w:p>
        </w:tc>
        <w:tc>
          <w:tcPr>
            <w:tcW w:w="1258" w:type="pct"/>
            <w:tcBorders>
              <w:top w:val="single" w:sz="4" w:space="0" w:color="auto"/>
              <w:left w:val="single" w:sz="4" w:space="0" w:color="auto"/>
              <w:bottom w:val="single" w:sz="4" w:space="0" w:color="auto"/>
              <w:right w:val="single" w:sz="4" w:space="0" w:color="auto"/>
            </w:tcBorders>
            <w:noWrap/>
            <w:vAlign w:val="bottom"/>
          </w:tcPr>
          <w:p w:rsidR="00F54174" w:rsidRPr="009660EC" w:rsidRDefault="00F54174" w:rsidP="00F54174">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9,4</w:t>
            </w:r>
          </w:p>
        </w:tc>
        <w:tc>
          <w:tcPr>
            <w:tcW w:w="1222" w:type="pct"/>
            <w:tcBorders>
              <w:top w:val="single" w:sz="4" w:space="0" w:color="auto"/>
              <w:left w:val="single" w:sz="4" w:space="0" w:color="auto"/>
              <w:bottom w:val="single" w:sz="4" w:space="0" w:color="auto"/>
              <w:right w:val="single" w:sz="4" w:space="0" w:color="auto"/>
            </w:tcBorders>
            <w:noWrap/>
            <w:vAlign w:val="bottom"/>
          </w:tcPr>
          <w:p w:rsidR="00F54174" w:rsidRPr="009660EC" w:rsidRDefault="00F54174" w:rsidP="00F54174">
            <w:pPr>
              <w:spacing w:before="240" w:after="240" w:line="312" w:lineRule="auto"/>
              <w:ind w:firstLineChars="300" w:firstLine="600"/>
              <w:contextualSpacing/>
              <w:jc w:val="center"/>
              <w:rPr>
                <w:rFonts w:ascii="Garamond" w:hAnsi="Garamond" w:cs="Calibri"/>
                <w:color w:val="000000"/>
                <w:sz w:val="20"/>
                <w:szCs w:val="20"/>
              </w:rPr>
            </w:pPr>
            <w:r w:rsidRPr="00F54174">
              <w:rPr>
                <w:rFonts w:ascii="Garamond" w:hAnsi="Garamond" w:cs="Calibri"/>
                <w:color w:val="000000"/>
                <w:sz w:val="20"/>
                <w:szCs w:val="20"/>
              </w:rPr>
              <w:t>9,9</w:t>
            </w:r>
          </w:p>
        </w:tc>
      </w:tr>
      <w:tr w:rsidR="00F54174"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F54174" w:rsidRPr="009660EC" w:rsidRDefault="00F54174" w:rsidP="00F54174">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Oriental</w:t>
            </w:r>
          </w:p>
        </w:tc>
        <w:tc>
          <w:tcPr>
            <w:tcW w:w="1258" w:type="pct"/>
            <w:tcBorders>
              <w:top w:val="single" w:sz="4" w:space="0" w:color="auto"/>
              <w:left w:val="single" w:sz="4" w:space="0" w:color="auto"/>
              <w:bottom w:val="single" w:sz="4" w:space="0" w:color="auto"/>
              <w:right w:val="single" w:sz="4" w:space="0" w:color="auto"/>
            </w:tcBorders>
            <w:noWrap/>
            <w:vAlign w:val="bottom"/>
          </w:tcPr>
          <w:p w:rsidR="00F54174" w:rsidRPr="009660EC" w:rsidRDefault="00F54174" w:rsidP="00F54174">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20,3</w:t>
            </w:r>
          </w:p>
        </w:tc>
        <w:tc>
          <w:tcPr>
            <w:tcW w:w="1222" w:type="pct"/>
            <w:tcBorders>
              <w:top w:val="single" w:sz="4" w:space="0" w:color="auto"/>
              <w:left w:val="single" w:sz="4" w:space="0" w:color="auto"/>
              <w:bottom w:val="single" w:sz="4" w:space="0" w:color="auto"/>
              <w:right w:val="single" w:sz="4" w:space="0" w:color="auto"/>
            </w:tcBorders>
            <w:noWrap/>
            <w:vAlign w:val="bottom"/>
          </w:tcPr>
          <w:p w:rsidR="00F54174" w:rsidRPr="009660EC" w:rsidRDefault="00F54174" w:rsidP="00F54174">
            <w:pPr>
              <w:spacing w:before="240" w:after="240" w:line="312" w:lineRule="auto"/>
              <w:ind w:firstLineChars="300" w:firstLine="600"/>
              <w:contextualSpacing/>
              <w:jc w:val="center"/>
              <w:rPr>
                <w:rFonts w:ascii="Garamond" w:hAnsi="Garamond" w:cs="Calibri"/>
                <w:color w:val="000000"/>
                <w:sz w:val="20"/>
                <w:szCs w:val="20"/>
              </w:rPr>
            </w:pPr>
            <w:r w:rsidRPr="00F54174">
              <w:rPr>
                <w:rFonts w:ascii="Garamond" w:hAnsi="Garamond" w:cs="Calibri"/>
                <w:color w:val="000000"/>
                <w:sz w:val="20"/>
                <w:szCs w:val="20"/>
              </w:rPr>
              <w:t>21,4</w:t>
            </w:r>
          </w:p>
        </w:tc>
      </w:tr>
      <w:tr w:rsidR="00F54174"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F54174" w:rsidRPr="009660EC" w:rsidRDefault="00F54174" w:rsidP="00F54174">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Fès-Meknès</w:t>
            </w:r>
          </w:p>
        </w:tc>
        <w:tc>
          <w:tcPr>
            <w:tcW w:w="1258" w:type="pct"/>
            <w:tcBorders>
              <w:top w:val="single" w:sz="4" w:space="0" w:color="auto"/>
              <w:left w:val="single" w:sz="4" w:space="0" w:color="auto"/>
              <w:bottom w:val="single" w:sz="4" w:space="0" w:color="auto"/>
              <w:right w:val="single" w:sz="4" w:space="0" w:color="auto"/>
            </w:tcBorders>
            <w:noWrap/>
            <w:vAlign w:val="bottom"/>
          </w:tcPr>
          <w:p w:rsidR="00F54174" w:rsidRPr="009660EC" w:rsidRDefault="00F54174" w:rsidP="00F54174">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14,9</w:t>
            </w:r>
          </w:p>
        </w:tc>
        <w:tc>
          <w:tcPr>
            <w:tcW w:w="1222" w:type="pct"/>
            <w:tcBorders>
              <w:top w:val="single" w:sz="4" w:space="0" w:color="auto"/>
              <w:left w:val="single" w:sz="4" w:space="0" w:color="auto"/>
              <w:bottom w:val="single" w:sz="4" w:space="0" w:color="auto"/>
              <w:right w:val="single" w:sz="4" w:space="0" w:color="auto"/>
            </w:tcBorders>
            <w:noWrap/>
            <w:vAlign w:val="bottom"/>
          </w:tcPr>
          <w:p w:rsidR="00F54174" w:rsidRPr="009660EC" w:rsidRDefault="00F54174" w:rsidP="00F54174">
            <w:pPr>
              <w:spacing w:before="240" w:after="240" w:line="312" w:lineRule="auto"/>
              <w:ind w:firstLineChars="300" w:firstLine="600"/>
              <w:contextualSpacing/>
              <w:jc w:val="center"/>
              <w:rPr>
                <w:rFonts w:ascii="Garamond" w:hAnsi="Garamond" w:cs="Calibri"/>
                <w:color w:val="000000"/>
                <w:sz w:val="20"/>
                <w:szCs w:val="20"/>
              </w:rPr>
            </w:pPr>
            <w:r w:rsidRPr="00F54174">
              <w:rPr>
                <w:rFonts w:ascii="Garamond" w:hAnsi="Garamond" w:cs="Calibri"/>
                <w:color w:val="000000"/>
                <w:sz w:val="20"/>
                <w:szCs w:val="20"/>
              </w:rPr>
              <w:t>15,2</w:t>
            </w:r>
          </w:p>
        </w:tc>
      </w:tr>
      <w:tr w:rsidR="00F54174"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F54174" w:rsidRPr="009660EC" w:rsidRDefault="00F54174" w:rsidP="00F54174">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Rabat-Salé-Kénitra</w:t>
            </w:r>
          </w:p>
        </w:tc>
        <w:tc>
          <w:tcPr>
            <w:tcW w:w="1258" w:type="pct"/>
            <w:tcBorders>
              <w:top w:val="single" w:sz="4" w:space="0" w:color="auto"/>
              <w:left w:val="single" w:sz="4" w:space="0" w:color="auto"/>
              <w:bottom w:val="single" w:sz="4" w:space="0" w:color="auto"/>
              <w:right w:val="single" w:sz="4" w:space="0" w:color="auto"/>
            </w:tcBorders>
            <w:noWrap/>
            <w:vAlign w:val="bottom"/>
          </w:tcPr>
          <w:p w:rsidR="00F54174" w:rsidRPr="009660EC" w:rsidRDefault="00F54174" w:rsidP="00F54174">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11,5</w:t>
            </w:r>
          </w:p>
        </w:tc>
        <w:tc>
          <w:tcPr>
            <w:tcW w:w="1222" w:type="pct"/>
            <w:tcBorders>
              <w:top w:val="single" w:sz="4" w:space="0" w:color="auto"/>
              <w:left w:val="single" w:sz="4" w:space="0" w:color="auto"/>
              <w:bottom w:val="single" w:sz="4" w:space="0" w:color="auto"/>
              <w:right w:val="single" w:sz="4" w:space="0" w:color="auto"/>
            </w:tcBorders>
            <w:noWrap/>
            <w:vAlign w:val="bottom"/>
          </w:tcPr>
          <w:p w:rsidR="00F54174" w:rsidRPr="009660EC" w:rsidRDefault="00F54174" w:rsidP="00F54174">
            <w:pPr>
              <w:spacing w:before="240" w:after="240" w:line="312" w:lineRule="auto"/>
              <w:ind w:firstLineChars="300" w:firstLine="600"/>
              <w:contextualSpacing/>
              <w:jc w:val="center"/>
              <w:rPr>
                <w:rFonts w:ascii="Garamond" w:hAnsi="Garamond" w:cs="Calibri"/>
                <w:color w:val="000000"/>
                <w:sz w:val="20"/>
                <w:szCs w:val="20"/>
              </w:rPr>
            </w:pPr>
            <w:r w:rsidRPr="00F54174">
              <w:rPr>
                <w:rFonts w:ascii="Garamond" w:hAnsi="Garamond" w:cs="Calibri"/>
                <w:color w:val="000000"/>
                <w:sz w:val="20"/>
                <w:szCs w:val="20"/>
              </w:rPr>
              <w:t>11,9</w:t>
            </w:r>
          </w:p>
        </w:tc>
      </w:tr>
      <w:tr w:rsidR="00F54174"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F54174" w:rsidRPr="009660EC" w:rsidRDefault="00F54174" w:rsidP="00F54174">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Béni Mellal-Khénifra</w:t>
            </w:r>
          </w:p>
        </w:tc>
        <w:tc>
          <w:tcPr>
            <w:tcW w:w="1258" w:type="pct"/>
            <w:tcBorders>
              <w:top w:val="single" w:sz="4" w:space="0" w:color="auto"/>
              <w:left w:val="single" w:sz="4" w:space="0" w:color="auto"/>
              <w:bottom w:val="single" w:sz="4" w:space="0" w:color="auto"/>
              <w:right w:val="single" w:sz="4" w:space="0" w:color="auto"/>
            </w:tcBorders>
            <w:noWrap/>
            <w:vAlign w:val="bottom"/>
          </w:tcPr>
          <w:p w:rsidR="00F54174" w:rsidRPr="009660EC" w:rsidRDefault="00F54174" w:rsidP="00F54174">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13,3</w:t>
            </w:r>
          </w:p>
        </w:tc>
        <w:tc>
          <w:tcPr>
            <w:tcW w:w="1222" w:type="pct"/>
            <w:tcBorders>
              <w:top w:val="single" w:sz="4" w:space="0" w:color="auto"/>
              <w:left w:val="single" w:sz="4" w:space="0" w:color="auto"/>
              <w:bottom w:val="single" w:sz="4" w:space="0" w:color="auto"/>
              <w:right w:val="single" w:sz="4" w:space="0" w:color="auto"/>
            </w:tcBorders>
            <w:noWrap/>
            <w:vAlign w:val="bottom"/>
          </w:tcPr>
          <w:p w:rsidR="00F54174" w:rsidRPr="009660EC" w:rsidRDefault="00F54174" w:rsidP="00F54174">
            <w:pPr>
              <w:spacing w:before="240" w:after="240" w:line="312" w:lineRule="auto"/>
              <w:ind w:firstLineChars="300" w:firstLine="600"/>
              <w:contextualSpacing/>
              <w:jc w:val="center"/>
              <w:rPr>
                <w:rFonts w:ascii="Garamond" w:hAnsi="Garamond" w:cs="Calibri"/>
                <w:color w:val="000000"/>
                <w:sz w:val="20"/>
                <w:szCs w:val="20"/>
              </w:rPr>
            </w:pPr>
            <w:r w:rsidRPr="00F54174">
              <w:rPr>
                <w:rFonts w:ascii="Garamond" w:hAnsi="Garamond" w:cs="Calibri"/>
                <w:color w:val="000000"/>
                <w:sz w:val="20"/>
                <w:szCs w:val="20"/>
              </w:rPr>
              <w:t>11,7</w:t>
            </w:r>
          </w:p>
        </w:tc>
      </w:tr>
      <w:tr w:rsidR="00F54174" w:rsidRPr="009660EC" w:rsidTr="007B7AD4">
        <w:trPr>
          <w:trHeight w:val="373"/>
          <w:jc w:val="center"/>
        </w:trPr>
        <w:tc>
          <w:tcPr>
            <w:tcW w:w="2520" w:type="pct"/>
            <w:tcBorders>
              <w:top w:val="single" w:sz="4" w:space="0" w:color="auto"/>
              <w:left w:val="single" w:sz="4" w:space="0" w:color="auto"/>
              <w:bottom w:val="single" w:sz="4" w:space="0" w:color="auto"/>
              <w:right w:val="single" w:sz="4" w:space="0" w:color="auto"/>
            </w:tcBorders>
            <w:noWrap/>
            <w:hideMark/>
          </w:tcPr>
          <w:p w:rsidR="00F54174" w:rsidRPr="009660EC" w:rsidRDefault="00F54174" w:rsidP="00F54174">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Casablanca-Settat</w:t>
            </w:r>
          </w:p>
        </w:tc>
        <w:tc>
          <w:tcPr>
            <w:tcW w:w="1258" w:type="pct"/>
            <w:tcBorders>
              <w:top w:val="single" w:sz="4" w:space="0" w:color="auto"/>
              <w:left w:val="single" w:sz="4" w:space="0" w:color="auto"/>
              <w:bottom w:val="single" w:sz="4" w:space="0" w:color="auto"/>
              <w:right w:val="single" w:sz="4" w:space="0" w:color="auto"/>
            </w:tcBorders>
            <w:noWrap/>
            <w:vAlign w:val="bottom"/>
          </w:tcPr>
          <w:p w:rsidR="00F54174" w:rsidRPr="009660EC" w:rsidRDefault="00F54174" w:rsidP="00F54174">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15,0</w:t>
            </w:r>
          </w:p>
        </w:tc>
        <w:tc>
          <w:tcPr>
            <w:tcW w:w="1222" w:type="pct"/>
            <w:tcBorders>
              <w:top w:val="single" w:sz="4" w:space="0" w:color="auto"/>
              <w:left w:val="single" w:sz="4" w:space="0" w:color="auto"/>
              <w:bottom w:val="single" w:sz="4" w:space="0" w:color="auto"/>
              <w:right w:val="single" w:sz="4" w:space="0" w:color="auto"/>
            </w:tcBorders>
            <w:noWrap/>
            <w:vAlign w:val="bottom"/>
          </w:tcPr>
          <w:p w:rsidR="00F54174" w:rsidRPr="009660EC" w:rsidRDefault="00F54174" w:rsidP="00F54174">
            <w:pPr>
              <w:spacing w:before="240" w:after="240" w:line="312" w:lineRule="auto"/>
              <w:ind w:firstLineChars="300" w:firstLine="600"/>
              <w:contextualSpacing/>
              <w:jc w:val="center"/>
              <w:rPr>
                <w:rFonts w:ascii="Garamond" w:hAnsi="Garamond" w:cs="Calibri"/>
                <w:color w:val="000000"/>
                <w:sz w:val="20"/>
                <w:szCs w:val="20"/>
              </w:rPr>
            </w:pPr>
            <w:r w:rsidRPr="00F54174">
              <w:rPr>
                <w:rFonts w:ascii="Garamond" w:hAnsi="Garamond" w:cs="Calibri"/>
                <w:color w:val="000000"/>
                <w:sz w:val="20"/>
                <w:szCs w:val="20"/>
              </w:rPr>
              <w:t>15,3</w:t>
            </w:r>
          </w:p>
        </w:tc>
      </w:tr>
      <w:tr w:rsidR="00F54174"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F54174" w:rsidRPr="009660EC" w:rsidRDefault="00F54174" w:rsidP="00F54174">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Marrakech-Safi</w:t>
            </w:r>
          </w:p>
        </w:tc>
        <w:tc>
          <w:tcPr>
            <w:tcW w:w="1258" w:type="pct"/>
            <w:tcBorders>
              <w:top w:val="single" w:sz="4" w:space="0" w:color="auto"/>
              <w:left w:val="single" w:sz="4" w:space="0" w:color="auto"/>
              <w:bottom w:val="single" w:sz="4" w:space="0" w:color="auto"/>
              <w:right w:val="single" w:sz="4" w:space="0" w:color="auto"/>
            </w:tcBorders>
            <w:noWrap/>
            <w:vAlign w:val="bottom"/>
          </w:tcPr>
          <w:p w:rsidR="00F54174" w:rsidRPr="009660EC" w:rsidRDefault="00F54174" w:rsidP="00F54174">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8,3</w:t>
            </w:r>
          </w:p>
        </w:tc>
        <w:tc>
          <w:tcPr>
            <w:tcW w:w="1222" w:type="pct"/>
            <w:tcBorders>
              <w:top w:val="single" w:sz="4" w:space="0" w:color="auto"/>
              <w:left w:val="single" w:sz="4" w:space="0" w:color="auto"/>
              <w:bottom w:val="single" w:sz="4" w:space="0" w:color="auto"/>
              <w:right w:val="single" w:sz="4" w:space="0" w:color="auto"/>
            </w:tcBorders>
            <w:noWrap/>
            <w:vAlign w:val="bottom"/>
          </w:tcPr>
          <w:p w:rsidR="00F54174" w:rsidRPr="009660EC" w:rsidRDefault="00F54174" w:rsidP="00F54174">
            <w:pPr>
              <w:spacing w:before="240" w:after="240" w:line="312" w:lineRule="auto"/>
              <w:ind w:firstLineChars="300" w:firstLine="600"/>
              <w:contextualSpacing/>
              <w:jc w:val="center"/>
              <w:rPr>
                <w:rFonts w:ascii="Garamond" w:hAnsi="Garamond" w:cs="Calibri"/>
                <w:color w:val="000000"/>
                <w:sz w:val="20"/>
                <w:szCs w:val="20"/>
              </w:rPr>
            </w:pPr>
            <w:r w:rsidRPr="00F54174">
              <w:rPr>
                <w:rFonts w:ascii="Garamond" w:hAnsi="Garamond" w:cs="Calibri"/>
                <w:color w:val="000000"/>
                <w:sz w:val="20"/>
                <w:szCs w:val="20"/>
              </w:rPr>
              <w:t>9,9</w:t>
            </w:r>
          </w:p>
        </w:tc>
      </w:tr>
      <w:tr w:rsidR="00F54174"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F54174" w:rsidRPr="009660EC" w:rsidRDefault="00F54174" w:rsidP="00F54174">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Drâa-Tafilalet</w:t>
            </w:r>
          </w:p>
        </w:tc>
        <w:tc>
          <w:tcPr>
            <w:tcW w:w="1258" w:type="pct"/>
            <w:tcBorders>
              <w:top w:val="single" w:sz="4" w:space="0" w:color="auto"/>
              <w:left w:val="single" w:sz="4" w:space="0" w:color="auto"/>
              <w:bottom w:val="single" w:sz="4" w:space="0" w:color="auto"/>
              <w:right w:val="single" w:sz="4" w:space="0" w:color="auto"/>
            </w:tcBorders>
            <w:noWrap/>
            <w:vAlign w:val="bottom"/>
          </w:tcPr>
          <w:p w:rsidR="00F54174" w:rsidRPr="009660EC" w:rsidRDefault="00F54174" w:rsidP="00F54174">
            <w:pPr>
              <w:spacing w:before="240" w:after="240" w:line="312" w:lineRule="auto"/>
              <w:ind w:firstLineChars="300" w:firstLine="600"/>
              <w:contextualSpacing/>
              <w:jc w:val="center"/>
              <w:rPr>
                <w:rFonts w:ascii="Garamond" w:hAnsi="Garamond" w:cs="Calibri"/>
                <w:color w:val="9C5700"/>
                <w:sz w:val="20"/>
                <w:szCs w:val="20"/>
              </w:rPr>
            </w:pPr>
            <w:r w:rsidRPr="009660EC">
              <w:rPr>
                <w:rFonts w:ascii="Garamond" w:hAnsi="Garamond" w:cs="Calibri"/>
                <w:color w:val="000000"/>
                <w:sz w:val="20"/>
                <w:szCs w:val="20"/>
              </w:rPr>
              <w:t>15,2</w:t>
            </w:r>
          </w:p>
        </w:tc>
        <w:tc>
          <w:tcPr>
            <w:tcW w:w="1222" w:type="pct"/>
            <w:tcBorders>
              <w:top w:val="single" w:sz="4" w:space="0" w:color="auto"/>
              <w:left w:val="single" w:sz="4" w:space="0" w:color="auto"/>
              <w:bottom w:val="single" w:sz="4" w:space="0" w:color="auto"/>
              <w:right w:val="single" w:sz="4" w:space="0" w:color="auto"/>
            </w:tcBorders>
            <w:noWrap/>
            <w:vAlign w:val="bottom"/>
          </w:tcPr>
          <w:p w:rsidR="00F54174" w:rsidRPr="009660EC" w:rsidRDefault="00F54174" w:rsidP="00F54174">
            <w:pPr>
              <w:spacing w:before="240" w:after="240" w:line="312" w:lineRule="auto"/>
              <w:ind w:firstLineChars="300" w:firstLine="600"/>
              <w:contextualSpacing/>
              <w:jc w:val="center"/>
              <w:rPr>
                <w:rFonts w:ascii="Garamond" w:hAnsi="Garamond" w:cs="Calibri"/>
                <w:color w:val="000000"/>
                <w:sz w:val="20"/>
                <w:szCs w:val="20"/>
              </w:rPr>
            </w:pPr>
            <w:r w:rsidRPr="00F54174">
              <w:rPr>
                <w:rFonts w:ascii="Garamond" w:hAnsi="Garamond" w:cs="Calibri"/>
                <w:color w:val="000000"/>
                <w:sz w:val="20"/>
                <w:szCs w:val="20"/>
              </w:rPr>
              <w:t>14,2</w:t>
            </w:r>
          </w:p>
        </w:tc>
      </w:tr>
      <w:tr w:rsidR="00F54174"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F54174" w:rsidRPr="009660EC" w:rsidRDefault="00F54174" w:rsidP="00F54174">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Souss-Massa</w:t>
            </w:r>
          </w:p>
        </w:tc>
        <w:tc>
          <w:tcPr>
            <w:tcW w:w="1258" w:type="pct"/>
            <w:tcBorders>
              <w:top w:val="single" w:sz="4" w:space="0" w:color="auto"/>
              <w:left w:val="single" w:sz="4" w:space="0" w:color="auto"/>
              <w:bottom w:val="single" w:sz="4" w:space="0" w:color="auto"/>
              <w:right w:val="single" w:sz="4" w:space="0" w:color="auto"/>
            </w:tcBorders>
            <w:noWrap/>
            <w:vAlign w:val="bottom"/>
          </w:tcPr>
          <w:p w:rsidR="00F54174" w:rsidRPr="009660EC" w:rsidRDefault="00F54174" w:rsidP="00F54174">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14,6</w:t>
            </w:r>
          </w:p>
        </w:tc>
        <w:tc>
          <w:tcPr>
            <w:tcW w:w="1222" w:type="pct"/>
            <w:tcBorders>
              <w:top w:val="single" w:sz="4" w:space="0" w:color="auto"/>
              <w:left w:val="single" w:sz="4" w:space="0" w:color="auto"/>
              <w:bottom w:val="single" w:sz="4" w:space="0" w:color="auto"/>
              <w:right w:val="single" w:sz="4" w:space="0" w:color="auto"/>
            </w:tcBorders>
            <w:noWrap/>
            <w:vAlign w:val="bottom"/>
          </w:tcPr>
          <w:p w:rsidR="00F54174" w:rsidRPr="009660EC" w:rsidRDefault="00F54174" w:rsidP="00F54174">
            <w:pPr>
              <w:spacing w:before="240" w:after="240" w:line="312" w:lineRule="auto"/>
              <w:ind w:firstLineChars="300" w:firstLine="600"/>
              <w:contextualSpacing/>
              <w:jc w:val="center"/>
              <w:rPr>
                <w:rFonts w:ascii="Garamond" w:hAnsi="Garamond" w:cs="Calibri"/>
                <w:color w:val="000000"/>
                <w:sz w:val="20"/>
                <w:szCs w:val="20"/>
              </w:rPr>
            </w:pPr>
            <w:r w:rsidRPr="00F54174">
              <w:rPr>
                <w:rFonts w:ascii="Garamond" w:hAnsi="Garamond" w:cs="Calibri"/>
                <w:color w:val="000000"/>
                <w:sz w:val="20"/>
                <w:szCs w:val="20"/>
              </w:rPr>
              <w:t>12,1</w:t>
            </w:r>
          </w:p>
        </w:tc>
      </w:tr>
      <w:tr w:rsidR="00F54174"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F54174" w:rsidRPr="009660EC" w:rsidRDefault="00F54174" w:rsidP="00F54174">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Régions du Sud</w:t>
            </w:r>
          </w:p>
        </w:tc>
        <w:tc>
          <w:tcPr>
            <w:tcW w:w="1258" w:type="pct"/>
            <w:tcBorders>
              <w:top w:val="single" w:sz="4" w:space="0" w:color="auto"/>
              <w:left w:val="single" w:sz="4" w:space="0" w:color="auto"/>
              <w:bottom w:val="single" w:sz="4" w:space="0" w:color="auto"/>
              <w:right w:val="single" w:sz="4" w:space="0" w:color="auto"/>
            </w:tcBorders>
            <w:noWrap/>
            <w:vAlign w:val="bottom"/>
          </w:tcPr>
          <w:p w:rsidR="00F54174" w:rsidRPr="009660EC" w:rsidRDefault="00F54174" w:rsidP="00F54174">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23,5</w:t>
            </w:r>
          </w:p>
        </w:tc>
        <w:tc>
          <w:tcPr>
            <w:tcW w:w="1222" w:type="pct"/>
            <w:tcBorders>
              <w:top w:val="single" w:sz="4" w:space="0" w:color="auto"/>
              <w:left w:val="single" w:sz="4" w:space="0" w:color="auto"/>
              <w:bottom w:val="single" w:sz="4" w:space="0" w:color="auto"/>
              <w:right w:val="single" w:sz="4" w:space="0" w:color="auto"/>
            </w:tcBorders>
            <w:noWrap/>
            <w:vAlign w:val="bottom"/>
          </w:tcPr>
          <w:p w:rsidR="00F54174" w:rsidRPr="009660EC" w:rsidRDefault="00F54174" w:rsidP="00F54174">
            <w:pPr>
              <w:spacing w:before="240" w:after="240" w:line="312" w:lineRule="auto"/>
              <w:ind w:firstLineChars="300" w:firstLine="600"/>
              <w:contextualSpacing/>
              <w:jc w:val="center"/>
              <w:rPr>
                <w:rFonts w:ascii="Garamond" w:hAnsi="Garamond" w:cs="Calibri"/>
                <w:color w:val="000000"/>
                <w:sz w:val="20"/>
                <w:szCs w:val="20"/>
              </w:rPr>
            </w:pPr>
            <w:r w:rsidRPr="00F54174">
              <w:rPr>
                <w:rFonts w:ascii="Garamond" w:hAnsi="Garamond" w:cs="Calibri"/>
                <w:color w:val="000000"/>
                <w:sz w:val="20"/>
                <w:szCs w:val="20"/>
              </w:rPr>
              <w:t>24,3</w:t>
            </w:r>
          </w:p>
        </w:tc>
      </w:tr>
      <w:tr w:rsidR="00F54174"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F54174" w:rsidRPr="009660EC" w:rsidRDefault="00F54174" w:rsidP="00F54174">
            <w:pPr>
              <w:spacing w:before="240" w:after="240" w:line="312" w:lineRule="auto"/>
              <w:contextualSpacing/>
              <w:rPr>
                <w:rFonts w:ascii="Garamond" w:eastAsia="Book Antiqua" w:hAnsi="Garamond" w:cs="Book Antiqua"/>
                <w:b/>
                <w:bCs/>
                <w:sz w:val="20"/>
                <w:szCs w:val="20"/>
              </w:rPr>
            </w:pPr>
            <w:r w:rsidRPr="009660EC">
              <w:rPr>
                <w:rFonts w:ascii="Garamond" w:eastAsia="Book Antiqua" w:hAnsi="Garamond" w:cs="Book Antiqua"/>
                <w:b/>
                <w:bCs/>
                <w:sz w:val="20"/>
                <w:szCs w:val="20"/>
              </w:rPr>
              <w:t>Ensemble</w:t>
            </w:r>
          </w:p>
        </w:tc>
        <w:tc>
          <w:tcPr>
            <w:tcW w:w="1258" w:type="pct"/>
            <w:tcBorders>
              <w:top w:val="single" w:sz="4" w:space="0" w:color="auto"/>
              <w:left w:val="single" w:sz="4" w:space="0" w:color="auto"/>
              <w:bottom w:val="single" w:sz="4" w:space="0" w:color="auto"/>
              <w:right w:val="single" w:sz="4" w:space="0" w:color="auto"/>
            </w:tcBorders>
            <w:noWrap/>
            <w:vAlign w:val="bottom"/>
          </w:tcPr>
          <w:p w:rsidR="00F54174" w:rsidRPr="00F54174" w:rsidRDefault="00F54174" w:rsidP="00F54174">
            <w:pPr>
              <w:spacing w:before="240" w:after="240" w:line="312" w:lineRule="auto"/>
              <w:ind w:firstLineChars="300" w:firstLine="602"/>
              <w:contextualSpacing/>
              <w:jc w:val="center"/>
              <w:rPr>
                <w:rFonts w:ascii="Garamond" w:hAnsi="Garamond" w:cs="Calibri"/>
                <w:b/>
                <w:bCs/>
                <w:color w:val="000000"/>
                <w:sz w:val="20"/>
                <w:szCs w:val="20"/>
              </w:rPr>
            </w:pPr>
            <w:r w:rsidRPr="00F54174">
              <w:rPr>
                <w:rFonts w:ascii="Garamond" w:hAnsi="Garamond" w:cs="Calibri"/>
                <w:b/>
                <w:bCs/>
                <w:color w:val="000000"/>
                <w:sz w:val="20"/>
                <w:szCs w:val="20"/>
              </w:rPr>
              <w:t>13,5</w:t>
            </w:r>
          </w:p>
        </w:tc>
        <w:tc>
          <w:tcPr>
            <w:tcW w:w="1222" w:type="pct"/>
            <w:tcBorders>
              <w:top w:val="single" w:sz="4" w:space="0" w:color="auto"/>
              <w:left w:val="single" w:sz="4" w:space="0" w:color="auto"/>
              <w:bottom w:val="single" w:sz="4" w:space="0" w:color="auto"/>
              <w:right w:val="single" w:sz="4" w:space="0" w:color="auto"/>
            </w:tcBorders>
            <w:noWrap/>
            <w:vAlign w:val="bottom"/>
          </w:tcPr>
          <w:p w:rsidR="00F54174" w:rsidRPr="00F54174" w:rsidRDefault="00F54174" w:rsidP="00F54174">
            <w:pPr>
              <w:spacing w:before="240" w:after="240" w:line="312" w:lineRule="auto"/>
              <w:ind w:firstLineChars="300" w:firstLine="602"/>
              <w:contextualSpacing/>
              <w:jc w:val="center"/>
              <w:rPr>
                <w:rFonts w:ascii="Garamond" w:hAnsi="Garamond" w:cs="Calibri"/>
                <w:b/>
                <w:bCs/>
                <w:color w:val="000000"/>
                <w:sz w:val="20"/>
                <w:szCs w:val="20"/>
              </w:rPr>
            </w:pPr>
            <w:r w:rsidRPr="00F54174">
              <w:rPr>
                <w:rFonts w:ascii="Garamond" w:hAnsi="Garamond" w:cs="Calibri"/>
                <w:b/>
                <w:bCs/>
                <w:color w:val="000000"/>
                <w:sz w:val="20"/>
                <w:szCs w:val="20"/>
              </w:rPr>
              <w:t>13,6</w:t>
            </w:r>
          </w:p>
        </w:tc>
      </w:tr>
    </w:tbl>
    <w:p w:rsidR="00DA2942" w:rsidRDefault="00DA2942" w:rsidP="00A810BF">
      <w:pPr>
        <w:spacing w:before="240" w:after="240" w:line="312" w:lineRule="auto"/>
        <w:contextualSpacing/>
        <w:rPr>
          <w:rFonts w:ascii="Book Antiqua" w:eastAsia="Book Antiqua" w:hAnsi="Book Antiqua" w:cs="Book Antiqua"/>
          <w:b/>
          <w:bCs/>
          <w:i/>
          <w:iCs/>
          <w:color w:val="0070C0"/>
          <w:sz w:val="26"/>
          <w:szCs w:val="26"/>
        </w:rPr>
      </w:pPr>
      <w:r>
        <w:rPr>
          <w:rFonts w:ascii="Times New Roman" w:eastAsia="Calibri" w:hAnsi="Times New Roman" w:cs="Times New Roman"/>
          <w:color w:val="222222"/>
          <w:sz w:val="20"/>
          <w:szCs w:val="20"/>
          <w:shd w:val="clear" w:color="auto" w:fill="FFFFFF"/>
          <w:lang w:eastAsia="en-US"/>
        </w:rPr>
        <w:t>Source : Enquête nationale sur l'emploi, Haut-commissariat au Plan</w:t>
      </w:r>
    </w:p>
    <w:p w:rsidR="002B3944" w:rsidRDefault="002B3944" w:rsidP="00A810BF">
      <w:pPr>
        <w:spacing w:before="240" w:after="240" w:line="312" w:lineRule="auto"/>
        <w:contextualSpacing/>
      </w:pPr>
    </w:p>
    <w:sectPr w:rsidR="002B3944" w:rsidSect="008D4F11">
      <w:footerReference w:type="default" r:id="rId17"/>
      <w:headerReference w:type="first" r:id="rId1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41A6" w:rsidRDefault="001641A6" w:rsidP="00283BE3">
      <w:pPr>
        <w:spacing w:line="240" w:lineRule="auto"/>
      </w:pPr>
      <w:r>
        <w:separator/>
      </w:r>
    </w:p>
  </w:endnote>
  <w:endnote w:type="continuationSeparator" w:id="0">
    <w:p w:rsidR="001641A6" w:rsidRDefault="001641A6" w:rsidP="00283BE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1061189"/>
      <w:docPartObj>
        <w:docPartGallery w:val="Page Numbers (Bottom of Page)"/>
        <w:docPartUnique/>
      </w:docPartObj>
    </w:sdtPr>
    <w:sdtContent>
      <w:p w:rsidR="00D602D5" w:rsidRDefault="0024354C">
        <w:pPr>
          <w:pStyle w:val="Pieddepage"/>
          <w:jc w:val="center"/>
          <w:rPr>
            <w:sz w:val="16"/>
            <w:szCs w:val="16"/>
          </w:rPr>
        </w:pPr>
        <w:r w:rsidRPr="00CE5841">
          <w:rPr>
            <w:sz w:val="16"/>
            <w:szCs w:val="16"/>
          </w:rPr>
          <w:fldChar w:fldCharType="begin"/>
        </w:r>
        <w:r w:rsidR="00D602D5" w:rsidRPr="00CE5841">
          <w:rPr>
            <w:sz w:val="16"/>
            <w:szCs w:val="16"/>
          </w:rPr>
          <w:instrText xml:space="preserve"> PAGE   \* MERGEFORMAT </w:instrText>
        </w:r>
        <w:r w:rsidRPr="00CE5841">
          <w:rPr>
            <w:sz w:val="16"/>
            <w:szCs w:val="16"/>
          </w:rPr>
          <w:fldChar w:fldCharType="separate"/>
        </w:r>
        <w:r w:rsidR="00D8366C">
          <w:rPr>
            <w:noProof/>
            <w:sz w:val="16"/>
            <w:szCs w:val="16"/>
          </w:rPr>
          <w:t>2</w:t>
        </w:r>
        <w:r w:rsidRPr="00CE5841">
          <w:rPr>
            <w:sz w:val="16"/>
            <w:szCs w:val="16"/>
          </w:rPr>
          <w:fldChar w:fldCharType="end"/>
        </w:r>
      </w:p>
      <w:p w:rsidR="00D602D5" w:rsidRDefault="0024354C">
        <w:pPr>
          <w:pStyle w:val="Pieddepage"/>
          <w:jc w:val="center"/>
        </w:pPr>
      </w:p>
    </w:sdtContent>
  </w:sdt>
  <w:p w:rsidR="00D602D5" w:rsidRDefault="00D602D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41A6" w:rsidRDefault="001641A6" w:rsidP="00283BE3">
      <w:pPr>
        <w:spacing w:line="240" w:lineRule="auto"/>
      </w:pPr>
      <w:r>
        <w:separator/>
      </w:r>
    </w:p>
  </w:footnote>
  <w:footnote w:type="continuationSeparator" w:id="0">
    <w:p w:rsidR="001641A6" w:rsidRDefault="001641A6" w:rsidP="00283BE3">
      <w:pPr>
        <w:spacing w:line="240" w:lineRule="auto"/>
      </w:pPr>
      <w:r>
        <w:continuationSeparator/>
      </w:r>
    </w:p>
  </w:footnote>
  <w:footnote w:id="1">
    <w:p w:rsidR="00D602D5" w:rsidRPr="009660EC" w:rsidRDefault="00D602D5" w:rsidP="009660EC">
      <w:pPr>
        <w:pStyle w:val="Notedebasdepage"/>
        <w:rPr>
          <w:sz w:val="12"/>
          <w:szCs w:val="12"/>
        </w:rPr>
      </w:pPr>
      <w:r w:rsidRPr="009660EC">
        <w:rPr>
          <w:rStyle w:val="Appelnotedebasdep"/>
          <w:sz w:val="18"/>
          <w:szCs w:val="18"/>
        </w:rPr>
        <w:footnoteRef/>
      </w:r>
      <w:r w:rsidRPr="009660EC">
        <w:rPr>
          <w:sz w:val="12"/>
          <w:szCs w:val="12"/>
        </w:rPr>
        <w:t>L’écart entre la baisse d’emploi au niveau global et par secteurs concerne les activités mal ou non désignées.</w:t>
      </w:r>
    </w:p>
    <w:p w:rsidR="00D602D5" w:rsidRDefault="00D602D5">
      <w:pPr>
        <w:pStyle w:val="Notedebasdepag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F11" w:rsidRDefault="008D4F11" w:rsidP="008D4F11">
    <w:pPr>
      <w:pStyle w:val="En-tte"/>
      <w:jc w:val="center"/>
    </w:pPr>
    <w:r w:rsidRPr="008D4F11">
      <w:rPr>
        <w:noProof/>
      </w:rPr>
      <w:drawing>
        <wp:inline distT="0" distB="0" distL="0" distR="0">
          <wp:extent cx="1111250" cy="727747"/>
          <wp:effectExtent l="19050" t="0" r="0" b="0"/>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6160" cy="730962"/>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67B4F"/>
    <w:multiLevelType w:val="hybridMultilevel"/>
    <w:tmpl w:val="0B02A664"/>
    <w:lvl w:ilvl="0" w:tplc="1A1C14BE">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57A35E75"/>
    <w:multiLevelType w:val="hybridMultilevel"/>
    <w:tmpl w:val="9452ABBE"/>
    <w:lvl w:ilvl="0" w:tplc="4A26EE32">
      <w:start w:val="1"/>
      <w:numFmt w:val="upperRoman"/>
      <w:lvlText w:val="%1."/>
      <w:lvlJc w:val="left"/>
      <w:pPr>
        <w:ind w:left="790" w:hanging="720"/>
      </w:pPr>
      <w:rPr>
        <w:rFonts w:hint="default"/>
      </w:rPr>
    </w:lvl>
    <w:lvl w:ilvl="1" w:tplc="380C0019" w:tentative="1">
      <w:start w:val="1"/>
      <w:numFmt w:val="lowerLetter"/>
      <w:lvlText w:val="%2."/>
      <w:lvlJc w:val="left"/>
      <w:pPr>
        <w:ind w:left="1150" w:hanging="360"/>
      </w:pPr>
    </w:lvl>
    <w:lvl w:ilvl="2" w:tplc="380C001B" w:tentative="1">
      <w:start w:val="1"/>
      <w:numFmt w:val="lowerRoman"/>
      <w:lvlText w:val="%3."/>
      <w:lvlJc w:val="right"/>
      <w:pPr>
        <w:ind w:left="1870" w:hanging="180"/>
      </w:pPr>
    </w:lvl>
    <w:lvl w:ilvl="3" w:tplc="380C000F" w:tentative="1">
      <w:start w:val="1"/>
      <w:numFmt w:val="decimal"/>
      <w:lvlText w:val="%4."/>
      <w:lvlJc w:val="left"/>
      <w:pPr>
        <w:ind w:left="2590" w:hanging="360"/>
      </w:pPr>
    </w:lvl>
    <w:lvl w:ilvl="4" w:tplc="380C0019" w:tentative="1">
      <w:start w:val="1"/>
      <w:numFmt w:val="lowerLetter"/>
      <w:lvlText w:val="%5."/>
      <w:lvlJc w:val="left"/>
      <w:pPr>
        <w:ind w:left="3310" w:hanging="360"/>
      </w:pPr>
    </w:lvl>
    <w:lvl w:ilvl="5" w:tplc="380C001B" w:tentative="1">
      <w:start w:val="1"/>
      <w:numFmt w:val="lowerRoman"/>
      <w:lvlText w:val="%6."/>
      <w:lvlJc w:val="right"/>
      <w:pPr>
        <w:ind w:left="4030" w:hanging="180"/>
      </w:pPr>
    </w:lvl>
    <w:lvl w:ilvl="6" w:tplc="380C000F" w:tentative="1">
      <w:start w:val="1"/>
      <w:numFmt w:val="decimal"/>
      <w:lvlText w:val="%7."/>
      <w:lvlJc w:val="left"/>
      <w:pPr>
        <w:ind w:left="4750" w:hanging="360"/>
      </w:pPr>
    </w:lvl>
    <w:lvl w:ilvl="7" w:tplc="380C0019" w:tentative="1">
      <w:start w:val="1"/>
      <w:numFmt w:val="lowerLetter"/>
      <w:lvlText w:val="%8."/>
      <w:lvlJc w:val="left"/>
      <w:pPr>
        <w:ind w:left="5470" w:hanging="360"/>
      </w:pPr>
    </w:lvl>
    <w:lvl w:ilvl="8" w:tplc="380C001B" w:tentative="1">
      <w:start w:val="1"/>
      <w:numFmt w:val="lowerRoman"/>
      <w:lvlText w:val="%9."/>
      <w:lvlJc w:val="right"/>
      <w:pPr>
        <w:ind w:left="6190" w:hanging="180"/>
      </w:pPr>
    </w:lvl>
  </w:abstractNum>
  <w:abstractNum w:abstractNumId="3">
    <w:nsid w:val="61E72355"/>
    <w:multiLevelType w:val="hybridMultilevel"/>
    <w:tmpl w:val="C088AAF8"/>
    <w:lvl w:ilvl="0" w:tplc="FD146DFC">
      <w:start w:val="1"/>
      <w:numFmt w:val="upperRoman"/>
      <w:lvlText w:val="%1."/>
      <w:lvlJc w:val="left"/>
      <w:pPr>
        <w:ind w:left="1080" w:hanging="720"/>
      </w:pPr>
      <w:rPr>
        <w:rFonts w:hint="default"/>
        <w:i w:val="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DA2942"/>
    <w:rsid w:val="00016882"/>
    <w:rsid w:val="00026C4A"/>
    <w:rsid w:val="00032E41"/>
    <w:rsid w:val="00040504"/>
    <w:rsid w:val="00061847"/>
    <w:rsid w:val="000C6486"/>
    <w:rsid w:val="000D1638"/>
    <w:rsid w:val="000F2B2A"/>
    <w:rsid w:val="00107373"/>
    <w:rsid w:val="00117CEC"/>
    <w:rsid w:val="001641A6"/>
    <w:rsid w:val="001A01F9"/>
    <w:rsid w:val="001C5309"/>
    <w:rsid w:val="001C5A1C"/>
    <w:rsid w:val="001D1178"/>
    <w:rsid w:val="001D59B3"/>
    <w:rsid w:val="001E7192"/>
    <w:rsid w:val="001E74FC"/>
    <w:rsid w:val="001F64F9"/>
    <w:rsid w:val="0024354C"/>
    <w:rsid w:val="00255888"/>
    <w:rsid w:val="00267175"/>
    <w:rsid w:val="0028185F"/>
    <w:rsid w:val="00283BE3"/>
    <w:rsid w:val="00283E2F"/>
    <w:rsid w:val="00290BB0"/>
    <w:rsid w:val="002A7254"/>
    <w:rsid w:val="002B3944"/>
    <w:rsid w:val="002B642A"/>
    <w:rsid w:val="002C0D7F"/>
    <w:rsid w:val="002C5DC6"/>
    <w:rsid w:val="002C7E52"/>
    <w:rsid w:val="002E6400"/>
    <w:rsid w:val="002F549B"/>
    <w:rsid w:val="003341CF"/>
    <w:rsid w:val="003673E5"/>
    <w:rsid w:val="00372B8D"/>
    <w:rsid w:val="003871D4"/>
    <w:rsid w:val="003C20E7"/>
    <w:rsid w:val="003C50B5"/>
    <w:rsid w:val="003E15BA"/>
    <w:rsid w:val="00415370"/>
    <w:rsid w:val="004414C3"/>
    <w:rsid w:val="00447023"/>
    <w:rsid w:val="00452655"/>
    <w:rsid w:val="0046254F"/>
    <w:rsid w:val="004732E3"/>
    <w:rsid w:val="00474143"/>
    <w:rsid w:val="0047463D"/>
    <w:rsid w:val="004B3397"/>
    <w:rsid w:val="004B6692"/>
    <w:rsid w:val="004C04F7"/>
    <w:rsid w:val="004C2034"/>
    <w:rsid w:val="004E0C71"/>
    <w:rsid w:val="004E6363"/>
    <w:rsid w:val="004F02A2"/>
    <w:rsid w:val="0051076B"/>
    <w:rsid w:val="00517EB2"/>
    <w:rsid w:val="005211E2"/>
    <w:rsid w:val="00522A2C"/>
    <w:rsid w:val="00542B24"/>
    <w:rsid w:val="00551BC0"/>
    <w:rsid w:val="0056553D"/>
    <w:rsid w:val="00565CC2"/>
    <w:rsid w:val="00571BCC"/>
    <w:rsid w:val="005750A6"/>
    <w:rsid w:val="00640F95"/>
    <w:rsid w:val="00664987"/>
    <w:rsid w:val="00672C08"/>
    <w:rsid w:val="00687285"/>
    <w:rsid w:val="006A4516"/>
    <w:rsid w:val="006B2C18"/>
    <w:rsid w:val="006B43F5"/>
    <w:rsid w:val="006B745F"/>
    <w:rsid w:val="006C6DC2"/>
    <w:rsid w:val="00713D06"/>
    <w:rsid w:val="00753FA6"/>
    <w:rsid w:val="00757307"/>
    <w:rsid w:val="007B7AD4"/>
    <w:rsid w:val="00802558"/>
    <w:rsid w:val="00812D12"/>
    <w:rsid w:val="00830F2E"/>
    <w:rsid w:val="00831ABA"/>
    <w:rsid w:val="00882C49"/>
    <w:rsid w:val="008869B7"/>
    <w:rsid w:val="008904E2"/>
    <w:rsid w:val="008B02B1"/>
    <w:rsid w:val="008D4F11"/>
    <w:rsid w:val="008D6E47"/>
    <w:rsid w:val="00914D1A"/>
    <w:rsid w:val="00924338"/>
    <w:rsid w:val="009315C8"/>
    <w:rsid w:val="00933A3E"/>
    <w:rsid w:val="00942795"/>
    <w:rsid w:val="00961470"/>
    <w:rsid w:val="009660EC"/>
    <w:rsid w:val="009C2FD8"/>
    <w:rsid w:val="009F433D"/>
    <w:rsid w:val="00A4385B"/>
    <w:rsid w:val="00A623B4"/>
    <w:rsid w:val="00A65ADE"/>
    <w:rsid w:val="00A810BF"/>
    <w:rsid w:val="00A81DE2"/>
    <w:rsid w:val="00A9259F"/>
    <w:rsid w:val="00A94B46"/>
    <w:rsid w:val="00AB2FA3"/>
    <w:rsid w:val="00B43141"/>
    <w:rsid w:val="00B4500B"/>
    <w:rsid w:val="00B620DE"/>
    <w:rsid w:val="00B63650"/>
    <w:rsid w:val="00B80A8A"/>
    <w:rsid w:val="00BA209F"/>
    <w:rsid w:val="00C1577D"/>
    <w:rsid w:val="00C1653A"/>
    <w:rsid w:val="00C53676"/>
    <w:rsid w:val="00C7103B"/>
    <w:rsid w:val="00C80692"/>
    <w:rsid w:val="00CB749C"/>
    <w:rsid w:val="00CE5841"/>
    <w:rsid w:val="00D12E1F"/>
    <w:rsid w:val="00D234F5"/>
    <w:rsid w:val="00D31DE1"/>
    <w:rsid w:val="00D36E49"/>
    <w:rsid w:val="00D433FB"/>
    <w:rsid w:val="00D569BB"/>
    <w:rsid w:val="00D602A8"/>
    <w:rsid w:val="00D602D5"/>
    <w:rsid w:val="00D65C1F"/>
    <w:rsid w:val="00D8366C"/>
    <w:rsid w:val="00DA189B"/>
    <w:rsid w:val="00DA2942"/>
    <w:rsid w:val="00DD113B"/>
    <w:rsid w:val="00DD48A0"/>
    <w:rsid w:val="00E24161"/>
    <w:rsid w:val="00E4316D"/>
    <w:rsid w:val="00E51B3F"/>
    <w:rsid w:val="00EA0C44"/>
    <w:rsid w:val="00EA267D"/>
    <w:rsid w:val="00EA438C"/>
    <w:rsid w:val="00EC4E57"/>
    <w:rsid w:val="00ED1E54"/>
    <w:rsid w:val="00ED4D61"/>
    <w:rsid w:val="00EF16D8"/>
    <w:rsid w:val="00F41718"/>
    <w:rsid w:val="00F54174"/>
    <w:rsid w:val="00F70677"/>
    <w:rsid w:val="00FB3EE3"/>
    <w:rsid w:val="00FC55A6"/>
    <w:rsid w:val="00FE49DB"/>
    <w:rsid w:val="00FE6841"/>
    <w:rsid w:val="00FF6D3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942"/>
    <w:pPr>
      <w:spacing w:after="0"/>
    </w:pPr>
    <w:rPr>
      <w:rFonts w:ascii="Arial" w:eastAsia="Arial" w:hAnsi="Arial" w:cs="Arial"/>
      <w:lang w:eastAsia="fr-FR"/>
    </w:rPr>
  </w:style>
  <w:style w:type="paragraph" w:styleId="Titre1">
    <w:name w:val="heading 1"/>
    <w:basedOn w:val="Normal"/>
    <w:next w:val="Normal"/>
    <w:link w:val="Titre1Car"/>
    <w:uiPriority w:val="99"/>
    <w:qFormat/>
    <w:rsid w:val="00DA2942"/>
    <w:pPr>
      <w:keepNext/>
      <w:keepLines/>
      <w:spacing w:before="400" w:after="120"/>
      <w:outlineLvl w:val="0"/>
    </w:pPr>
    <w:rPr>
      <w:sz w:val="40"/>
      <w:szCs w:val="40"/>
    </w:rPr>
  </w:style>
  <w:style w:type="paragraph" w:styleId="Titre2">
    <w:name w:val="heading 2"/>
    <w:basedOn w:val="Normal"/>
    <w:next w:val="Normal"/>
    <w:link w:val="Titre2Car"/>
    <w:uiPriority w:val="9"/>
    <w:semiHidden/>
    <w:unhideWhenUsed/>
    <w:qFormat/>
    <w:rsid w:val="004B33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4B3397"/>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4B3397"/>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4B3397"/>
    <w:pPr>
      <w:keepNext/>
      <w:keepLines/>
      <w:spacing w:before="20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DA2942"/>
    <w:rPr>
      <w:rFonts w:ascii="Arial" w:eastAsia="Arial" w:hAnsi="Arial" w:cs="Arial"/>
      <w:sz w:val="40"/>
      <w:szCs w:val="40"/>
      <w:lang w:eastAsia="fr-FR"/>
    </w:rPr>
  </w:style>
  <w:style w:type="table" w:styleId="Grilledutableau">
    <w:name w:val="Table Grid"/>
    <w:basedOn w:val="TableauNormal"/>
    <w:uiPriority w:val="39"/>
    <w:rsid w:val="00DA2942"/>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DA2942"/>
    <w:rPr>
      <w:color w:val="0000FF"/>
      <w:u w:val="single"/>
    </w:rPr>
  </w:style>
  <w:style w:type="paragraph" w:styleId="Textedebulles">
    <w:name w:val="Balloon Text"/>
    <w:basedOn w:val="Normal"/>
    <w:link w:val="TextedebullesCar"/>
    <w:uiPriority w:val="99"/>
    <w:semiHidden/>
    <w:unhideWhenUsed/>
    <w:rsid w:val="00DA294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A2942"/>
    <w:rPr>
      <w:rFonts w:ascii="Tahoma" w:eastAsia="Arial" w:hAnsi="Tahoma" w:cs="Tahoma"/>
      <w:sz w:val="16"/>
      <w:szCs w:val="16"/>
      <w:lang w:eastAsia="fr-FR"/>
    </w:rPr>
  </w:style>
  <w:style w:type="paragraph" w:customStyle="1" w:styleId="MMTopic1">
    <w:name w:val="MM Topic 1"/>
    <w:basedOn w:val="Titre1"/>
    <w:rsid w:val="004B3397"/>
    <w:pPr>
      <w:numPr>
        <w:numId w:val="2"/>
      </w:numPr>
      <w:spacing w:before="240" w:after="0" w:line="259" w:lineRule="auto"/>
    </w:pPr>
    <w:rPr>
      <w:rFonts w:asciiTheme="majorHAnsi" w:eastAsiaTheme="majorEastAsia" w:hAnsiTheme="majorHAnsi" w:cstheme="majorBidi"/>
      <w:color w:val="365F91" w:themeColor="accent1" w:themeShade="BF"/>
      <w:sz w:val="32"/>
      <w:szCs w:val="32"/>
      <w:lang w:eastAsia="en-US"/>
    </w:rPr>
  </w:style>
  <w:style w:type="paragraph" w:customStyle="1" w:styleId="MMTopic2">
    <w:name w:val="MM Topic 2"/>
    <w:basedOn w:val="Titre2"/>
    <w:link w:val="MMTopic2Car"/>
    <w:rsid w:val="004B3397"/>
    <w:pPr>
      <w:numPr>
        <w:ilvl w:val="1"/>
        <w:numId w:val="2"/>
      </w:numPr>
      <w:spacing w:before="40" w:line="259" w:lineRule="auto"/>
    </w:pPr>
    <w:rPr>
      <w:b w:val="0"/>
      <w:bCs w:val="0"/>
      <w:color w:val="365F91" w:themeColor="accent1" w:themeShade="BF"/>
      <w:lang w:eastAsia="en-US"/>
    </w:rPr>
  </w:style>
  <w:style w:type="character" w:customStyle="1" w:styleId="MMTopic2Car">
    <w:name w:val="MM Topic 2 Car"/>
    <w:basedOn w:val="Titre2Car"/>
    <w:link w:val="MMTopic2"/>
    <w:rsid w:val="004B3397"/>
    <w:rPr>
      <w:rFonts w:asciiTheme="majorHAnsi" w:eastAsiaTheme="majorEastAsia" w:hAnsiTheme="majorHAnsi" w:cstheme="majorBidi"/>
      <w:b/>
      <w:bCs/>
      <w:color w:val="365F91" w:themeColor="accent1" w:themeShade="BF"/>
      <w:sz w:val="26"/>
      <w:szCs w:val="26"/>
      <w:lang w:eastAsia="fr-FR"/>
    </w:rPr>
  </w:style>
  <w:style w:type="paragraph" w:customStyle="1" w:styleId="MMTopic3">
    <w:name w:val="MM Topic 3"/>
    <w:basedOn w:val="Titre3"/>
    <w:rsid w:val="004B3397"/>
    <w:pPr>
      <w:numPr>
        <w:ilvl w:val="2"/>
        <w:numId w:val="2"/>
      </w:numPr>
      <w:spacing w:before="40" w:line="259" w:lineRule="auto"/>
      <w:ind w:left="360"/>
    </w:pPr>
    <w:rPr>
      <w:b w:val="0"/>
      <w:bCs w:val="0"/>
      <w:color w:val="243F60" w:themeColor="accent1" w:themeShade="7F"/>
      <w:sz w:val="24"/>
      <w:szCs w:val="24"/>
      <w:lang w:eastAsia="en-US"/>
    </w:rPr>
  </w:style>
  <w:style w:type="paragraph" w:customStyle="1" w:styleId="MMTopic4">
    <w:name w:val="MM Topic 4"/>
    <w:basedOn w:val="Titre4"/>
    <w:rsid w:val="004B3397"/>
    <w:pPr>
      <w:numPr>
        <w:ilvl w:val="3"/>
        <w:numId w:val="2"/>
      </w:numPr>
      <w:spacing w:before="40" w:line="259" w:lineRule="auto"/>
      <w:ind w:left="540"/>
    </w:pPr>
    <w:rPr>
      <w:b w:val="0"/>
      <w:bCs w:val="0"/>
      <w:color w:val="365F91" w:themeColor="accent1" w:themeShade="BF"/>
      <w:sz w:val="28"/>
      <w:szCs w:val="28"/>
      <w:lang w:eastAsia="en-US"/>
    </w:rPr>
  </w:style>
  <w:style w:type="paragraph" w:customStyle="1" w:styleId="MMTopic5">
    <w:name w:val="MM Topic 5"/>
    <w:basedOn w:val="Titre5"/>
    <w:rsid w:val="004B3397"/>
    <w:pPr>
      <w:numPr>
        <w:ilvl w:val="4"/>
        <w:numId w:val="2"/>
      </w:numPr>
      <w:spacing w:before="40" w:line="259" w:lineRule="auto"/>
      <w:ind w:left="720"/>
    </w:pPr>
    <w:rPr>
      <w:color w:val="365F91" w:themeColor="accent1" w:themeShade="BF"/>
      <w:sz w:val="28"/>
      <w:szCs w:val="28"/>
      <w:lang w:eastAsia="en-US"/>
    </w:rPr>
  </w:style>
  <w:style w:type="character" w:customStyle="1" w:styleId="Titre2Car">
    <w:name w:val="Titre 2 Car"/>
    <w:basedOn w:val="Policepardfaut"/>
    <w:link w:val="Titre2"/>
    <w:uiPriority w:val="9"/>
    <w:semiHidden/>
    <w:rsid w:val="004B3397"/>
    <w:rPr>
      <w:rFonts w:asciiTheme="majorHAnsi" w:eastAsiaTheme="majorEastAsia" w:hAnsiTheme="majorHAnsi" w:cstheme="majorBidi"/>
      <w:b/>
      <w:bCs/>
      <w:color w:val="4F81BD" w:themeColor="accent1"/>
      <w:sz w:val="26"/>
      <w:szCs w:val="26"/>
      <w:lang w:eastAsia="fr-FR"/>
    </w:rPr>
  </w:style>
  <w:style w:type="character" w:customStyle="1" w:styleId="Titre3Car">
    <w:name w:val="Titre 3 Car"/>
    <w:basedOn w:val="Policepardfaut"/>
    <w:link w:val="Titre3"/>
    <w:uiPriority w:val="9"/>
    <w:semiHidden/>
    <w:rsid w:val="004B3397"/>
    <w:rPr>
      <w:rFonts w:asciiTheme="majorHAnsi" w:eastAsiaTheme="majorEastAsia" w:hAnsiTheme="majorHAnsi" w:cstheme="majorBidi"/>
      <w:b/>
      <w:bCs/>
      <w:color w:val="4F81BD" w:themeColor="accent1"/>
      <w:lang w:eastAsia="fr-FR"/>
    </w:rPr>
  </w:style>
  <w:style w:type="character" w:customStyle="1" w:styleId="Titre4Car">
    <w:name w:val="Titre 4 Car"/>
    <w:basedOn w:val="Policepardfaut"/>
    <w:link w:val="Titre4"/>
    <w:uiPriority w:val="9"/>
    <w:semiHidden/>
    <w:rsid w:val="004B3397"/>
    <w:rPr>
      <w:rFonts w:asciiTheme="majorHAnsi" w:eastAsiaTheme="majorEastAsia" w:hAnsiTheme="majorHAnsi" w:cstheme="majorBidi"/>
      <w:b/>
      <w:bCs/>
      <w:i/>
      <w:iCs/>
      <w:color w:val="4F81BD" w:themeColor="accent1"/>
      <w:lang w:eastAsia="fr-FR"/>
    </w:rPr>
  </w:style>
  <w:style w:type="character" w:customStyle="1" w:styleId="Titre5Car">
    <w:name w:val="Titre 5 Car"/>
    <w:basedOn w:val="Policepardfaut"/>
    <w:link w:val="Titre5"/>
    <w:uiPriority w:val="9"/>
    <w:semiHidden/>
    <w:rsid w:val="004B3397"/>
    <w:rPr>
      <w:rFonts w:asciiTheme="majorHAnsi" w:eastAsiaTheme="majorEastAsia" w:hAnsiTheme="majorHAnsi" w:cstheme="majorBidi"/>
      <w:color w:val="243F60" w:themeColor="accent1" w:themeShade="7F"/>
      <w:lang w:eastAsia="fr-FR"/>
    </w:rPr>
  </w:style>
  <w:style w:type="character" w:customStyle="1" w:styleId="MMTitleCar">
    <w:name w:val="MM Title Car"/>
    <w:basedOn w:val="Policepardfaut"/>
    <w:link w:val="MMTitle"/>
    <w:locked/>
    <w:rsid w:val="00283BE3"/>
    <w:rPr>
      <w:rFonts w:asciiTheme="majorHAnsi" w:eastAsiaTheme="majorEastAsia" w:hAnsiTheme="majorHAnsi" w:cs="Calibri Light"/>
      <w:spacing w:val="-10"/>
      <w:kern w:val="28"/>
      <w:sz w:val="56"/>
      <w:szCs w:val="56"/>
    </w:rPr>
  </w:style>
  <w:style w:type="paragraph" w:customStyle="1" w:styleId="MMTitle">
    <w:name w:val="MM Title"/>
    <w:basedOn w:val="Titre"/>
    <w:link w:val="MMTitleCar"/>
    <w:rsid w:val="00283BE3"/>
    <w:pPr>
      <w:pBdr>
        <w:bottom w:val="none" w:sz="0" w:space="0" w:color="auto"/>
      </w:pBdr>
      <w:spacing w:after="0"/>
    </w:pPr>
    <w:rPr>
      <w:rFonts w:cs="Calibri Light"/>
      <w:color w:val="auto"/>
      <w:spacing w:val="-10"/>
      <w:sz w:val="56"/>
      <w:szCs w:val="56"/>
      <w:lang w:eastAsia="en-US"/>
    </w:rPr>
  </w:style>
  <w:style w:type="paragraph" w:styleId="Titre">
    <w:name w:val="Title"/>
    <w:basedOn w:val="Normal"/>
    <w:next w:val="Normal"/>
    <w:link w:val="TitreCar"/>
    <w:uiPriority w:val="10"/>
    <w:qFormat/>
    <w:rsid w:val="00283BE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283BE3"/>
    <w:rPr>
      <w:rFonts w:asciiTheme="majorHAnsi" w:eastAsiaTheme="majorEastAsia" w:hAnsiTheme="majorHAnsi" w:cstheme="majorBidi"/>
      <w:color w:val="17365D" w:themeColor="text2" w:themeShade="BF"/>
      <w:spacing w:val="5"/>
      <w:kern w:val="28"/>
      <w:sz w:val="52"/>
      <w:szCs w:val="52"/>
      <w:lang w:eastAsia="fr-FR"/>
    </w:rPr>
  </w:style>
  <w:style w:type="paragraph" w:styleId="En-tte">
    <w:name w:val="header"/>
    <w:basedOn w:val="Normal"/>
    <w:link w:val="En-tteCar"/>
    <w:uiPriority w:val="99"/>
    <w:semiHidden/>
    <w:unhideWhenUsed/>
    <w:rsid w:val="00283BE3"/>
    <w:pPr>
      <w:tabs>
        <w:tab w:val="center" w:pos="4536"/>
        <w:tab w:val="right" w:pos="9072"/>
      </w:tabs>
      <w:spacing w:line="240" w:lineRule="auto"/>
    </w:pPr>
  </w:style>
  <w:style w:type="character" w:customStyle="1" w:styleId="En-tteCar">
    <w:name w:val="En-tête Car"/>
    <w:basedOn w:val="Policepardfaut"/>
    <w:link w:val="En-tte"/>
    <w:uiPriority w:val="99"/>
    <w:semiHidden/>
    <w:rsid w:val="00283BE3"/>
    <w:rPr>
      <w:rFonts w:ascii="Arial" w:eastAsia="Arial" w:hAnsi="Arial" w:cs="Arial"/>
      <w:lang w:eastAsia="fr-FR"/>
    </w:rPr>
  </w:style>
  <w:style w:type="paragraph" w:styleId="Pieddepage">
    <w:name w:val="footer"/>
    <w:basedOn w:val="Normal"/>
    <w:link w:val="PieddepageCar"/>
    <w:uiPriority w:val="99"/>
    <w:unhideWhenUsed/>
    <w:rsid w:val="00283BE3"/>
    <w:pPr>
      <w:tabs>
        <w:tab w:val="center" w:pos="4536"/>
        <w:tab w:val="right" w:pos="9072"/>
      </w:tabs>
      <w:spacing w:line="240" w:lineRule="auto"/>
    </w:pPr>
  </w:style>
  <w:style w:type="character" w:customStyle="1" w:styleId="PieddepageCar">
    <w:name w:val="Pied de page Car"/>
    <w:basedOn w:val="Policepardfaut"/>
    <w:link w:val="Pieddepage"/>
    <w:uiPriority w:val="99"/>
    <w:rsid w:val="00283BE3"/>
    <w:rPr>
      <w:rFonts w:ascii="Arial" w:eastAsia="Arial" w:hAnsi="Arial" w:cs="Arial"/>
      <w:lang w:eastAsia="fr-FR"/>
    </w:rPr>
  </w:style>
  <w:style w:type="paragraph" w:styleId="Notedebasdepage">
    <w:name w:val="footnote text"/>
    <w:basedOn w:val="Normal"/>
    <w:link w:val="NotedebasdepageCar"/>
    <w:uiPriority w:val="99"/>
    <w:semiHidden/>
    <w:unhideWhenUsed/>
    <w:rsid w:val="009660EC"/>
    <w:pPr>
      <w:spacing w:line="240" w:lineRule="auto"/>
    </w:pPr>
    <w:rPr>
      <w:sz w:val="20"/>
      <w:szCs w:val="20"/>
    </w:rPr>
  </w:style>
  <w:style w:type="character" w:customStyle="1" w:styleId="NotedebasdepageCar">
    <w:name w:val="Note de bas de page Car"/>
    <w:basedOn w:val="Policepardfaut"/>
    <w:link w:val="Notedebasdepage"/>
    <w:uiPriority w:val="99"/>
    <w:semiHidden/>
    <w:rsid w:val="009660EC"/>
    <w:rPr>
      <w:rFonts w:ascii="Arial" w:eastAsia="Arial" w:hAnsi="Arial" w:cs="Arial"/>
      <w:sz w:val="20"/>
      <w:szCs w:val="20"/>
      <w:lang w:eastAsia="fr-FR"/>
    </w:rPr>
  </w:style>
  <w:style w:type="character" w:styleId="Appelnotedebasdep">
    <w:name w:val="footnote reference"/>
    <w:basedOn w:val="Policepardfaut"/>
    <w:uiPriority w:val="99"/>
    <w:semiHidden/>
    <w:unhideWhenUsed/>
    <w:rsid w:val="009660EC"/>
    <w:rPr>
      <w:vertAlign w:val="superscript"/>
    </w:rPr>
  </w:style>
  <w:style w:type="paragraph" w:styleId="Paragraphedeliste">
    <w:name w:val="List Paragraph"/>
    <w:basedOn w:val="Normal"/>
    <w:uiPriority w:val="34"/>
    <w:qFormat/>
    <w:rsid w:val="00A4385B"/>
    <w:pPr>
      <w:ind w:left="720"/>
      <w:contextualSpacing/>
    </w:pPr>
  </w:style>
</w:styles>
</file>

<file path=word/webSettings.xml><?xml version="1.0" encoding="utf-8"?>
<w:webSettings xmlns:r="http://schemas.openxmlformats.org/officeDocument/2006/relationships" xmlns:w="http://schemas.openxmlformats.org/wordprocessingml/2006/main">
  <w:divs>
    <w:div w:id="1209024">
      <w:bodyDiv w:val="1"/>
      <w:marLeft w:val="0"/>
      <w:marRight w:val="0"/>
      <w:marTop w:val="0"/>
      <w:marBottom w:val="0"/>
      <w:divBdr>
        <w:top w:val="none" w:sz="0" w:space="0" w:color="auto"/>
        <w:left w:val="none" w:sz="0" w:space="0" w:color="auto"/>
        <w:bottom w:val="none" w:sz="0" w:space="0" w:color="auto"/>
        <w:right w:val="none" w:sz="0" w:space="0" w:color="auto"/>
      </w:divBdr>
    </w:div>
    <w:div w:id="84616344">
      <w:bodyDiv w:val="1"/>
      <w:marLeft w:val="0"/>
      <w:marRight w:val="0"/>
      <w:marTop w:val="0"/>
      <w:marBottom w:val="0"/>
      <w:divBdr>
        <w:top w:val="none" w:sz="0" w:space="0" w:color="auto"/>
        <w:left w:val="none" w:sz="0" w:space="0" w:color="auto"/>
        <w:bottom w:val="none" w:sz="0" w:space="0" w:color="auto"/>
        <w:right w:val="none" w:sz="0" w:space="0" w:color="auto"/>
      </w:divBdr>
    </w:div>
    <w:div w:id="277689053">
      <w:bodyDiv w:val="1"/>
      <w:marLeft w:val="0"/>
      <w:marRight w:val="0"/>
      <w:marTop w:val="0"/>
      <w:marBottom w:val="0"/>
      <w:divBdr>
        <w:top w:val="none" w:sz="0" w:space="0" w:color="auto"/>
        <w:left w:val="none" w:sz="0" w:space="0" w:color="auto"/>
        <w:bottom w:val="none" w:sz="0" w:space="0" w:color="auto"/>
        <w:right w:val="none" w:sz="0" w:space="0" w:color="auto"/>
      </w:divBdr>
    </w:div>
    <w:div w:id="349071207">
      <w:bodyDiv w:val="1"/>
      <w:marLeft w:val="0"/>
      <w:marRight w:val="0"/>
      <w:marTop w:val="0"/>
      <w:marBottom w:val="0"/>
      <w:divBdr>
        <w:top w:val="none" w:sz="0" w:space="0" w:color="auto"/>
        <w:left w:val="none" w:sz="0" w:space="0" w:color="auto"/>
        <w:bottom w:val="none" w:sz="0" w:space="0" w:color="auto"/>
        <w:right w:val="none" w:sz="0" w:space="0" w:color="auto"/>
      </w:divBdr>
    </w:div>
    <w:div w:id="350256910">
      <w:bodyDiv w:val="1"/>
      <w:marLeft w:val="0"/>
      <w:marRight w:val="0"/>
      <w:marTop w:val="0"/>
      <w:marBottom w:val="0"/>
      <w:divBdr>
        <w:top w:val="none" w:sz="0" w:space="0" w:color="auto"/>
        <w:left w:val="none" w:sz="0" w:space="0" w:color="auto"/>
        <w:bottom w:val="none" w:sz="0" w:space="0" w:color="auto"/>
        <w:right w:val="none" w:sz="0" w:space="0" w:color="auto"/>
      </w:divBdr>
    </w:div>
    <w:div w:id="387920387">
      <w:bodyDiv w:val="1"/>
      <w:marLeft w:val="0"/>
      <w:marRight w:val="0"/>
      <w:marTop w:val="0"/>
      <w:marBottom w:val="0"/>
      <w:divBdr>
        <w:top w:val="none" w:sz="0" w:space="0" w:color="auto"/>
        <w:left w:val="none" w:sz="0" w:space="0" w:color="auto"/>
        <w:bottom w:val="none" w:sz="0" w:space="0" w:color="auto"/>
        <w:right w:val="none" w:sz="0" w:space="0" w:color="auto"/>
      </w:divBdr>
    </w:div>
    <w:div w:id="404036317">
      <w:bodyDiv w:val="1"/>
      <w:marLeft w:val="0"/>
      <w:marRight w:val="0"/>
      <w:marTop w:val="0"/>
      <w:marBottom w:val="0"/>
      <w:divBdr>
        <w:top w:val="none" w:sz="0" w:space="0" w:color="auto"/>
        <w:left w:val="none" w:sz="0" w:space="0" w:color="auto"/>
        <w:bottom w:val="none" w:sz="0" w:space="0" w:color="auto"/>
        <w:right w:val="none" w:sz="0" w:space="0" w:color="auto"/>
      </w:divBdr>
    </w:div>
    <w:div w:id="485367732">
      <w:bodyDiv w:val="1"/>
      <w:marLeft w:val="0"/>
      <w:marRight w:val="0"/>
      <w:marTop w:val="0"/>
      <w:marBottom w:val="0"/>
      <w:divBdr>
        <w:top w:val="none" w:sz="0" w:space="0" w:color="auto"/>
        <w:left w:val="none" w:sz="0" w:space="0" w:color="auto"/>
        <w:bottom w:val="none" w:sz="0" w:space="0" w:color="auto"/>
        <w:right w:val="none" w:sz="0" w:space="0" w:color="auto"/>
      </w:divBdr>
    </w:div>
    <w:div w:id="532496467">
      <w:bodyDiv w:val="1"/>
      <w:marLeft w:val="0"/>
      <w:marRight w:val="0"/>
      <w:marTop w:val="0"/>
      <w:marBottom w:val="0"/>
      <w:divBdr>
        <w:top w:val="none" w:sz="0" w:space="0" w:color="auto"/>
        <w:left w:val="none" w:sz="0" w:space="0" w:color="auto"/>
        <w:bottom w:val="none" w:sz="0" w:space="0" w:color="auto"/>
        <w:right w:val="none" w:sz="0" w:space="0" w:color="auto"/>
      </w:divBdr>
    </w:div>
    <w:div w:id="543757207">
      <w:bodyDiv w:val="1"/>
      <w:marLeft w:val="0"/>
      <w:marRight w:val="0"/>
      <w:marTop w:val="0"/>
      <w:marBottom w:val="0"/>
      <w:divBdr>
        <w:top w:val="none" w:sz="0" w:space="0" w:color="auto"/>
        <w:left w:val="none" w:sz="0" w:space="0" w:color="auto"/>
        <w:bottom w:val="none" w:sz="0" w:space="0" w:color="auto"/>
        <w:right w:val="none" w:sz="0" w:space="0" w:color="auto"/>
      </w:divBdr>
    </w:div>
    <w:div w:id="853154585">
      <w:bodyDiv w:val="1"/>
      <w:marLeft w:val="0"/>
      <w:marRight w:val="0"/>
      <w:marTop w:val="0"/>
      <w:marBottom w:val="0"/>
      <w:divBdr>
        <w:top w:val="none" w:sz="0" w:space="0" w:color="auto"/>
        <w:left w:val="none" w:sz="0" w:space="0" w:color="auto"/>
        <w:bottom w:val="none" w:sz="0" w:space="0" w:color="auto"/>
        <w:right w:val="none" w:sz="0" w:space="0" w:color="auto"/>
      </w:divBdr>
    </w:div>
    <w:div w:id="908925161">
      <w:bodyDiv w:val="1"/>
      <w:marLeft w:val="0"/>
      <w:marRight w:val="0"/>
      <w:marTop w:val="0"/>
      <w:marBottom w:val="0"/>
      <w:divBdr>
        <w:top w:val="none" w:sz="0" w:space="0" w:color="auto"/>
        <w:left w:val="none" w:sz="0" w:space="0" w:color="auto"/>
        <w:bottom w:val="none" w:sz="0" w:space="0" w:color="auto"/>
        <w:right w:val="none" w:sz="0" w:space="0" w:color="auto"/>
      </w:divBdr>
    </w:div>
    <w:div w:id="993755028">
      <w:bodyDiv w:val="1"/>
      <w:marLeft w:val="0"/>
      <w:marRight w:val="0"/>
      <w:marTop w:val="0"/>
      <w:marBottom w:val="0"/>
      <w:divBdr>
        <w:top w:val="none" w:sz="0" w:space="0" w:color="auto"/>
        <w:left w:val="none" w:sz="0" w:space="0" w:color="auto"/>
        <w:bottom w:val="none" w:sz="0" w:space="0" w:color="auto"/>
        <w:right w:val="none" w:sz="0" w:space="0" w:color="auto"/>
      </w:divBdr>
    </w:div>
    <w:div w:id="1069306045">
      <w:bodyDiv w:val="1"/>
      <w:marLeft w:val="0"/>
      <w:marRight w:val="0"/>
      <w:marTop w:val="0"/>
      <w:marBottom w:val="0"/>
      <w:divBdr>
        <w:top w:val="none" w:sz="0" w:space="0" w:color="auto"/>
        <w:left w:val="none" w:sz="0" w:space="0" w:color="auto"/>
        <w:bottom w:val="none" w:sz="0" w:space="0" w:color="auto"/>
        <w:right w:val="none" w:sz="0" w:space="0" w:color="auto"/>
      </w:divBdr>
    </w:div>
    <w:div w:id="1131748511">
      <w:bodyDiv w:val="1"/>
      <w:marLeft w:val="0"/>
      <w:marRight w:val="0"/>
      <w:marTop w:val="0"/>
      <w:marBottom w:val="0"/>
      <w:divBdr>
        <w:top w:val="none" w:sz="0" w:space="0" w:color="auto"/>
        <w:left w:val="none" w:sz="0" w:space="0" w:color="auto"/>
        <w:bottom w:val="none" w:sz="0" w:space="0" w:color="auto"/>
        <w:right w:val="none" w:sz="0" w:space="0" w:color="auto"/>
      </w:divBdr>
    </w:div>
    <w:div w:id="1249536943">
      <w:bodyDiv w:val="1"/>
      <w:marLeft w:val="0"/>
      <w:marRight w:val="0"/>
      <w:marTop w:val="0"/>
      <w:marBottom w:val="0"/>
      <w:divBdr>
        <w:top w:val="none" w:sz="0" w:space="0" w:color="auto"/>
        <w:left w:val="none" w:sz="0" w:space="0" w:color="auto"/>
        <w:bottom w:val="none" w:sz="0" w:space="0" w:color="auto"/>
        <w:right w:val="none" w:sz="0" w:space="0" w:color="auto"/>
      </w:divBdr>
    </w:div>
    <w:div w:id="1318653732">
      <w:bodyDiv w:val="1"/>
      <w:marLeft w:val="0"/>
      <w:marRight w:val="0"/>
      <w:marTop w:val="0"/>
      <w:marBottom w:val="0"/>
      <w:divBdr>
        <w:top w:val="none" w:sz="0" w:space="0" w:color="auto"/>
        <w:left w:val="none" w:sz="0" w:space="0" w:color="auto"/>
        <w:bottom w:val="none" w:sz="0" w:space="0" w:color="auto"/>
        <w:right w:val="none" w:sz="0" w:space="0" w:color="auto"/>
      </w:divBdr>
    </w:div>
    <w:div w:id="1415586272">
      <w:bodyDiv w:val="1"/>
      <w:marLeft w:val="0"/>
      <w:marRight w:val="0"/>
      <w:marTop w:val="0"/>
      <w:marBottom w:val="0"/>
      <w:divBdr>
        <w:top w:val="none" w:sz="0" w:space="0" w:color="auto"/>
        <w:left w:val="none" w:sz="0" w:space="0" w:color="auto"/>
        <w:bottom w:val="none" w:sz="0" w:space="0" w:color="auto"/>
        <w:right w:val="none" w:sz="0" w:space="0" w:color="auto"/>
      </w:divBdr>
    </w:div>
    <w:div w:id="1892378965">
      <w:bodyDiv w:val="1"/>
      <w:marLeft w:val="0"/>
      <w:marRight w:val="0"/>
      <w:marTop w:val="0"/>
      <w:marBottom w:val="0"/>
      <w:divBdr>
        <w:top w:val="none" w:sz="0" w:space="0" w:color="auto"/>
        <w:left w:val="none" w:sz="0" w:space="0" w:color="auto"/>
        <w:bottom w:val="none" w:sz="0" w:space="0" w:color="auto"/>
        <w:right w:val="none" w:sz="0" w:space="0" w:color="auto"/>
      </w:divBdr>
    </w:div>
    <w:div w:id="1918200033">
      <w:bodyDiv w:val="1"/>
      <w:marLeft w:val="0"/>
      <w:marRight w:val="0"/>
      <w:marTop w:val="0"/>
      <w:marBottom w:val="0"/>
      <w:divBdr>
        <w:top w:val="none" w:sz="0" w:space="0" w:color="auto"/>
        <w:left w:val="none" w:sz="0" w:space="0" w:color="auto"/>
        <w:bottom w:val="none" w:sz="0" w:space="0" w:color="auto"/>
        <w:right w:val="none" w:sz="0" w:space="0" w:color="auto"/>
      </w:divBdr>
    </w:div>
    <w:div w:id="203785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hcp.m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ENE\RESULTATS%20TRIMESTRIELS\2024T3\Graphiqu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E\RESULTATS%20TRIMESTRIELS\2024T3\Graphiqu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NE\RESULTATS%20TRIMESTRIELS\2024T3\Graphiqu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ENE\RESULTATS%20TRIMESTRIELS\2024T3\Graphiqu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labroude\Downloads\2024T3%20-%20Note%20sur%20les%20chiffres%20cl&#233;s%20-%20Tabulation%20%231%20-DEE21102024%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ENE\RESULTATS%20TRIMESTRIELS\2024T3\Graphique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ENE\RESULTATS%20TRIMESTRIELS\2024T3\Graphique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ENE\RESULTATS%20TRIMESTRIELS\2024T3\Graphiqu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3.0555555555555596E-2"/>
          <c:y val="5.0925925925925951E-2"/>
          <c:w val="0.93888888888889022"/>
          <c:h val="0.50050196850393658"/>
        </c:manualLayout>
      </c:layout>
      <c:lineChart>
        <c:grouping val="standard"/>
        <c:ser>
          <c:idx val="0"/>
          <c:order val="0"/>
          <c:tx>
            <c:strRef>
              <c:f>'taux d''activité et sous-emploi'!$C$44</c:f>
              <c:strCache>
                <c:ptCount val="1"/>
                <c:pt idx="0">
                  <c:v>Urbain</c:v>
                </c:pt>
              </c:strCache>
            </c:strRef>
          </c:tx>
          <c:spPr>
            <a:ln w="28575" cap="rnd">
              <a:solidFill>
                <a:schemeClr val="bg1">
                  <a:lumMod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dLblPos val="b"/>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'taux d''activité et sous-emploi'!$D$43:$I$43</c:f>
              <c:numCache>
                <c:formatCode>General</c:formatCode>
                <c:ptCount val="6"/>
                <c:pt idx="0">
                  <c:v>2019</c:v>
                </c:pt>
                <c:pt idx="1">
                  <c:v>2020</c:v>
                </c:pt>
                <c:pt idx="2">
                  <c:v>2021</c:v>
                </c:pt>
                <c:pt idx="3">
                  <c:v>2022</c:v>
                </c:pt>
                <c:pt idx="4">
                  <c:v>2023</c:v>
                </c:pt>
                <c:pt idx="5">
                  <c:v>2024</c:v>
                </c:pt>
              </c:numCache>
            </c:numRef>
          </c:cat>
          <c:val>
            <c:numRef>
              <c:f>'taux d''activité et sous-emploi'!$D$44:$I$44</c:f>
              <c:numCache>
                <c:formatCode>0.0</c:formatCode>
                <c:ptCount val="6"/>
                <c:pt idx="0">
                  <c:v>41.7</c:v>
                </c:pt>
                <c:pt idx="1">
                  <c:v>41</c:v>
                </c:pt>
                <c:pt idx="2">
                  <c:v>42.4</c:v>
                </c:pt>
                <c:pt idx="3">
                  <c:v>41.9</c:v>
                </c:pt>
                <c:pt idx="4">
                  <c:v>41.915260773841318</c:v>
                </c:pt>
                <c:pt idx="5">
                  <c:v>42.510050456883029</c:v>
                </c:pt>
              </c:numCache>
            </c:numRef>
          </c:val>
          <c:extLst xmlns:c16r2="http://schemas.microsoft.com/office/drawing/2015/06/chart">
            <c:ext xmlns:c16="http://schemas.microsoft.com/office/drawing/2014/chart" uri="{C3380CC4-5D6E-409C-BE32-E72D297353CC}">
              <c16:uniqueId val="{00000000-66CF-405D-8825-79BE4F8DDFC3}"/>
            </c:ext>
          </c:extLst>
        </c:ser>
        <c:ser>
          <c:idx val="1"/>
          <c:order val="1"/>
          <c:tx>
            <c:strRef>
              <c:f>'taux d''activité et sous-emploi'!$C$45</c:f>
              <c:strCache>
                <c:ptCount val="1"/>
                <c:pt idx="0">
                  <c:v>Rural</c:v>
                </c:pt>
              </c:strCache>
            </c:strRef>
          </c:tx>
          <c:spPr>
            <a:ln w="28575" cap="rnd">
              <a:solidFill>
                <a:srgbClr val="FFC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'taux d''activité et sous-emploi'!$D$43:$I$43</c:f>
              <c:numCache>
                <c:formatCode>General</c:formatCode>
                <c:ptCount val="6"/>
                <c:pt idx="0">
                  <c:v>2019</c:v>
                </c:pt>
                <c:pt idx="1">
                  <c:v>2020</c:v>
                </c:pt>
                <c:pt idx="2">
                  <c:v>2021</c:v>
                </c:pt>
                <c:pt idx="3">
                  <c:v>2022</c:v>
                </c:pt>
                <c:pt idx="4">
                  <c:v>2023</c:v>
                </c:pt>
                <c:pt idx="5">
                  <c:v>2024</c:v>
                </c:pt>
              </c:numCache>
            </c:numRef>
          </c:cat>
          <c:val>
            <c:numRef>
              <c:f>'taux d''activité et sous-emploi'!$D$45:$I$45</c:f>
              <c:numCache>
                <c:formatCode>0.0</c:formatCode>
                <c:ptCount val="6"/>
                <c:pt idx="0">
                  <c:v>50.8</c:v>
                </c:pt>
                <c:pt idx="1">
                  <c:v>48</c:v>
                </c:pt>
                <c:pt idx="2">
                  <c:v>50.3</c:v>
                </c:pt>
                <c:pt idx="3">
                  <c:v>48.1</c:v>
                </c:pt>
                <c:pt idx="4">
                  <c:v>45.818780803410846</c:v>
                </c:pt>
                <c:pt idx="5">
                  <c:v>45.66786172427598</c:v>
                </c:pt>
              </c:numCache>
            </c:numRef>
          </c:val>
          <c:extLst xmlns:c16r2="http://schemas.microsoft.com/office/drawing/2015/06/chart">
            <c:ext xmlns:c16="http://schemas.microsoft.com/office/drawing/2014/chart" uri="{C3380CC4-5D6E-409C-BE32-E72D297353CC}">
              <c16:uniqueId val="{00000001-66CF-405D-8825-79BE4F8DDFC3}"/>
            </c:ext>
          </c:extLst>
        </c:ser>
        <c:ser>
          <c:idx val="2"/>
          <c:order val="2"/>
          <c:tx>
            <c:strRef>
              <c:f>'taux d''activité et sous-emploi'!$C$46</c:f>
              <c:strCache>
                <c:ptCount val="1"/>
                <c:pt idx="0">
                  <c:v>National</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lumMod val="75000"/>
                        <a:lumOff val="25000"/>
                      </a:schemeClr>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'taux d''activité et sous-emploi'!$D$43:$I$43</c:f>
              <c:numCache>
                <c:formatCode>General</c:formatCode>
                <c:ptCount val="6"/>
                <c:pt idx="0">
                  <c:v>2019</c:v>
                </c:pt>
                <c:pt idx="1">
                  <c:v>2020</c:v>
                </c:pt>
                <c:pt idx="2">
                  <c:v>2021</c:v>
                </c:pt>
                <c:pt idx="3">
                  <c:v>2022</c:v>
                </c:pt>
                <c:pt idx="4">
                  <c:v>2023</c:v>
                </c:pt>
                <c:pt idx="5">
                  <c:v>2024</c:v>
                </c:pt>
              </c:numCache>
            </c:numRef>
          </c:cat>
          <c:val>
            <c:numRef>
              <c:f>'taux d''activité et sous-emploi'!$D$46:$I$46</c:f>
              <c:numCache>
                <c:formatCode>0.0</c:formatCode>
                <c:ptCount val="6"/>
                <c:pt idx="0">
                  <c:v>44.9</c:v>
                </c:pt>
                <c:pt idx="1">
                  <c:v>43.5</c:v>
                </c:pt>
                <c:pt idx="2">
                  <c:v>45.1</c:v>
                </c:pt>
                <c:pt idx="3">
                  <c:v>44</c:v>
                </c:pt>
                <c:pt idx="4">
                  <c:v>43.227962997011986</c:v>
                </c:pt>
                <c:pt idx="5">
                  <c:v>43.559876090480564</c:v>
                </c:pt>
              </c:numCache>
            </c:numRef>
          </c:val>
          <c:extLst xmlns:c16r2="http://schemas.microsoft.com/office/drawing/2015/06/chart">
            <c:ext xmlns:c16="http://schemas.microsoft.com/office/drawing/2014/chart" uri="{C3380CC4-5D6E-409C-BE32-E72D297353CC}">
              <c16:uniqueId val="{00000002-66CF-405D-8825-79BE4F8DDFC3}"/>
            </c:ext>
          </c:extLst>
        </c:ser>
        <c:marker val="1"/>
        <c:axId val="97821440"/>
        <c:axId val="97824128"/>
      </c:lineChart>
      <c:catAx>
        <c:axId val="9782144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endParaRPr lang="fr-FR"/>
          </a:p>
        </c:txPr>
        <c:crossAx val="97824128"/>
        <c:crosses val="autoZero"/>
        <c:auto val="1"/>
        <c:lblAlgn val="ctr"/>
        <c:lblOffset val="100"/>
      </c:catAx>
      <c:valAx>
        <c:axId val="97824128"/>
        <c:scaling>
          <c:orientation val="minMax"/>
          <c:min val="35"/>
        </c:scaling>
        <c:delete val="1"/>
        <c:axPos val="l"/>
        <c:numFmt formatCode="0.0" sourceLinked="1"/>
        <c:tickLblPos val="none"/>
        <c:crossAx val="97821440"/>
        <c:crosses val="autoZero"/>
        <c:crossBetween val="between"/>
      </c:valAx>
      <c:spPr>
        <a:noFill/>
        <a:ln w="25400">
          <a:noFill/>
        </a:ln>
        <a:effectLst/>
      </c:spPr>
    </c:plotArea>
    <c:legend>
      <c:legendPos val="b"/>
      <c:layout>
        <c:manualLayout>
          <c:xMode val="edge"/>
          <c:yMode val="edge"/>
          <c:x val="0.3087285417994094"/>
          <c:y val="0.73934591982820363"/>
          <c:w val="0.39142275047787006"/>
          <c:h val="9.5881352899069738E-2"/>
        </c:manualLayout>
      </c:layout>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7.9150343398726009E-2"/>
          <c:y val="0.18981481481481491"/>
          <c:w val="0.89301916956774907"/>
          <c:h val="0.59688247302420527"/>
        </c:manualLayout>
      </c:layout>
      <c:barChart>
        <c:barDir val="col"/>
        <c:grouping val="clustered"/>
        <c:ser>
          <c:idx val="0"/>
          <c:order val="0"/>
          <c:tx>
            <c:strRef>
              <c:f>'taux d''activité et sous-emploi'!$C$58</c:f>
              <c:strCache>
                <c:ptCount val="1"/>
                <c:pt idx="0">
                  <c:v>Emploi rémunéré</c:v>
                </c:pt>
              </c:strCache>
            </c:strRef>
          </c:tx>
          <c:spPr>
            <a:solidFill>
              <a:schemeClr val="bg1">
                <a:lumMod val="50000"/>
              </a:schemeClr>
            </a:solidFill>
            <a:ln>
              <a:noFill/>
            </a:ln>
            <a:effectLst/>
          </c:spPr>
          <c:dLbls>
            <c:dLbl>
              <c:idx val="0"/>
              <c:tx>
                <c:rich>
                  <a:bodyPr/>
                  <a:lstStyle/>
                  <a:p>
                    <a:fld id="{7921201C-1438-4A83-A653-A4419E065953}" type="VALUE">
                      <a:rPr lang="en-US" sz="800"/>
                      <a:pPr/>
                      <a:t>[VALEUR]</a:t>
                    </a:fld>
                    <a:r>
                      <a:rPr lang="en-US" sz="800"/>
                      <a:t>.000</a:t>
                    </a:r>
                  </a:p>
                </c:rich>
              </c:tx>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B-B241-4810-AFAB-2894EA263E95}"/>
                </c:ext>
              </c:extLst>
            </c:dLbl>
            <c:dLbl>
              <c:idx val="1"/>
              <c:tx>
                <c:rich>
                  <a:bodyPr/>
                  <a:lstStyle/>
                  <a:p>
                    <a:fld id="{3850764D-F389-442E-9835-1E802FE244D7}" type="VALUE">
                      <a:rPr lang="en-US" sz="800"/>
                      <a:pPr/>
                      <a:t>[VALEUR]</a:t>
                    </a:fld>
                    <a:r>
                      <a:rPr lang="en-US" sz="800"/>
                      <a:t>.000</a:t>
                    </a:r>
                  </a:p>
                </c:rich>
              </c:tx>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8-B241-4810-AFAB-2894EA263E95}"/>
                </c:ext>
              </c:extLst>
            </c:dLbl>
            <c:dLbl>
              <c:idx val="2"/>
              <c:tx>
                <c:rich>
                  <a:bodyPr/>
                  <a:lstStyle/>
                  <a:p>
                    <a:r>
                      <a:rPr lang="en-US" sz="800"/>
                      <a:t>262.000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B241-4810-AFAB-2894EA263E95}"/>
                </c:ext>
              </c:extLst>
            </c:dLbl>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'taux d''activité et sous-emploi'!$D$57:$F$57</c:f>
              <c:strCache>
                <c:ptCount val="3"/>
                <c:pt idx="0">
                  <c:v>Urbain</c:v>
                </c:pt>
                <c:pt idx="1">
                  <c:v>Rural</c:v>
                </c:pt>
                <c:pt idx="2">
                  <c:v>Ensemble</c:v>
                </c:pt>
              </c:strCache>
            </c:strRef>
          </c:cat>
          <c:val>
            <c:numRef>
              <c:f>'taux d''activité et sous-emploi'!$D$58:$F$58</c:f>
              <c:numCache>
                <c:formatCode>0</c:formatCode>
                <c:ptCount val="3"/>
                <c:pt idx="0">
                  <c:v>217.50892148725268</c:v>
                </c:pt>
                <c:pt idx="1">
                  <c:v>44.910548164565171</c:v>
                </c:pt>
                <c:pt idx="2">
                  <c:v>262.41946965161696</c:v>
                </c:pt>
              </c:numCache>
            </c:numRef>
          </c:val>
          <c:extLst xmlns:c16r2="http://schemas.microsoft.com/office/drawing/2015/06/chart">
            <c:ext xmlns:c16="http://schemas.microsoft.com/office/drawing/2014/chart" uri="{C3380CC4-5D6E-409C-BE32-E72D297353CC}">
              <c16:uniqueId val="{00000000-B241-4810-AFAB-2894EA263E95}"/>
            </c:ext>
          </c:extLst>
        </c:ser>
        <c:ser>
          <c:idx val="1"/>
          <c:order val="1"/>
          <c:tx>
            <c:strRef>
              <c:f>'taux d''activité et sous-emploi'!$C$59</c:f>
              <c:strCache>
                <c:ptCount val="1"/>
                <c:pt idx="0">
                  <c:v>Emploi non rémunéré</c:v>
                </c:pt>
              </c:strCache>
            </c:strRef>
          </c:tx>
          <c:spPr>
            <a:solidFill>
              <a:schemeClr val="accent2"/>
            </a:solidFill>
            <a:ln>
              <a:noFill/>
            </a:ln>
            <a:effectLst/>
          </c:spPr>
          <c:dLbls>
            <c:dLbl>
              <c:idx val="0"/>
              <c:tx>
                <c:rich>
                  <a:bodyPr/>
                  <a:lstStyle/>
                  <a:p>
                    <a:fld id="{2AC589F4-B539-442A-8CF4-63AA7E714992}" type="VALUE">
                      <a:rPr lang="en-US" sz="800"/>
                      <a:pPr/>
                      <a:t>[VALEUR]</a:t>
                    </a:fld>
                    <a:r>
                      <a:rPr lang="en-US" sz="800"/>
                      <a:t>.000</a:t>
                    </a:r>
                  </a:p>
                </c:rich>
              </c:tx>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A-B241-4810-AFAB-2894EA263E95}"/>
                </c:ext>
              </c:extLst>
            </c:dLbl>
            <c:dLbl>
              <c:idx val="1"/>
              <c:tx>
                <c:rich>
                  <a:bodyPr/>
                  <a:lstStyle/>
                  <a:p>
                    <a:fld id="{67D1A86F-D46D-4CAB-92EA-63111C1D333D}" type="VALUE">
                      <a:rPr lang="en-US" sz="800"/>
                      <a:pPr/>
                      <a:t>[VALEUR]</a:t>
                    </a:fld>
                    <a:r>
                      <a:rPr lang="en-US" sz="800"/>
                      <a:t>.000</a:t>
                    </a:r>
                  </a:p>
                </c:rich>
              </c:tx>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7-B241-4810-AFAB-2894EA263E95}"/>
                </c:ext>
              </c:extLst>
            </c:dLbl>
            <c:dLbl>
              <c:idx val="2"/>
              <c:tx>
                <c:rich>
                  <a:bodyPr/>
                  <a:lstStyle/>
                  <a:p>
                    <a:r>
                      <a:rPr lang="en-US" sz="800"/>
                      <a:t>-49.000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B241-4810-AFAB-2894EA263E95}"/>
                </c:ext>
              </c:extLst>
            </c:dLbl>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'taux d''activité et sous-emploi'!$D$57:$F$57</c:f>
              <c:strCache>
                <c:ptCount val="3"/>
                <c:pt idx="0">
                  <c:v>Urbain</c:v>
                </c:pt>
                <c:pt idx="1">
                  <c:v>Rural</c:v>
                </c:pt>
                <c:pt idx="2">
                  <c:v>Ensemble</c:v>
                </c:pt>
              </c:strCache>
            </c:strRef>
          </c:cat>
          <c:val>
            <c:numRef>
              <c:f>'taux d''activité et sous-emploi'!$D$59:$F$59</c:f>
              <c:numCache>
                <c:formatCode>0</c:formatCode>
                <c:ptCount val="3"/>
                <c:pt idx="0">
                  <c:v>13.119462810106661</c:v>
                </c:pt>
                <c:pt idx="1">
                  <c:v>-62.053442141480105</c:v>
                </c:pt>
                <c:pt idx="2">
                  <c:v>-48.933979331376008</c:v>
                </c:pt>
              </c:numCache>
            </c:numRef>
          </c:val>
          <c:extLst xmlns:c16r2="http://schemas.microsoft.com/office/drawing/2015/06/chart">
            <c:ext xmlns:c16="http://schemas.microsoft.com/office/drawing/2014/chart" uri="{C3380CC4-5D6E-409C-BE32-E72D297353CC}">
              <c16:uniqueId val="{00000001-B241-4810-AFAB-2894EA263E95}"/>
            </c:ext>
          </c:extLst>
        </c:ser>
        <c:ser>
          <c:idx val="2"/>
          <c:order val="2"/>
          <c:tx>
            <c:strRef>
              <c:f>'taux d''activité et sous-emploi'!$C$60</c:f>
              <c:strCache>
                <c:ptCount val="1"/>
                <c:pt idx="0">
                  <c:v>Ensemble</c:v>
                </c:pt>
              </c:strCache>
            </c:strRef>
          </c:tx>
          <c:spPr>
            <a:solidFill>
              <a:srgbClr val="FFC000"/>
            </a:solidFill>
            <a:ln>
              <a:noFill/>
            </a:ln>
            <a:effectLst/>
          </c:spPr>
          <c:dLbls>
            <c:dLbl>
              <c:idx val="0"/>
              <c:tx>
                <c:rich>
                  <a:bodyPr/>
                  <a:lstStyle/>
                  <a:p>
                    <a:fld id="{7CC4B0BE-ABE2-4129-A25A-E2F5B282ED79}" type="VALUE">
                      <a:rPr lang="en-US" sz="800"/>
                      <a:pPr/>
                      <a:t>[VALEUR]</a:t>
                    </a:fld>
                    <a:r>
                      <a:rPr lang="en-US" sz="800"/>
                      <a:t>.000</a:t>
                    </a:r>
                  </a:p>
                </c:rich>
              </c:tx>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9-B241-4810-AFAB-2894EA263E95}"/>
                </c:ext>
              </c:extLst>
            </c:dLbl>
            <c:dLbl>
              <c:idx val="1"/>
              <c:tx>
                <c:rich>
                  <a:bodyPr/>
                  <a:lstStyle/>
                  <a:p>
                    <a:fld id="{6CB8D604-889D-424F-A556-1660CC5D3457}" type="VALUE">
                      <a:rPr lang="en-US" sz="800"/>
                      <a:pPr/>
                      <a:t>[VALEUR]</a:t>
                    </a:fld>
                    <a:r>
                      <a:rPr lang="en-US" sz="800"/>
                      <a:t>.000</a:t>
                    </a:r>
                  </a:p>
                </c:rich>
              </c:tx>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6-B241-4810-AFAB-2894EA263E95}"/>
                </c:ext>
              </c:extLst>
            </c:dLbl>
            <c:dLbl>
              <c:idx val="2"/>
              <c:tx>
                <c:rich>
                  <a:bodyPr/>
                  <a:lstStyle/>
                  <a:p>
                    <a:r>
                      <a:rPr lang="en-US" sz="800"/>
                      <a:t>213.000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B241-4810-AFAB-2894EA263E95}"/>
                </c:ext>
              </c:extLst>
            </c:dLbl>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'taux d''activité et sous-emploi'!$D$57:$F$57</c:f>
              <c:strCache>
                <c:ptCount val="3"/>
                <c:pt idx="0">
                  <c:v>Urbain</c:v>
                </c:pt>
                <c:pt idx="1">
                  <c:v>Rural</c:v>
                </c:pt>
                <c:pt idx="2">
                  <c:v>Ensemble</c:v>
                </c:pt>
              </c:strCache>
            </c:strRef>
          </c:cat>
          <c:val>
            <c:numRef>
              <c:f>'taux d''activité et sous-emploi'!$D$60:$F$60</c:f>
              <c:numCache>
                <c:formatCode>0</c:formatCode>
                <c:ptCount val="3"/>
                <c:pt idx="0">
                  <c:v>230.62838429737349</c:v>
                </c:pt>
                <c:pt idx="1">
                  <c:v>-17.142893976862979</c:v>
                </c:pt>
                <c:pt idx="2">
                  <c:v>213.48549032035044</c:v>
                </c:pt>
              </c:numCache>
            </c:numRef>
          </c:val>
          <c:extLst xmlns:c16r2="http://schemas.microsoft.com/office/drawing/2015/06/chart">
            <c:ext xmlns:c16="http://schemas.microsoft.com/office/drawing/2014/chart" uri="{C3380CC4-5D6E-409C-BE32-E72D297353CC}">
              <c16:uniqueId val="{00000002-B241-4810-AFAB-2894EA263E95}"/>
            </c:ext>
          </c:extLst>
        </c:ser>
        <c:gapWidth val="219"/>
        <c:overlap val="-27"/>
        <c:axId val="97858688"/>
        <c:axId val="97860224"/>
      </c:barChart>
      <c:catAx>
        <c:axId val="97858688"/>
        <c:scaling>
          <c:orientation val="minMax"/>
        </c:scaling>
        <c:axPos val="b"/>
        <c:numFmt formatCode="General" sourceLinked="1"/>
        <c:maj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endParaRPr lang="fr-FR"/>
          </a:p>
        </c:txPr>
        <c:crossAx val="97860224"/>
        <c:crosses val="autoZero"/>
        <c:auto val="1"/>
        <c:lblAlgn val="ctr"/>
        <c:lblOffset val="100"/>
      </c:catAx>
      <c:valAx>
        <c:axId val="97860224"/>
        <c:scaling>
          <c:orientation val="minMax"/>
        </c:scaling>
        <c:delete val="1"/>
        <c:axPos val="l"/>
        <c:numFmt formatCode="0" sourceLinked="1"/>
        <c:majorTickMark val="none"/>
        <c:tickLblPos val="none"/>
        <c:crossAx val="97858688"/>
        <c:crosses val="autoZero"/>
        <c:crossBetween val="between"/>
      </c:valAx>
      <c:spPr>
        <a:noFill/>
        <a:ln>
          <a:noFill/>
        </a:ln>
        <a:effectLst/>
      </c:spPr>
    </c:plotArea>
    <c:legend>
      <c:legendPos val="b"/>
      <c:layout>
        <c:manualLayout>
          <c:xMode val="edge"/>
          <c:yMode val="edge"/>
          <c:x val="0.14386636045494341"/>
          <c:y val="9.8374161563138194E-3"/>
          <c:w val="0.63356392595138056"/>
          <c:h val="7.8125546806649182E-2"/>
        </c:manualLayout>
      </c:layout>
      <c:spPr>
        <a:noFill/>
        <a:ln>
          <a:noFill/>
        </a:ln>
        <a:effectLst/>
      </c:spPr>
      <c:txPr>
        <a:bodyPr rot="0" spcFirstLastPara="1"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fr-FR"/>
  <c:chart>
    <c:autoTitleDeleted val="1"/>
    <c:plotArea>
      <c:layout>
        <c:manualLayout>
          <c:layoutTarget val="inner"/>
          <c:xMode val="edge"/>
          <c:yMode val="edge"/>
          <c:x val="3.0555555555555582E-2"/>
          <c:y val="5.0925925925925923E-2"/>
          <c:w val="0.93888888888889022"/>
          <c:h val="0.56084062408865565"/>
        </c:manualLayout>
      </c:layout>
      <c:barChart>
        <c:barDir val="col"/>
        <c:grouping val="clustered"/>
        <c:ser>
          <c:idx val="0"/>
          <c:order val="0"/>
          <c:tx>
            <c:strRef>
              <c:f>'taux d''activité et sous-emploi'!$D$73</c:f>
              <c:strCache>
                <c:ptCount val="1"/>
                <c:pt idx="0">
                  <c:v>Urbain</c:v>
                </c:pt>
              </c:strCache>
            </c:strRef>
          </c:tx>
          <c:spPr>
            <a:solidFill>
              <a:schemeClr val="bg1">
                <a:lumMod val="50000"/>
              </a:schemeClr>
            </a:solidFill>
            <a:ln>
              <a:noFill/>
            </a:ln>
            <a:effectLst/>
          </c:spPr>
          <c:dLbls>
            <c:dLbl>
              <c:idx val="0"/>
              <c:tx>
                <c:rich>
                  <a:bodyPr/>
                  <a:lstStyle/>
                  <a:p>
                    <a:r>
                      <a:rPr lang="en-US" sz="800"/>
                      <a:t>9.000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C236-4B3F-8C10-01A7FBC6DDD0}"/>
                </c:ext>
              </c:extLst>
            </c:dLbl>
            <c:dLbl>
              <c:idx val="1"/>
              <c:tx>
                <c:rich>
                  <a:bodyPr/>
                  <a:lstStyle/>
                  <a:p>
                    <a:r>
                      <a:rPr lang="en-US" sz="800"/>
                      <a:t>27.000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C236-4B3F-8C10-01A7FBC6DDD0}"/>
                </c:ext>
              </c:extLst>
            </c:dLbl>
            <c:dLbl>
              <c:idx val="2"/>
              <c:tx>
                <c:rich>
                  <a:bodyPr/>
                  <a:lstStyle/>
                  <a:p>
                    <a:fld id="{B578864D-C986-416F-AF9C-F5048D581ED0}" type="VALUE">
                      <a:rPr lang="en-US" sz="800"/>
                      <a:pPr/>
                      <a:t>[VALEUR]</a:t>
                    </a:fld>
                    <a:r>
                      <a:rPr lang="en-US" sz="800"/>
                      <a:t>.000</a:t>
                    </a:r>
                  </a:p>
                </c:rich>
              </c:tx>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2-C236-4B3F-8C10-01A7FBC6DDD0}"/>
                </c:ext>
              </c:extLst>
            </c:dLbl>
            <c:dLbl>
              <c:idx val="3"/>
              <c:tx>
                <c:rich>
                  <a:bodyPr/>
                  <a:lstStyle/>
                  <a:p>
                    <a:r>
                      <a:rPr lang="en-US" sz="800"/>
                      <a:t>206.000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C236-4B3F-8C10-01A7FBC6DDD0}"/>
                </c:ext>
              </c:extLst>
            </c:dLbl>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'taux d''activité et sous-emploi'!$C$74:$C$77</c:f>
              <c:strCache>
                <c:ptCount val="4"/>
                <c:pt idx="0">
                  <c:v>Agriculture, forêt et pêche</c:v>
                </c:pt>
                <c:pt idx="1">
                  <c:v>Industrie (y compris artisanat)</c:v>
                </c:pt>
                <c:pt idx="2">
                  <c:v>BTP</c:v>
                </c:pt>
                <c:pt idx="3">
                  <c:v>Services</c:v>
                </c:pt>
              </c:strCache>
            </c:strRef>
          </c:cat>
          <c:val>
            <c:numRef>
              <c:f>'taux d''activité et sous-emploi'!$D$74:$D$77</c:f>
              <c:numCache>
                <c:formatCode>0</c:formatCode>
                <c:ptCount val="4"/>
                <c:pt idx="0">
                  <c:v>8.7548679277400154</c:v>
                </c:pt>
                <c:pt idx="1">
                  <c:v>26.710228250466169</c:v>
                </c:pt>
                <c:pt idx="2">
                  <c:v>-10.889294035763927</c:v>
                </c:pt>
                <c:pt idx="3">
                  <c:v>206.2826920709922</c:v>
                </c:pt>
              </c:numCache>
            </c:numRef>
          </c:val>
          <c:extLst xmlns:c16r2="http://schemas.microsoft.com/office/drawing/2015/06/chart">
            <c:ext xmlns:c16="http://schemas.microsoft.com/office/drawing/2014/chart" uri="{C3380CC4-5D6E-409C-BE32-E72D297353CC}">
              <c16:uniqueId val="{00000000-A2A7-4C60-B829-D9AFFE5F5543}"/>
            </c:ext>
          </c:extLst>
        </c:ser>
        <c:ser>
          <c:idx val="1"/>
          <c:order val="1"/>
          <c:tx>
            <c:strRef>
              <c:f>'taux d''activité et sous-emploi'!$E$73</c:f>
              <c:strCache>
                <c:ptCount val="1"/>
                <c:pt idx="0">
                  <c:v>Rural</c:v>
                </c:pt>
              </c:strCache>
            </c:strRef>
          </c:tx>
          <c:spPr>
            <a:solidFill>
              <a:schemeClr val="accent2"/>
            </a:solidFill>
            <a:ln>
              <a:noFill/>
            </a:ln>
            <a:effectLst/>
          </c:spPr>
          <c:dLbls>
            <c:dLbl>
              <c:idx val="0"/>
              <c:layout>
                <c:manualLayout>
                  <c:x val="-1.6279069767441871E-2"/>
                  <c:y val="0"/>
                </c:manualLayout>
              </c:layout>
              <c:tx>
                <c:rich>
                  <a:bodyPr/>
                  <a:lstStyle/>
                  <a:p>
                    <a:r>
                      <a:rPr lang="en-US" sz="800"/>
                      <a:t>-133.000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D-A2A7-4C60-B829-D9AFFE5F5543}"/>
                </c:ext>
              </c:extLst>
            </c:dLbl>
            <c:dLbl>
              <c:idx val="1"/>
              <c:tx>
                <c:rich>
                  <a:bodyPr/>
                  <a:lstStyle/>
                  <a:p>
                    <a:r>
                      <a:rPr lang="en-US" sz="800"/>
                      <a:t>-3.000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A-A2A7-4C60-B829-D9AFFE5F5543}"/>
                </c:ext>
              </c:extLst>
            </c:dLbl>
            <c:dLbl>
              <c:idx val="2"/>
              <c:layout>
                <c:manualLayout>
                  <c:x val="-1.1627906976744155E-2"/>
                  <c:y val="-2.928613665742652E-17"/>
                </c:manualLayout>
              </c:layout>
              <c:tx>
                <c:rich>
                  <a:bodyPr/>
                  <a:lstStyle/>
                  <a:p>
                    <a:r>
                      <a:rPr lang="en-US" sz="800"/>
                      <a:t>68.000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A2A7-4C60-B829-D9AFFE5F5543}"/>
                </c:ext>
              </c:extLst>
            </c:dLbl>
            <c:dLbl>
              <c:idx val="3"/>
              <c:tx>
                <c:rich>
                  <a:bodyPr/>
                  <a:lstStyle/>
                  <a:p>
                    <a:r>
                      <a:rPr lang="en-US" sz="800"/>
                      <a:t>51.000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A2A7-4C60-B829-D9AFFE5F5543}"/>
                </c:ext>
              </c:extLst>
            </c:dLbl>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'taux d''activité et sous-emploi'!$C$74:$C$77</c:f>
              <c:strCache>
                <c:ptCount val="4"/>
                <c:pt idx="0">
                  <c:v>Agriculture, forêt et pêche</c:v>
                </c:pt>
                <c:pt idx="1">
                  <c:v>Industrie (y compris artisanat)</c:v>
                </c:pt>
                <c:pt idx="2">
                  <c:v>BTP</c:v>
                </c:pt>
                <c:pt idx="3">
                  <c:v>Services</c:v>
                </c:pt>
              </c:strCache>
            </c:strRef>
          </c:cat>
          <c:val>
            <c:numRef>
              <c:f>'taux d''activité et sous-emploi'!$E$74:$E$77</c:f>
              <c:numCache>
                <c:formatCode>0</c:formatCode>
                <c:ptCount val="4"/>
                <c:pt idx="0">
                  <c:v>-132.59263137510251</c:v>
                </c:pt>
                <c:pt idx="1">
                  <c:v>-3.4197404292811462</c:v>
                </c:pt>
                <c:pt idx="2">
                  <c:v>67.939271367453088</c:v>
                </c:pt>
                <c:pt idx="3">
                  <c:v>51.225551906535017</c:v>
                </c:pt>
              </c:numCache>
            </c:numRef>
          </c:val>
          <c:extLst xmlns:c16r2="http://schemas.microsoft.com/office/drawing/2015/06/chart">
            <c:ext xmlns:c16="http://schemas.microsoft.com/office/drawing/2014/chart" uri="{C3380CC4-5D6E-409C-BE32-E72D297353CC}">
              <c16:uniqueId val="{00000001-A2A7-4C60-B829-D9AFFE5F5543}"/>
            </c:ext>
          </c:extLst>
        </c:ser>
        <c:ser>
          <c:idx val="2"/>
          <c:order val="2"/>
          <c:tx>
            <c:strRef>
              <c:f>'taux d''activité et sous-emploi'!$F$73</c:f>
              <c:strCache>
                <c:ptCount val="1"/>
                <c:pt idx="0">
                  <c:v>Ensemble</c:v>
                </c:pt>
              </c:strCache>
            </c:strRef>
          </c:tx>
          <c:spPr>
            <a:solidFill>
              <a:srgbClr val="FFC000"/>
            </a:solidFill>
            <a:ln>
              <a:noFill/>
            </a:ln>
            <a:effectLst/>
          </c:spPr>
          <c:dLbls>
            <c:dLbl>
              <c:idx val="0"/>
              <c:layout>
                <c:manualLayout>
                  <c:x val="2.0930232558139618E-2"/>
                  <c:y val="-6.3897763578274784E-3"/>
                </c:manualLayout>
              </c:layout>
              <c:tx>
                <c:rich>
                  <a:bodyPr/>
                  <a:lstStyle/>
                  <a:p>
                    <a:r>
                      <a:rPr lang="en-US" sz="800"/>
                      <a:t>-124.000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C-A2A7-4C60-B829-D9AFFE5F5543}"/>
                </c:ext>
              </c:extLst>
            </c:dLbl>
            <c:dLbl>
              <c:idx val="1"/>
              <c:tx>
                <c:rich>
                  <a:bodyPr/>
                  <a:lstStyle/>
                  <a:p>
                    <a:r>
                      <a:rPr lang="en-US" sz="800"/>
                      <a:t>23.000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9-A2A7-4C60-B829-D9AFFE5F5543}"/>
                </c:ext>
              </c:extLst>
            </c:dLbl>
            <c:dLbl>
              <c:idx val="2"/>
              <c:layout>
                <c:manualLayout>
                  <c:x val="9.3023255813952724E-3"/>
                  <c:y val="-2.928613665742652E-17"/>
                </c:manualLayout>
              </c:layout>
              <c:tx>
                <c:rich>
                  <a:bodyPr/>
                  <a:lstStyle/>
                  <a:p>
                    <a:r>
                      <a:rPr lang="en-US" sz="800"/>
                      <a:t>57.000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A2A7-4C60-B829-D9AFFE5F5543}"/>
                </c:ext>
              </c:extLst>
            </c:dLbl>
            <c:dLbl>
              <c:idx val="3"/>
              <c:tx>
                <c:rich>
                  <a:bodyPr/>
                  <a:lstStyle/>
                  <a:p>
                    <a:fld id="{B58A795A-932E-4494-8A5E-05F881118E9C}" type="VALUE">
                      <a:rPr lang="en-US" sz="800"/>
                      <a:pPr/>
                      <a:t>[VALEUR]</a:t>
                    </a:fld>
                    <a:r>
                      <a:rPr lang="en-US" sz="800"/>
                      <a:t>.000</a:t>
                    </a:r>
                  </a:p>
                </c:rich>
              </c:tx>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3-A2A7-4C60-B829-D9AFFE5F5543}"/>
                </c:ext>
              </c:extLst>
            </c:dLbl>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'taux d''activité et sous-emploi'!$C$74:$C$77</c:f>
              <c:strCache>
                <c:ptCount val="4"/>
                <c:pt idx="0">
                  <c:v>Agriculture, forêt et pêche</c:v>
                </c:pt>
                <c:pt idx="1">
                  <c:v>Industrie (y compris artisanat)</c:v>
                </c:pt>
                <c:pt idx="2">
                  <c:v>BTP</c:v>
                </c:pt>
                <c:pt idx="3">
                  <c:v>Services</c:v>
                </c:pt>
              </c:strCache>
            </c:strRef>
          </c:cat>
          <c:val>
            <c:numRef>
              <c:f>'taux d''activité et sous-emploi'!$F$74:$F$77</c:f>
              <c:numCache>
                <c:formatCode>0</c:formatCode>
                <c:ptCount val="4"/>
                <c:pt idx="0">
                  <c:v>-123.83776344736415</c:v>
                </c:pt>
                <c:pt idx="1">
                  <c:v>23.290487821188727</c:v>
                </c:pt>
                <c:pt idx="2">
                  <c:v>57.049977331692745</c:v>
                </c:pt>
                <c:pt idx="3">
                  <c:v>257.50824397759823</c:v>
                </c:pt>
              </c:numCache>
            </c:numRef>
          </c:val>
          <c:extLst xmlns:c16r2="http://schemas.microsoft.com/office/drawing/2015/06/chart">
            <c:ext xmlns:c16="http://schemas.microsoft.com/office/drawing/2014/chart" uri="{C3380CC4-5D6E-409C-BE32-E72D297353CC}">
              <c16:uniqueId val="{00000002-A2A7-4C60-B829-D9AFFE5F5543}"/>
            </c:ext>
          </c:extLst>
        </c:ser>
        <c:gapWidth val="219"/>
        <c:overlap val="-27"/>
        <c:axId val="101425152"/>
        <c:axId val="101426688"/>
      </c:barChart>
      <c:catAx>
        <c:axId val="101425152"/>
        <c:scaling>
          <c:orientation val="minMax"/>
        </c:scaling>
        <c:axPos val="b"/>
        <c:numFmt formatCode="General" sourceLinked="1"/>
        <c:maj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crossAx val="101426688"/>
        <c:crosses val="autoZero"/>
        <c:auto val="1"/>
        <c:lblAlgn val="ctr"/>
        <c:lblOffset val="60"/>
      </c:catAx>
      <c:valAx>
        <c:axId val="101426688"/>
        <c:scaling>
          <c:orientation val="minMax"/>
        </c:scaling>
        <c:delete val="1"/>
        <c:axPos val="l"/>
        <c:numFmt formatCode="0" sourceLinked="1"/>
        <c:majorTickMark val="none"/>
        <c:tickLblPos val="none"/>
        <c:crossAx val="10142515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'taux d''activité et sous-emploi'!$B$87</c:f>
              <c:strCache>
                <c:ptCount val="1"/>
                <c:pt idx="0">
                  <c:v>2023</c:v>
                </c:pt>
              </c:strCache>
            </c:strRef>
          </c:tx>
          <c:spPr>
            <a:solidFill>
              <a:schemeClr val="bg1">
                <a:lumMod val="50000"/>
              </a:schemeClr>
            </a:solidFill>
            <a:ln>
              <a:noFill/>
            </a:ln>
            <a:effectLst/>
          </c:spPr>
          <c:dLbls>
            <c:dLbl>
              <c:idx val="0"/>
              <c:tx>
                <c:rich>
                  <a:bodyPr/>
                  <a:lstStyle/>
                  <a:p>
                    <a:r>
                      <a:rPr lang="en-US" sz="700"/>
                      <a:t>17</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1A1E-4CF3-BAD1-F5BCFC8CB36F}"/>
                </c:ext>
              </c:extLst>
            </c:dLbl>
            <c:dLbl>
              <c:idx val="1"/>
              <c:tx>
                <c:rich>
                  <a:bodyPr/>
                  <a:lstStyle/>
                  <a:p>
                    <a:r>
                      <a:rPr lang="en-US" sz="700"/>
                      <a:t>7</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1A1E-4CF3-BAD1-F5BCFC8CB36F}"/>
                </c:ext>
              </c:extLst>
            </c:dLbl>
            <c:spPr>
              <a:noFill/>
              <a:ln>
                <a:noFill/>
              </a:ln>
              <a:effectLst/>
            </c:spPr>
            <c:txPr>
              <a:bodyPr rot="0" spcFirstLastPara="1" vertOverflow="ellipsis" vert="horz" wrap="square" anchor="ctr" anchorCtr="1"/>
              <a:lstStyle/>
              <a:p>
                <a:pPr>
                  <a:defRPr lang="en-US" sz="7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'taux d''activité et sous-emploi'!$A$88:$A$94</c:f>
              <c:strCache>
                <c:ptCount val="7"/>
                <c:pt idx="0">
                  <c:v>Urbain</c:v>
                </c:pt>
                <c:pt idx="1">
                  <c:v>Rural</c:v>
                </c:pt>
                <c:pt idx="2">
                  <c:v>Masculin</c:v>
                </c:pt>
                <c:pt idx="3">
                  <c:v>Féminin</c:v>
                </c:pt>
                <c:pt idx="4">
                  <c:v>15-24 ans</c:v>
                </c:pt>
                <c:pt idx="5">
                  <c:v>Diplômés</c:v>
                </c:pt>
                <c:pt idx="6">
                  <c:v>Ensemble</c:v>
                </c:pt>
              </c:strCache>
            </c:strRef>
          </c:cat>
          <c:val>
            <c:numRef>
              <c:f>'taux d''activité et sous-emploi'!$B$88:$B$94</c:f>
              <c:numCache>
                <c:formatCode>0.0</c:formatCode>
                <c:ptCount val="7"/>
                <c:pt idx="0">
                  <c:v>17.011142587893492</c:v>
                </c:pt>
                <c:pt idx="1">
                  <c:v>7.0382952932067004</c:v>
                </c:pt>
                <c:pt idx="2">
                  <c:v>11.718327840173268</c:v>
                </c:pt>
                <c:pt idx="3">
                  <c:v>19.763747601193824</c:v>
                </c:pt>
                <c:pt idx="4">
                  <c:v>38.206131869468912</c:v>
                </c:pt>
                <c:pt idx="5">
                  <c:v>19.764584417018831</c:v>
                </c:pt>
                <c:pt idx="6">
                  <c:v>13.456403452494722</c:v>
                </c:pt>
              </c:numCache>
            </c:numRef>
          </c:val>
          <c:extLst xmlns:c16r2="http://schemas.microsoft.com/office/drawing/2015/06/chart">
            <c:ext xmlns:c16="http://schemas.microsoft.com/office/drawing/2014/chart" uri="{C3380CC4-5D6E-409C-BE32-E72D297353CC}">
              <c16:uniqueId val="{00000000-901E-4638-9B80-F72E2981F709}"/>
            </c:ext>
          </c:extLst>
        </c:ser>
        <c:ser>
          <c:idx val="1"/>
          <c:order val="1"/>
          <c:tx>
            <c:strRef>
              <c:f>'taux d''activité et sous-emploi'!$C$87</c:f>
              <c:strCache>
                <c:ptCount val="1"/>
                <c:pt idx="0">
                  <c:v>2024</c:v>
                </c:pt>
              </c:strCache>
            </c:strRef>
          </c:tx>
          <c:spPr>
            <a:solidFill>
              <a:srgbClr val="FFC000"/>
            </a:solidFill>
            <a:ln>
              <a:noFill/>
            </a:ln>
            <a:effectLst/>
          </c:spPr>
          <c:dLbls>
            <c:dLbl>
              <c:idx val="0"/>
              <c:layout>
                <c:manualLayout>
                  <c:x val="1.6666666666666701E-2"/>
                  <c:y val="-8.4875562720134504E-17"/>
                </c:manualLayout>
              </c:layout>
              <c:tx>
                <c:rich>
                  <a:bodyPr/>
                  <a:lstStyle/>
                  <a:p>
                    <a:r>
                      <a:rPr lang="en-US" sz="700"/>
                      <a:t>17</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901E-4638-9B80-F72E2981F709}"/>
                </c:ext>
              </c:extLst>
            </c:dLbl>
            <c:dLbl>
              <c:idx val="2"/>
              <c:layout>
                <c:manualLayout>
                  <c:x val="8.3333333333332569E-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01E-4638-9B80-F72E2981F709}"/>
                </c:ext>
              </c:extLst>
            </c:dLbl>
            <c:dLbl>
              <c:idx val="3"/>
              <c:layout>
                <c:manualLayout>
                  <c:x val="1.1111111111111125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01E-4638-9B80-F72E2981F709}"/>
                </c:ext>
              </c:extLst>
            </c:dLbl>
            <c:dLbl>
              <c:idx val="4"/>
              <c:layout>
                <c:manualLayout>
                  <c:x val="1.1111111111111125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01E-4638-9B80-F72E2981F709}"/>
                </c:ext>
              </c:extLst>
            </c:dLbl>
            <c:dLbl>
              <c:idx val="5"/>
              <c:layout>
                <c:manualLayout>
                  <c:x val="2.5000000000000001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01E-4638-9B80-F72E2981F709}"/>
                </c:ext>
              </c:extLst>
            </c:dLbl>
            <c:dLbl>
              <c:idx val="6"/>
              <c:layout>
                <c:manualLayout>
                  <c:x val="1.6666666666666583E-2"/>
                  <c:y val="4.6296296296296441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01E-4638-9B80-F72E2981F709}"/>
                </c:ext>
              </c:extLst>
            </c:dLbl>
            <c:spPr>
              <a:noFill/>
              <a:ln>
                <a:noFill/>
              </a:ln>
              <a:effectLst/>
            </c:spPr>
            <c:txPr>
              <a:bodyPr rot="0" spcFirstLastPara="1" vertOverflow="ellipsis" vert="horz" wrap="square" anchor="ctr" anchorCtr="1"/>
              <a:lstStyle/>
              <a:p>
                <a:pPr>
                  <a:defRPr lang="en-US" sz="7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'taux d''activité et sous-emploi'!$A$88:$A$94</c:f>
              <c:strCache>
                <c:ptCount val="7"/>
                <c:pt idx="0">
                  <c:v>Urbain</c:v>
                </c:pt>
                <c:pt idx="1">
                  <c:v>Rural</c:v>
                </c:pt>
                <c:pt idx="2">
                  <c:v>Masculin</c:v>
                </c:pt>
                <c:pt idx="3">
                  <c:v>Féminin</c:v>
                </c:pt>
                <c:pt idx="4">
                  <c:v>15-24 ans</c:v>
                </c:pt>
                <c:pt idx="5">
                  <c:v>Diplômés</c:v>
                </c:pt>
                <c:pt idx="6">
                  <c:v>Ensemble</c:v>
                </c:pt>
              </c:strCache>
            </c:strRef>
          </c:cat>
          <c:val>
            <c:numRef>
              <c:f>'taux d''activité et sous-emploi'!$C$88:$C$94</c:f>
              <c:numCache>
                <c:formatCode>0.0</c:formatCode>
                <c:ptCount val="7"/>
                <c:pt idx="0">
                  <c:v>16.954647127278601</c:v>
                </c:pt>
                <c:pt idx="1">
                  <c:v>7.4213787662623973</c:v>
                </c:pt>
                <c:pt idx="2">
                  <c:v>11.583081798315304</c:v>
                </c:pt>
                <c:pt idx="3">
                  <c:v>20.777040364415754</c:v>
                </c:pt>
                <c:pt idx="4">
                  <c:v>39.535105355428357</c:v>
                </c:pt>
                <c:pt idx="5">
                  <c:v>19.7552186619941</c:v>
                </c:pt>
                <c:pt idx="6">
                  <c:v>13.631903276237718</c:v>
                </c:pt>
              </c:numCache>
            </c:numRef>
          </c:val>
          <c:extLst xmlns:c16r2="http://schemas.microsoft.com/office/drawing/2015/06/chart">
            <c:ext xmlns:c16="http://schemas.microsoft.com/office/drawing/2014/chart" uri="{C3380CC4-5D6E-409C-BE32-E72D297353CC}">
              <c16:uniqueId val="{00000007-901E-4638-9B80-F72E2981F709}"/>
            </c:ext>
          </c:extLst>
        </c:ser>
        <c:gapWidth val="219"/>
        <c:overlap val="-27"/>
        <c:axId val="101456512"/>
        <c:axId val="101462400"/>
      </c:barChart>
      <c:catAx>
        <c:axId val="1014565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crossAx val="101462400"/>
        <c:crosses val="autoZero"/>
        <c:auto val="1"/>
        <c:lblAlgn val="ctr"/>
        <c:lblOffset val="100"/>
      </c:catAx>
      <c:valAx>
        <c:axId val="101462400"/>
        <c:scaling>
          <c:orientation val="minMax"/>
        </c:scaling>
        <c:delete val="1"/>
        <c:axPos val="l"/>
        <c:numFmt formatCode="0.0" sourceLinked="1"/>
        <c:majorTickMark val="none"/>
        <c:tickLblPos val="none"/>
        <c:crossAx val="1014565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en-US" sz="7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clustered"/>
        <c:ser>
          <c:idx val="0"/>
          <c:order val="0"/>
          <c:tx>
            <c:strRef>
              <c:f>Feuil1!$B$6</c:f>
              <c:strCache>
                <c:ptCount val="1"/>
                <c:pt idx="0">
                  <c:v>2024</c:v>
                </c:pt>
              </c:strCache>
            </c:strRef>
          </c:tx>
          <c:spPr>
            <a:solidFill>
              <a:srgbClr val="FFC000"/>
            </a:solidFill>
          </c:spPr>
          <c:dLbls>
            <c:spPr>
              <a:noFill/>
              <a:ln>
                <a:noFill/>
              </a:ln>
              <a:effectLst/>
            </c:spPr>
            <c:txPr>
              <a:bodyPr/>
              <a:lstStyle/>
              <a:p>
                <a:pPr>
                  <a:defRPr sz="700" b="1">
                    <a:solidFill>
                      <a:schemeClr val="tx1">
                        <a:lumMod val="75000"/>
                        <a:lumOff val="25000"/>
                      </a:schemeClr>
                    </a:solidFill>
                  </a:defRPr>
                </a:pPr>
                <a:endParaRPr lang="fr-FR"/>
              </a:p>
            </c:txPr>
            <c:showVal val="1"/>
            <c:extLst xmlns:c16r2="http://schemas.microsoft.com/office/drawing/2015/06/chart">
              <c:ext xmlns:c15="http://schemas.microsoft.com/office/drawing/2012/chart" uri="{CE6537A1-D6FC-4f65-9D91-7224C49458BB}">
                <c15:showLeaderLines val="0"/>
              </c:ext>
            </c:extLst>
          </c:dLbls>
          <c:cat>
            <c:strRef>
              <c:f>Feuil1!$A$7:$A$13</c:f>
              <c:strCache>
                <c:ptCount val="7"/>
                <c:pt idx="0">
                  <c:v>Certificats de l'enseignement primaire et secondaire collégial</c:v>
                </c:pt>
                <c:pt idx="1">
                  <c:v>Diplômes de l'enseignement secondaire qualifiant</c:v>
                </c:pt>
                <c:pt idx="2">
                  <c:v>Diplômes de l'enseignement supérieur</c:v>
                </c:pt>
                <c:pt idx="3">
                  <c:v>Diplômes de techniciens et de cadres moyens</c:v>
                </c:pt>
                <c:pt idx="4">
                  <c:v>Diplômes en qualification et en spécialisation professionnelle</c:v>
                </c:pt>
                <c:pt idx="5">
                  <c:v>Aucun diplôme</c:v>
                </c:pt>
                <c:pt idx="6">
                  <c:v>Total</c:v>
                </c:pt>
              </c:strCache>
            </c:strRef>
          </c:cat>
          <c:val>
            <c:numRef>
              <c:f>Feuil1!$B$7:$B$13</c:f>
              <c:numCache>
                <c:formatCode>0.0</c:formatCode>
                <c:ptCount val="7"/>
                <c:pt idx="0">
                  <c:v>14.154655817070239</c:v>
                </c:pt>
                <c:pt idx="1">
                  <c:v>23.939326572023653</c:v>
                </c:pt>
                <c:pt idx="2">
                  <c:v>24.90850446609053</c:v>
                </c:pt>
                <c:pt idx="3">
                  <c:v>29.922664083363504</c:v>
                </c:pt>
                <c:pt idx="4">
                  <c:v>23.894433292418256</c:v>
                </c:pt>
                <c:pt idx="5">
                  <c:v>5.4584990216462383</c:v>
                </c:pt>
                <c:pt idx="6">
                  <c:v>13.631903276237718</c:v>
                </c:pt>
              </c:numCache>
            </c:numRef>
          </c:val>
          <c:extLst xmlns:c16r2="http://schemas.microsoft.com/office/drawing/2015/06/chart">
            <c:ext xmlns:c16="http://schemas.microsoft.com/office/drawing/2014/chart" uri="{C3380CC4-5D6E-409C-BE32-E72D297353CC}">
              <c16:uniqueId val="{00000000-1A84-4967-AE43-4B54FA1665C0}"/>
            </c:ext>
          </c:extLst>
        </c:ser>
        <c:ser>
          <c:idx val="1"/>
          <c:order val="1"/>
          <c:tx>
            <c:strRef>
              <c:f>Feuil1!$C$6</c:f>
              <c:strCache>
                <c:ptCount val="1"/>
                <c:pt idx="0">
                  <c:v>2023</c:v>
                </c:pt>
              </c:strCache>
            </c:strRef>
          </c:tx>
          <c:spPr>
            <a:solidFill>
              <a:schemeClr val="bg1">
                <a:lumMod val="50000"/>
              </a:schemeClr>
            </a:solidFill>
          </c:spPr>
          <c:dLbls>
            <c:spPr>
              <a:noFill/>
              <a:ln>
                <a:noFill/>
              </a:ln>
              <a:effectLst/>
            </c:spPr>
            <c:txPr>
              <a:bodyPr/>
              <a:lstStyle/>
              <a:p>
                <a:pPr>
                  <a:defRPr sz="700" b="1">
                    <a:solidFill>
                      <a:schemeClr val="tx1">
                        <a:lumMod val="65000"/>
                        <a:lumOff val="35000"/>
                      </a:schemeClr>
                    </a:solidFill>
                  </a:defRPr>
                </a:pPr>
                <a:endParaRPr lang="fr-FR"/>
              </a:p>
            </c:txPr>
            <c:showVal val="1"/>
            <c:extLst xmlns:c16r2="http://schemas.microsoft.com/office/drawing/2015/06/chart">
              <c:ext xmlns:c15="http://schemas.microsoft.com/office/drawing/2012/chart" uri="{CE6537A1-D6FC-4f65-9D91-7224C49458BB}">
                <c15:showLeaderLines val="0"/>
              </c:ext>
            </c:extLst>
          </c:dLbls>
          <c:cat>
            <c:strRef>
              <c:f>Feuil1!$A$7:$A$13</c:f>
              <c:strCache>
                <c:ptCount val="7"/>
                <c:pt idx="0">
                  <c:v>Certificats de l'enseignement primaire et secondaire collégial</c:v>
                </c:pt>
                <c:pt idx="1">
                  <c:v>Diplômes de l'enseignement secondaire qualifiant</c:v>
                </c:pt>
                <c:pt idx="2">
                  <c:v>Diplômes de l'enseignement supérieur</c:v>
                </c:pt>
                <c:pt idx="3">
                  <c:v>Diplômes de techniciens et de cadres moyens</c:v>
                </c:pt>
                <c:pt idx="4">
                  <c:v>Diplômes en qualification et en spécialisation professionnelle</c:v>
                </c:pt>
                <c:pt idx="5">
                  <c:v>Aucun diplôme</c:v>
                </c:pt>
                <c:pt idx="6">
                  <c:v>Total</c:v>
                </c:pt>
              </c:strCache>
            </c:strRef>
          </c:cat>
          <c:val>
            <c:numRef>
              <c:f>Feuil1!$C$7:$C$13</c:f>
              <c:numCache>
                <c:formatCode>0.0</c:formatCode>
                <c:ptCount val="7"/>
                <c:pt idx="0">
                  <c:v>14.407330673752494</c:v>
                </c:pt>
                <c:pt idx="1">
                  <c:v>23.376345868706846</c:v>
                </c:pt>
                <c:pt idx="2">
                  <c:v>26.466253730896739</c:v>
                </c:pt>
                <c:pt idx="3">
                  <c:v>27.561513655990467</c:v>
                </c:pt>
                <c:pt idx="4">
                  <c:v>24.078313125388981</c:v>
                </c:pt>
                <c:pt idx="5">
                  <c:v>5.4643261910209633</c:v>
                </c:pt>
                <c:pt idx="6">
                  <c:v>13.456403452494705</c:v>
                </c:pt>
              </c:numCache>
            </c:numRef>
          </c:val>
          <c:extLst xmlns:c16r2="http://schemas.microsoft.com/office/drawing/2015/06/chart">
            <c:ext xmlns:c16="http://schemas.microsoft.com/office/drawing/2014/chart" uri="{C3380CC4-5D6E-409C-BE32-E72D297353CC}">
              <c16:uniqueId val="{00000001-1A84-4967-AE43-4B54FA1665C0}"/>
            </c:ext>
          </c:extLst>
        </c:ser>
        <c:overlap val="-20"/>
        <c:axId val="101496704"/>
        <c:axId val="101498240"/>
      </c:barChart>
      <c:catAx>
        <c:axId val="101496704"/>
        <c:scaling>
          <c:orientation val="minMax"/>
        </c:scaling>
        <c:axPos val="l"/>
        <c:numFmt formatCode="General" sourceLinked="0"/>
        <c:tickLblPos val="nextTo"/>
        <c:txPr>
          <a:bodyPr/>
          <a:lstStyle/>
          <a:p>
            <a:pPr>
              <a:defRPr sz="800" b="0">
                <a:solidFill>
                  <a:schemeClr val="tx1">
                    <a:lumMod val="75000"/>
                    <a:lumOff val="25000"/>
                  </a:schemeClr>
                </a:solidFill>
              </a:defRPr>
            </a:pPr>
            <a:endParaRPr lang="fr-FR"/>
          </a:p>
        </c:txPr>
        <c:crossAx val="101498240"/>
        <c:crosses val="autoZero"/>
        <c:auto val="1"/>
        <c:lblAlgn val="ctr"/>
        <c:lblOffset val="100"/>
      </c:catAx>
      <c:valAx>
        <c:axId val="101498240"/>
        <c:scaling>
          <c:orientation val="minMax"/>
        </c:scaling>
        <c:delete val="1"/>
        <c:axPos val="b"/>
        <c:numFmt formatCode="0.0" sourceLinked="1"/>
        <c:tickLblPos val="none"/>
        <c:crossAx val="101496704"/>
        <c:crosses val="autoZero"/>
        <c:crossBetween val="between"/>
      </c:valAx>
    </c:plotArea>
    <c:legend>
      <c:legendPos val="b"/>
      <c:txPr>
        <a:bodyPr/>
        <a:lstStyle/>
        <a:p>
          <a:pPr>
            <a:defRPr sz="800" b="0">
              <a:solidFill>
                <a:schemeClr val="tx1">
                  <a:lumMod val="75000"/>
                  <a:lumOff val="25000"/>
                </a:schemeClr>
              </a:solidFill>
            </a:defRPr>
          </a:pPr>
          <a:endParaRPr lang="fr-FR"/>
        </a:p>
      </c:txPr>
    </c:legend>
    <c:plotVisOnly val="1"/>
    <c:dispBlanksAs val="gap"/>
  </c:chart>
  <c:spPr>
    <a:ln>
      <a:noFill/>
    </a:ln>
  </c:spPr>
  <c:txPr>
    <a:bodyPr/>
    <a:lstStyle/>
    <a:p>
      <a:pPr>
        <a:defRPr>
          <a:solidFill>
            <a:schemeClr val="bg1">
              <a:lumMod val="50000"/>
            </a:schemeClr>
          </a:solidFill>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fr-FR"/>
  <c:chart>
    <c:autoTitleDeleted val="1"/>
    <c:plotArea>
      <c:layout/>
      <c:barChart>
        <c:barDir val="col"/>
        <c:grouping val="clustered"/>
        <c:ser>
          <c:idx val="0"/>
          <c:order val="0"/>
          <c:tx>
            <c:strRef>
              <c:f>'taux d''activité et sous-emploi'!$C$102</c:f>
              <c:strCache>
                <c:ptCount val="1"/>
                <c:pt idx="0">
                  <c:v>2023</c:v>
                </c:pt>
              </c:strCache>
            </c:strRef>
          </c:tx>
          <c:spPr>
            <a:solidFill>
              <a:schemeClr val="bg1">
                <a:lumMod val="5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en-US" sz="7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'taux d''activité et sous-emploi'!$B$103:$B$107</c:f>
              <c:strCache>
                <c:ptCount val="5"/>
                <c:pt idx="0">
                  <c:v>Agriculture, forêt et pêche</c:v>
                </c:pt>
                <c:pt idx="1">
                  <c:v>Industrie (y compris artisanat)</c:v>
                </c:pt>
                <c:pt idx="2">
                  <c:v>BTP</c:v>
                </c:pt>
                <c:pt idx="3">
                  <c:v>Services</c:v>
                </c:pt>
                <c:pt idx="4">
                  <c:v>Ensemble</c:v>
                </c:pt>
              </c:strCache>
            </c:strRef>
          </c:cat>
          <c:val>
            <c:numRef>
              <c:f>'taux d''activité et sous-emploi'!$C$103:$C$107</c:f>
              <c:numCache>
                <c:formatCode>0.0</c:formatCode>
                <c:ptCount val="5"/>
                <c:pt idx="0">
                  <c:v>11.199502102710309</c:v>
                </c:pt>
                <c:pt idx="1">
                  <c:v>7.7112394231386459</c:v>
                </c:pt>
                <c:pt idx="2">
                  <c:v>18.939767072409129</c:v>
                </c:pt>
                <c:pt idx="3">
                  <c:v>7.0944854793319632</c:v>
                </c:pt>
                <c:pt idx="4">
                  <c:v>9.6197610359359427</c:v>
                </c:pt>
              </c:numCache>
            </c:numRef>
          </c:val>
          <c:extLst xmlns:c16r2="http://schemas.microsoft.com/office/drawing/2015/06/chart">
            <c:ext xmlns:c16="http://schemas.microsoft.com/office/drawing/2014/chart" uri="{C3380CC4-5D6E-409C-BE32-E72D297353CC}">
              <c16:uniqueId val="{00000000-5E1C-43AE-A6AA-10E65D7A374A}"/>
            </c:ext>
          </c:extLst>
        </c:ser>
        <c:ser>
          <c:idx val="1"/>
          <c:order val="1"/>
          <c:tx>
            <c:strRef>
              <c:f>'taux d''activité et sous-emploi'!$D$102</c:f>
              <c:strCache>
                <c:ptCount val="1"/>
                <c:pt idx="0">
                  <c:v>2024</c:v>
                </c:pt>
              </c:strCache>
            </c:strRef>
          </c:tx>
          <c:spPr>
            <a:solidFill>
              <a:srgbClr val="FFC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en-US" sz="7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'taux d''activité et sous-emploi'!$B$103:$B$107</c:f>
              <c:strCache>
                <c:ptCount val="5"/>
                <c:pt idx="0">
                  <c:v>Agriculture, forêt et pêche</c:v>
                </c:pt>
                <c:pt idx="1">
                  <c:v>Industrie (y compris artisanat)</c:v>
                </c:pt>
                <c:pt idx="2">
                  <c:v>BTP</c:v>
                </c:pt>
                <c:pt idx="3">
                  <c:v>Services</c:v>
                </c:pt>
                <c:pt idx="4">
                  <c:v>Ensemble</c:v>
                </c:pt>
              </c:strCache>
            </c:strRef>
          </c:cat>
          <c:val>
            <c:numRef>
              <c:f>'taux d''activité et sous-emploi'!$D$103:$D$107</c:f>
              <c:numCache>
                <c:formatCode>0.0</c:formatCode>
                <c:ptCount val="5"/>
                <c:pt idx="0">
                  <c:v>11.875382180368238</c:v>
                </c:pt>
                <c:pt idx="1">
                  <c:v>6.7868169517209669</c:v>
                </c:pt>
                <c:pt idx="2">
                  <c:v>19.885005387029672</c:v>
                </c:pt>
                <c:pt idx="3">
                  <c:v>7.5842117171302679</c:v>
                </c:pt>
                <c:pt idx="4">
                  <c:v>9.9939542728700363</c:v>
                </c:pt>
              </c:numCache>
            </c:numRef>
          </c:val>
          <c:extLst xmlns:c16r2="http://schemas.microsoft.com/office/drawing/2015/06/chart">
            <c:ext xmlns:c16="http://schemas.microsoft.com/office/drawing/2014/chart" uri="{C3380CC4-5D6E-409C-BE32-E72D297353CC}">
              <c16:uniqueId val="{00000001-5E1C-43AE-A6AA-10E65D7A374A}"/>
            </c:ext>
          </c:extLst>
        </c:ser>
        <c:gapWidth val="219"/>
        <c:overlap val="-27"/>
        <c:axId val="101361152"/>
        <c:axId val="101362688"/>
      </c:barChart>
      <c:catAx>
        <c:axId val="1013611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crossAx val="101362688"/>
        <c:crosses val="autoZero"/>
        <c:auto val="1"/>
        <c:lblAlgn val="ctr"/>
        <c:lblOffset val="100"/>
      </c:catAx>
      <c:valAx>
        <c:axId val="101362688"/>
        <c:scaling>
          <c:orientation val="minMax"/>
        </c:scaling>
        <c:delete val="1"/>
        <c:axPos val="l"/>
        <c:numFmt formatCode="0.0" sourceLinked="1"/>
        <c:majorTickMark val="none"/>
        <c:tickLblPos val="none"/>
        <c:crossAx val="10136115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fr-F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bar"/>
        <c:grouping val="clustered"/>
        <c:ser>
          <c:idx val="0"/>
          <c:order val="0"/>
          <c:spPr>
            <a:solidFill>
              <a:schemeClr val="bg1">
                <a:lumMod val="50000"/>
              </a:schemeClr>
            </a:solidFill>
            <a:ln>
              <a:noFill/>
            </a:ln>
            <a:effectLst/>
          </c:spPr>
          <c:dPt>
            <c:idx val="10"/>
            <c:spPr>
              <a:solidFill>
                <a:schemeClr val="accent2"/>
              </a:solidFill>
              <a:ln>
                <a:noFill/>
              </a:ln>
              <a:effectLst/>
            </c:spPr>
            <c:extLst xmlns:c16r2="http://schemas.microsoft.com/office/drawing/2015/06/chart">
              <c:ext xmlns:c16="http://schemas.microsoft.com/office/drawing/2014/chart" uri="{C3380CC4-5D6E-409C-BE32-E72D297353CC}">
                <c16:uniqueId val="{00000001-8A12-4971-BEB0-7E62EC830ECD}"/>
              </c:ext>
            </c:extLst>
          </c:dPt>
          <c:dLbls>
            <c:spPr>
              <a:noFill/>
              <a:ln>
                <a:noFill/>
              </a:ln>
              <a:effectLst/>
            </c:spPr>
            <c:txPr>
              <a:bodyPr rot="0" spcFirstLastPara="1" vertOverflow="ellipsis" vert="horz" wrap="square" lIns="38100" tIns="19050" rIns="38100" bIns="19050" anchor="ctr" anchorCtr="1">
                <a:spAutoFit/>
              </a:bodyPr>
              <a:lstStyle/>
              <a:p>
                <a:pPr>
                  <a:defRPr lang="en-US" sz="7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'taux d''activité et sous-emploi'!$B$116:$B$126</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'taux d''activité et sous-emploi'!$C$116:$C$126</c:f>
              <c:numCache>
                <c:formatCode>0.0</c:formatCode>
                <c:ptCount val="11"/>
                <c:pt idx="0">
                  <c:v>47.577657352453542</c:v>
                </c:pt>
                <c:pt idx="1">
                  <c:v>40.152717974279113</c:v>
                </c:pt>
                <c:pt idx="2">
                  <c:v>42.961401947737244</c:v>
                </c:pt>
                <c:pt idx="3">
                  <c:v>43.57151347191374</c:v>
                </c:pt>
                <c:pt idx="4">
                  <c:v>39.640357927031133</c:v>
                </c:pt>
                <c:pt idx="5">
                  <c:v>45.67509339802838</c:v>
                </c:pt>
                <c:pt idx="6">
                  <c:v>43.743477685395796</c:v>
                </c:pt>
                <c:pt idx="7">
                  <c:v>38.720144863361071</c:v>
                </c:pt>
                <c:pt idx="8">
                  <c:v>41.691316382249262</c:v>
                </c:pt>
                <c:pt idx="9">
                  <c:v>45.434213029661521</c:v>
                </c:pt>
                <c:pt idx="10">
                  <c:v>43.559876090480564</c:v>
                </c:pt>
              </c:numCache>
            </c:numRef>
          </c:val>
          <c:extLst xmlns:c16r2="http://schemas.microsoft.com/office/drawing/2015/06/chart">
            <c:ext xmlns:c16="http://schemas.microsoft.com/office/drawing/2014/chart" uri="{C3380CC4-5D6E-409C-BE32-E72D297353CC}">
              <c16:uniqueId val="{00000002-8A12-4971-BEB0-7E62EC830ECD}"/>
            </c:ext>
          </c:extLst>
        </c:ser>
        <c:gapWidth val="182"/>
        <c:axId val="102760832"/>
        <c:axId val="102762368"/>
      </c:barChart>
      <c:catAx>
        <c:axId val="102760832"/>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crossAx val="102762368"/>
        <c:crosses val="autoZero"/>
        <c:auto val="1"/>
        <c:lblAlgn val="ctr"/>
        <c:lblOffset val="100"/>
      </c:catAx>
      <c:valAx>
        <c:axId val="102762368"/>
        <c:scaling>
          <c:orientation val="minMax"/>
        </c:scaling>
        <c:delete val="1"/>
        <c:axPos val="b"/>
        <c:numFmt formatCode="0.0" sourceLinked="1"/>
        <c:majorTickMark val="none"/>
        <c:tickLblPos val="none"/>
        <c:crossAx val="10276083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fr-F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fr-FR"/>
  <c:chart>
    <c:autoTitleDeleted val="1"/>
    <c:plotArea>
      <c:layout/>
      <c:barChart>
        <c:barDir val="bar"/>
        <c:grouping val="clustered"/>
        <c:ser>
          <c:idx val="0"/>
          <c:order val="0"/>
          <c:spPr>
            <a:solidFill>
              <a:schemeClr val="bg1">
                <a:lumMod val="50000"/>
              </a:schemeClr>
            </a:solidFill>
            <a:ln>
              <a:noFill/>
            </a:ln>
            <a:effectLst/>
          </c:spPr>
          <c:dPt>
            <c:idx val="10"/>
            <c:spPr>
              <a:solidFill>
                <a:srgbClr val="C00000"/>
              </a:solidFill>
              <a:ln>
                <a:noFill/>
              </a:ln>
              <a:effectLst/>
            </c:spPr>
            <c:extLst xmlns:c16r2="http://schemas.microsoft.com/office/drawing/2015/06/chart">
              <c:ext xmlns:c16="http://schemas.microsoft.com/office/drawing/2014/chart" uri="{C3380CC4-5D6E-409C-BE32-E72D297353CC}">
                <c16:uniqueId val="{00000001-70FB-48EC-9A12-7FB86658E697}"/>
              </c:ext>
            </c:extLst>
          </c:dPt>
          <c:dLbls>
            <c:spPr>
              <a:noFill/>
              <a:ln>
                <a:noFill/>
              </a:ln>
              <a:effectLst/>
            </c:spPr>
            <c:txPr>
              <a:bodyPr rot="0" spcFirstLastPara="1" vertOverflow="ellipsis" vert="horz" wrap="square" lIns="38100" tIns="19050" rIns="38100" bIns="19050" anchor="ctr" anchorCtr="1">
                <a:spAutoFit/>
              </a:bodyPr>
              <a:lstStyle/>
              <a:p>
                <a:pPr>
                  <a:defRPr lang="en-US" sz="7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'taux d''activité et sous-emploi'!$B$137:$B$147</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'taux d''activité et sous-emploi'!$C$137:$C$147</c:f>
              <c:numCache>
                <c:formatCode>0.0</c:formatCode>
                <c:ptCount val="11"/>
                <c:pt idx="0">
                  <c:v>9.8862860638428067</c:v>
                </c:pt>
                <c:pt idx="1">
                  <c:v>21.449504181242986</c:v>
                </c:pt>
                <c:pt idx="2">
                  <c:v>15.177353605244997</c:v>
                </c:pt>
                <c:pt idx="3">
                  <c:v>11.891000492440869</c:v>
                </c:pt>
                <c:pt idx="4">
                  <c:v>11.676902171888672</c:v>
                </c:pt>
                <c:pt idx="5">
                  <c:v>15.258481177397496</c:v>
                </c:pt>
                <c:pt idx="6">
                  <c:v>9.919757978791182</c:v>
                </c:pt>
                <c:pt idx="7">
                  <c:v>14.204682666485869</c:v>
                </c:pt>
                <c:pt idx="8">
                  <c:v>12.144493384037968</c:v>
                </c:pt>
                <c:pt idx="9">
                  <c:v>24.315797315863826</c:v>
                </c:pt>
                <c:pt idx="10">
                  <c:v>13.631903276237718</c:v>
                </c:pt>
              </c:numCache>
            </c:numRef>
          </c:val>
          <c:extLst xmlns:c16r2="http://schemas.microsoft.com/office/drawing/2015/06/chart">
            <c:ext xmlns:c16="http://schemas.microsoft.com/office/drawing/2014/chart" uri="{C3380CC4-5D6E-409C-BE32-E72D297353CC}">
              <c16:uniqueId val="{00000002-70FB-48EC-9A12-7FB86658E697}"/>
            </c:ext>
          </c:extLst>
        </c:ser>
        <c:gapWidth val="182"/>
        <c:axId val="102787712"/>
        <c:axId val="102797696"/>
      </c:barChart>
      <c:catAx>
        <c:axId val="102787712"/>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crossAx val="102797696"/>
        <c:crosses val="autoZero"/>
        <c:auto val="1"/>
        <c:lblAlgn val="ctr"/>
        <c:lblOffset val="100"/>
      </c:catAx>
      <c:valAx>
        <c:axId val="102797696"/>
        <c:scaling>
          <c:orientation val="minMax"/>
        </c:scaling>
        <c:delete val="1"/>
        <c:axPos val="b"/>
        <c:numFmt formatCode="0.0" sourceLinked="1"/>
        <c:majorTickMark val="none"/>
        <c:tickLblPos val="none"/>
        <c:crossAx val="10278771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4A804-0206-4735-8502-FA2467BBA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1974</Words>
  <Characters>10860</Characters>
  <Application>Microsoft Office Word</Application>
  <DocSecurity>0</DocSecurity>
  <Lines>90</Lines>
  <Paragraphs>25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12809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 AAI</dc:creator>
  <cp:lastModifiedBy>HCP</cp:lastModifiedBy>
  <cp:revision>5</cp:revision>
  <cp:lastPrinted>2024-10-28T09:50:00Z</cp:lastPrinted>
  <dcterms:created xsi:type="dcterms:W3CDTF">2024-10-30T15:14:00Z</dcterms:created>
  <dcterms:modified xsi:type="dcterms:W3CDTF">2024-11-03T20:03:00Z</dcterms:modified>
</cp:coreProperties>
</file>