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Fonts w:hint="cs"/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D3424B" w:rsidRDefault="00D3424B" w:rsidP="00D3424B">
      <w:pPr>
        <w:bidi/>
      </w:pPr>
    </w:p>
    <w:p w:rsidR="00D3424B" w:rsidRDefault="00AC2F9A" w:rsidP="00AC2F9A">
      <w:pPr>
        <w:bidi/>
        <w:jc w:val="center"/>
      </w:pPr>
      <w:r>
        <w:t xml:space="preserve">     </w:t>
      </w:r>
    </w:p>
    <w:p w:rsidR="00D3424B" w:rsidRDefault="00D3424B" w:rsidP="00D3424B">
      <w:pPr>
        <w:bidi/>
      </w:pPr>
    </w:p>
    <w:p w:rsidR="009578B8" w:rsidRDefault="009578B8" w:rsidP="009578B8">
      <w:pPr>
        <w:bidi/>
      </w:pPr>
    </w:p>
    <w:p w:rsidR="00176998" w:rsidRPr="002D6AEA" w:rsidRDefault="00176998" w:rsidP="006B6A0F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2D6AEA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2D6AEA" w:rsidRDefault="00176998" w:rsidP="006B6A0F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2D6AEA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584D81" w:rsidRPr="002D6AEA" w:rsidRDefault="00584D81" w:rsidP="006B6A0F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2D6AEA">
        <w:rPr>
          <w:rFonts w:cs="Arial"/>
          <w:b/>
          <w:bCs/>
          <w:color w:val="632423"/>
          <w:sz w:val="32"/>
          <w:szCs w:val="32"/>
          <w:rtl/>
          <w:lang w:bidi="ar-MA"/>
        </w:rPr>
        <w:t>ال</w:t>
      </w:r>
      <w:r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أ</w:t>
      </w:r>
      <w:r w:rsidRPr="002D6AEA">
        <w:rPr>
          <w:rFonts w:cs="Arial"/>
          <w:b/>
          <w:bCs/>
          <w:color w:val="632423"/>
          <w:sz w:val="32"/>
          <w:szCs w:val="32"/>
          <w:rtl/>
          <w:lang w:bidi="ar-MA"/>
        </w:rPr>
        <w:t>رق</w:t>
      </w:r>
      <w:r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</w:t>
      </w:r>
      <w:r w:rsidRPr="002D6AEA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م </w:t>
      </w:r>
      <w:r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الاستدلالية</w:t>
      </w:r>
      <w:r w:rsidR="001E0B45" w:rsidRPr="002D6AEA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للتجارة الخارجية</w:t>
      </w:r>
    </w:p>
    <w:p w:rsidR="00584D81" w:rsidRPr="007D1F2D" w:rsidRDefault="007050D2" w:rsidP="006B6A0F">
      <w:pPr>
        <w:pStyle w:val="Corpsdetexte"/>
        <w:bidi/>
        <w:spacing w:line="264" w:lineRule="auto"/>
        <w:jc w:val="center"/>
        <w:rPr>
          <w:rFonts w:cs="Arial"/>
          <w:b/>
          <w:bCs/>
          <w:color w:val="632423"/>
          <w:sz w:val="36"/>
          <w:szCs w:val="36"/>
          <w:rtl/>
          <w:lang w:val="fr-FR" w:bidi="ar-MA"/>
        </w:rPr>
      </w:pPr>
      <w:r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</w:t>
      </w:r>
      <w:r w:rsidR="00584D81"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لفصل </w:t>
      </w:r>
      <w:r w:rsidR="00DA4C75" w:rsidRPr="002D6AEA">
        <w:rPr>
          <w:rFonts w:cs="Arial"/>
          <w:b/>
          <w:bCs/>
          <w:color w:val="632423"/>
          <w:sz w:val="32"/>
          <w:szCs w:val="32"/>
          <w:rtl/>
          <w:lang w:bidi="ar-MA"/>
        </w:rPr>
        <w:t>الثالث</w:t>
      </w:r>
      <w:r w:rsidR="00584D81" w:rsidRPr="002D6AE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584D81" w:rsidRPr="002D6AEA">
        <w:rPr>
          <w:rFonts w:cs="Arial"/>
          <w:b/>
          <w:bCs/>
          <w:color w:val="632423"/>
          <w:sz w:val="32"/>
          <w:szCs w:val="32"/>
          <w:lang w:bidi="ar-MA"/>
        </w:rPr>
        <w:t>202</w:t>
      </w:r>
      <w:r w:rsidR="00DA4C75" w:rsidRPr="002D6AEA">
        <w:rPr>
          <w:rFonts w:cs="Arial"/>
          <w:b/>
          <w:bCs/>
          <w:color w:val="632423"/>
          <w:sz w:val="32"/>
          <w:szCs w:val="32"/>
          <w:lang w:val="fr-FR" w:bidi="ar-MA"/>
        </w:rPr>
        <w:t>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4C2091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                   </w:t>
      </w:r>
    </w:p>
    <w:p w:rsidR="002340BA" w:rsidRPr="002D6AEA" w:rsidRDefault="00C21F43" w:rsidP="00C21F43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0"/>
          <w:szCs w:val="30"/>
          <w:lang w:bidi="ar-MA"/>
        </w:rPr>
      </w:pPr>
      <w:r w:rsidRPr="002D6AEA">
        <w:rPr>
          <w:rFonts w:ascii="Arial" w:hAnsi="Arial" w:cs="Arial" w:hint="cs"/>
          <w:b/>
          <w:bCs/>
          <w:color w:val="E36C0A"/>
          <w:sz w:val="30"/>
          <w:szCs w:val="30"/>
          <w:rtl/>
          <w:lang w:bidi="ar-MA"/>
        </w:rPr>
        <w:t xml:space="preserve">انخفاض </w:t>
      </w:r>
      <w:r w:rsidR="000B546E" w:rsidRPr="002D6AEA">
        <w:rPr>
          <w:rFonts w:ascii="Arial" w:hAnsi="Arial" w:cs="Arial"/>
          <w:b/>
          <w:bCs/>
          <w:color w:val="E36C0A"/>
          <w:sz w:val="30"/>
          <w:szCs w:val="30"/>
          <w:rtl/>
          <w:lang w:bidi="ar-MA"/>
        </w:rPr>
        <w:t>الأرقام الاستدلالية للقيم المتوسطة للواردات بنسبة %</w:t>
      </w:r>
      <w:r w:rsidR="00D61B28" w:rsidRPr="002D6AEA">
        <w:rPr>
          <w:rFonts w:ascii="Arial" w:hAnsi="Arial" w:cs="Arial"/>
          <w:b/>
          <w:bCs/>
          <w:color w:val="E36C0A"/>
          <w:sz w:val="30"/>
          <w:szCs w:val="30"/>
          <w:rtl/>
          <w:lang w:bidi="ar-MA"/>
        </w:rPr>
        <w:t>1,6</w:t>
      </w:r>
      <w:r w:rsidR="00A25FA2" w:rsidRPr="002D6AEA">
        <w:rPr>
          <w:rFonts w:ascii="Arial" w:hAnsi="Arial" w:cs="Arial"/>
          <w:b/>
          <w:bCs/>
          <w:color w:val="E36C0A"/>
          <w:sz w:val="30"/>
          <w:szCs w:val="30"/>
          <w:lang w:bidi="ar-MA"/>
        </w:rPr>
        <w:t xml:space="preserve"> </w:t>
      </w:r>
      <w:r w:rsidRPr="002D6AEA">
        <w:rPr>
          <w:rFonts w:ascii="Arial" w:hAnsi="Arial" w:cs="Arial" w:hint="cs"/>
          <w:b/>
          <w:bCs/>
          <w:color w:val="E36C0A"/>
          <w:sz w:val="30"/>
          <w:szCs w:val="30"/>
          <w:rtl/>
          <w:lang w:bidi="ar-MA"/>
        </w:rPr>
        <w:t>وارتفاع الأرقام الاستدلالية ل</w:t>
      </w:r>
      <w:r w:rsidR="000B546E" w:rsidRPr="002D6AEA">
        <w:rPr>
          <w:rFonts w:ascii="Arial" w:hAnsi="Arial" w:cs="Arial"/>
          <w:b/>
          <w:bCs/>
          <w:color w:val="E36C0A"/>
          <w:sz w:val="30"/>
          <w:szCs w:val="30"/>
          <w:rtl/>
          <w:lang w:bidi="ar-MA"/>
        </w:rPr>
        <w:t xml:space="preserve">لصادرات </w:t>
      </w:r>
      <w:r w:rsidR="000B546E" w:rsidRPr="002D6AEA">
        <w:rPr>
          <w:rFonts w:ascii="Arial" w:hAnsi="Arial" w:cs="Arial" w:hint="cs"/>
          <w:b/>
          <w:bCs/>
          <w:color w:val="E36C0A"/>
          <w:sz w:val="30"/>
          <w:szCs w:val="30"/>
          <w:rtl/>
          <w:lang w:bidi="ar-MA"/>
        </w:rPr>
        <w:t>ب</w:t>
      </w:r>
      <w:r w:rsidR="00D61B28" w:rsidRPr="002D6AEA">
        <w:rPr>
          <w:rFonts w:ascii="Arial" w:hAnsi="Arial" w:cs="Arial"/>
          <w:b/>
          <w:bCs/>
          <w:color w:val="E36C0A"/>
          <w:sz w:val="30"/>
          <w:szCs w:val="30"/>
          <w:lang w:bidi="ar-MA"/>
        </w:rPr>
        <w:t xml:space="preserve"> .0,5</w:t>
      </w:r>
      <w:r w:rsidR="000B546E" w:rsidRPr="002D6AEA">
        <w:rPr>
          <w:rFonts w:ascii="Arial" w:hAnsi="Arial" w:cs="Arial"/>
          <w:b/>
          <w:bCs/>
          <w:color w:val="E36C0A"/>
          <w:sz w:val="30"/>
          <w:szCs w:val="30"/>
          <w:lang w:bidi="ar-MA"/>
        </w:rPr>
        <w:t>%</w:t>
      </w:r>
    </w:p>
    <w:p w:rsidR="000B546E" w:rsidRDefault="000B546E" w:rsidP="009578B8">
      <w:pPr>
        <w:tabs>
          <w:tab w:val="left" w:pos="708"/>
        </w:tabs>
        <w:bidi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E84D61" w:rsidRPr="002D6AEA" w:rsidRDefault="002340BA" w:rsidP="006647C2">
      <w:pPr>
        <w:bidi/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2D6AEA">
        <w:rPr>
          <w:rFonts w:cs="Simplified Arabic" w:hint="cs"/>
          <w:b/>
          <w:bCs/>
          <w:sz w:val="30"/>
          <w:szCs w:val="30"/>
          <w:rtl/>
        </w:rPr>
        <w:t>سجل الرقم الاستدلالي للقيم المتوسطة للواردات</w:t>
      </w:r>
      <w:r w:rsidRPr="002D6AEA">
        <w:rPr>
          <w:rFonts w:cs="Simplified Arabic" w:hint="cs"/>
          <w:sz w:val="30"/>
          <w:szCs w:val="30"/>
          <w:rtl/>
        </w:rPr>
        <w:t xml:space="preserve"> </w:t>
      </w:r>
      <w:r w:rsidR="00C21F43" w:rsidRPr="002D6AEA">
        <w:rPr>
          <w:rFonts w:cs="Simplified Arabic" w:hint="cs"/>
          <w:sz w:val="30"/>
          <w:szCs w:val="30"/>
          <w:rtl/>
        </w:rPr>
        <w:t>انخفاضا</w:t>
      </w:r>
      <w:r w:rsidRPr="002D6AEA">
        <w:rPr>
          <w:rFonts w:cs="Simplified Arabic" w:hint="cs"/>
          <w:sz w:val="30"/>
          <w:szCs w:val="30"/>
          <w:rtl/>
        </w:rPr>
        <w:t xml:space="preserve"> ب </w:t>
      </w:r>
      <w:r w:rsidR="00A74CAD" w:rsidRPr="002D6AEA">
        <w:rPr>
          <w:rFonts w:cs="Simplified Arabic"/>
          <w:sz w:val="30"/>
          <w:szCs w:val="30"/>
        </w:rPr>
        <w:t>1,6</w:t>
      </w:r>
      <w:r w:rsidRPr="002D6AEA">
        <w:rPr>
          <w:rFonts w:ascii="Simplified Arabic" w:hAnsi="Simplified Arabic" w:cs="Simplified Arabic"/>
          <w:sz w:val="30"/>
          <w:szCs w:val="30"/>
        </w:rPr>
        <w:t>%</w:t>
      </w:r>
      <w:r w:rsidRPr="002D6AEA">
        <w:rPr>
          <w:rFonts w:cs="Simplified Arabic" w:hint="cs"/>
          <w:sz w:val="30"/>
          <w:szCs w:val="30"/>
          <w:rtl/>
        </w:rPr>
        <w:t xml:space="preserve"> خلال </w:t>
      </w:r>
      <w:r w:rsidRPr="002D6AEA">
        <w:rPr>
          <w:rFonts w:cs="Simplified Arabic" w:hint="cs"/>
          <w:sz w:val="30"/>
          <w:szCs w:val="30"/>
          <w:rtl/>
          <w:lang w:bidi="ar-MA"/>
        </w:rPr>
        <w:t xml:space="preserve">الفصل </w:t>
      </w:r>
      <w:r w:rsidR="00D828BE" w:rsidRPr="002D6AEA">
        <w:rPr>
          <w:rFonts w:cs="Simplified Arabic"/>
          <w:sz w:val="30"/>
          <w:szCs w:val="30"/>
          <w:rtl/>
          <w:lang w:bidi="ar-MA"/>
        </w:rPr>
        <w:t xml:space="preserve">الثالث </w:t>
      </w:r>
      <w:r w:rsidRPr="002D6AEA">
        <w:rPr>
          <w:rFonts w:cs="Simplified Arabic" w:hint="cs"/>
          <w:sz w:val="30"/>
          <w:szCs w:val="30"/>
          <w:rtl/>
          <w:lang w:bidi="ar-MA"/>
        </w:rPr>
        <w:t>من سنة</w:t>
      </w:r>
      <w:r w:rsidR="002B3321" w:rsidRPr="002D6AEA">
        <w:rPr>
          <w:rFonts w:cs="Simplified Arabic"/>
          <w:sz w:val="30"/>
          <w:szCs w:val="30"/>
          <w:lang w:bidi="ar-MA"/>
        </w:rPr>
        <w:t xml:space="preserve"> </w:t>
      </w:r>
      <w:r w:rsidR="00E84D61" w:rsidRPr="002D6AEA">
        <w:rPr>
          <w:rFonts w:ascii="Simplified Arabic" w:hAnsi="Simplified Arabic" w:cs="Simplified Arabic"/>
          <w:sz w:val="30"/>
          <w:szCs w:val="30"/>
        </w:rPr>
        <w:t>202</w:t>
      </w:r>
      <w:r w:rsidR="00D828BE" w:rsidRPr="002D6AEA">
        <w:rPr>
          <w:rFonts w:ascii="Simplified Arabic" w:hAnsi="Simplified Arabic" w:cs="Simplified Arabic"/>
          <w:sz w:val="30"/>
          <w:szCs w:val="30"/>
        </w:rPr>
        <w:t>4</w:t>
      </w:r>
      <w:r w:rsidR="00E84D61" w:rsidRPr="002D6AEA">
        <w:rPr>
          <w:rFonts w:ascii="Simplified Arabic" w:hAnsi="Simplified Arabic" w:cs="Simplified Arabic"/>
          <w:sz w:val="30"/>
          <w:szCs w:val="30"/>
        </w:rPr>
        <w:t xml:space="preserve"> </w:t>
      </w:r>
      <w:r w:rsidR="00E84D61" w:rsidRPr="002D6AEA">
        <w:rPr>
          <w:rFonts w:cs="Simplified Arabic" w:hint="cs"/>
          <w:sz w:val="30"/>
          <w:szCs w:val="30"/>
          <w:rtl/>
        </w:rPr>
        <w:t>مقارنة</w:t>
      </w:r>
      <w:r w:rsidRPr="002D6AEA">
        <w:rPr>
          <w:rFonts w:cs="Simplified Arabic" w:hint="cs"/>
          <w:sz w:val="30"/>
          <w:szCs w:val="30"/>
          <w:rtl/>
        </w:rPr>
        <w:t xml:space="preserve"> مع</w:t>
      </w:r>
      <w:r w:rsidR="001E0B45" w:rsidRPr="002D6AEA">
        <w:rPr>
          <w:rFonts w:cs="Simplified Arabic"/>
          <w:sz w:val="30"/>
          <w:szCs w:val="30"/>
        </w:rPr>
        <w:t xml:space="preserve"> </w:t>
      </w:r>
      <w:r w:rsidRPr="002D6AEA">
        <w:rPr>
          <w:rFonts w:cs="Simplified Arabic" w:hint="cs"/>
          <w:sz w:val="30"/>
          <w:szCs w:val="30"/>
          <w:rtl/>
          <w:lang w:bidi="ar-MA"/>
        </w:rPr>
        <w:t>نفس</w:t>
      </w:r>
      <w:r w:rsidRPr="002D6AEA">
        <w:rPr>
          <w:rFonts w:cs="Simplified Arabic" w:hint="cs"/>
          <w:sz w:val="30"/>
          <w:szCs w:val="30"/>
          <w:rtl/>
        </w:rPr>
        <w:t xml:space="preserve"> الفصل لسنة</w:t>
      </w:r>
      <w:r w:rsidR="001E0B45" w:rsidRPr="002D6AEA">
        <w:rPr>
          <w:rFonts w:cs="Simplified Arabic"/>
          <w:sz w:val="30"/>
          <w:szCs w:val="30"/>
        </w:rPr>
        <w:t xml:space="preserve"> </w:t>
      </w:r>
      <w:r w:rsidRPr="002D6AEA">
        <w:rPr>
          <w:rFonts w:cs="Simplified Arabic"/>
          <w:sz w:val="30"/>
          <w:szCs w:val="30"/>
        </w:rPr>
        <w:t>.</w:t>
      </w:r>
      <w:r w:rsidR="001E0B45" w:rsidRPr="002D6AEA">
        <w:rPr>
          <w:rFonts w:ascii="Simplified Arabic" w:hAnsi="Simplified Arabic" w:cs="Simplified Arabic"/>
          <w:sz w:val="30"/>
          <w:szCs w:val="30"/>
        </w:rPr>
        <w:t>202</w:t>
      </w:r>
      <w:r w:rsidR="00D61B28" w:rsidRPr="002D6AEA">
        <w:rPr>
          <w:rFonts w:ascii="Simplified Arabic" w:hAnsi="Simplified Arabic" w:cs="Simplified Arabic"/>
          <w:sz w:val="30"/>
          <w:szCs w:val="30"/>
        </w:rPr>
        <w:t>3</w:t>
      </w:r>
      <w:r w:rsidR="001E0B45" w:rsidRPr="002D6AEA">
        <w:rPr>
          <w:rFonts w:ascii="Simplified Arabic" w:hAnsi="Simplified Arabic" w:cs="Simplified Arabic"/>
          <w:sz w:val="30"/>
          <w:szCs w:val="30"/>
        </w:rPr>
        <w:t xml:space="preserve"> </w:t>
      </w:r>
      <w:r w:rsidRPr="002D6AEA">
        <w:rPr>
          <w:rFonts w:cs="Simplified Arabic" w:hint="cs"/>
          <w:sz w:val="30"/>
          <w:szCs w:val="30"/>
          <w:rtl/>
          <w:lang w:bidi="ar-MA"/>
        </w:rPr>
        <w:t xml:space="preserve">ويعود هذا التطور أساسا إلى </w:t>
      </w:r>
      <w:r w:rsidR="00A25FA2" w:rsidRPr="002D6AEA">
        <w:rPr>
          <w:rFonts w:cs="Simplified Arabic" w:hint="cs"/>
          <w:sz w:val="30"/>
          <w:szCs w:val="30"/>
          <w:rtl/>
        </w:rPr>
        <w:t>انخفاض</w:t>
      </w:r>
      <w:r w:rsidRPr="002D6AEA">
        <w:rPr>
          <w:rFonts w:cs="Simplified Arabic" w:hint="cs"/>
          <w:sz w:val="30"/>
          <w:szCs w:val="30"/>
          <w:rtl/>
        </w:rPr>
        <w:t xml:space="preserve"> القيم المتوسطة</w:t>
      </w:r>
      <w:r w:rsidR="001E0B45" w:rsidRPr="002D6AEA">
        <w:rPr>
          <w:rFonts w:cs="Simplified Arabic"/>
          <w:sz w:val="30"/>
          <w:szCs w:val="30"/>
        </w:rPr>
        <w:t xml:space="preserve"> </w:t>
      </w:r>
      <w:r w:rsidR="00E84D61" w:rsidRPr="002D6AEA">
        <w:rPr>
          <w:rFonts w:cs="Simplified Arabic" w:hint="cs"/>
          <w:sz w:val="30"/>
          <w:szCs w:val="30"/>
          <w:rtl/>
        </w:rPr>
        <w:t>في مجموعات الاستعمال ل</w:t>
      </w:r>
      <w:r w:rsidRPr="002D6AEA">
        <w:rPr>
          <w:rFonts w:cs="Simplified Arabic"/>
          <w:sz w:val="30"/>
          <w:szCs w:val="30"/>
          <w:rtl/>
        </w:rPr>
        <w:t>"الطاقة وزيوت التشحيم"</w:t>
      </w:r>
      <w:r w:rsidR="006647C2">
        <w:rPr>
          <w:rFonts w:cs="Simplified Arabic"/>
          <w:sz w:val="30"/>
          <w:szCs w:val="30"/>
        </w:rPr>
        <w:t xml:space="preserve"> </w:t>
      </w:r>
      <w:r w:rsidRPr="002D6AEA">
        <w:rPr>
          <w:rFonts w:cs="Simplified Arabic" w:hint="cs"/>
          <w:sz w:val="30"/>
          <w:szCs w:val="30"/>
          <w:rtl/>
          <w:lang w:bidi="ar-MA"/>
        </w:rPr>
        <w:t>ب</w:t>
      </w:r>
      <w:r w:rsidR="00D828BE" w:rsidRPr="002D6AEA">
        <w:rPr>
          <w:rFonts w:ascii="Simplified Arabic" w:hAnsi="Simplified Arabic" w:cs="Simplified Arabic"/>
          <w:sz w:val="30"/>
          <w:szCs w:val="30"/>
        </w:rPr>
        <w:t>13,1</w:t>
      </w:r>
      <w:r w:rsidRPr="002D6AEA">
        <w:rPr>
          <w:rFonts w:ascii="Simplified Arabic" w:hAnsi="Simplified Arabic" w:cs="Simplified Arabic"/>
          <w:sz w:val="30"/>
          <w:szCs w:val="30"/>
        </w:rPr>
        <w:t>%</w:t>
      </w:r>
      <w:r w:rsidRPr="002D6AEA">
        <w:rPr>
          <w:rFonts w:cs="Simplified Arabic" w:hint="cs"/>
          <w:sz w:val="30"/>
          <w:szCs w:val="30"/>
          <w:rtl/>
        </w:rPr>
        <w:t xml:space="preserve"> و</w:t>
      </w:r>
      <w:r w:rsidRPr="002D6AEA">
        <w:rPr>
          <w:rFonts w:cs="Simplified Arabic"/>
          <w:sz w:val="30"/>
          <w:szCs w:val="30"/>
          <w:rtl/>
        </w:rPr>
        <w:t>في</w:t>
      </w:r>
      <w:r w:rsidR="00CA571B" w:rsidRPr="002D6AEA">
        <w:rPr>
          <w:rFonts w:cs="Simplified Arabic"/>
          <w:sz w:val="30"/>
          <w:szCs w:val="30"/>
        </w:rPr>
        <w:t xml:space="preserve"> </w:t>
      </w:r>
      <w:r w:rsidR="005466C2" w:rsidRPr="002D6AEA">
        <w:rPr>
          <w:rFonts w:ascii="Simplified Arabic" w:hAnsi="Simplified Arabic" w:cs="Simplified Arabic"/>
          <w:sz w:val="30"/>
          <w:szCs w:val="30"/>
          <w:rtl/>
        </w:rPr>
        <w:t>"</w:t>
      </w:r>
      <w:r w:rsidR="005466C2" w:rsidRPr="002D6AEA">
        <w:rPr>
          <w:rFonts w:cs="Simplified Arabic"/>
          <w:sz w:val="30"/>
          <w:szCs w:val="30"/>
          <w:rtl/>
        </w:rPr>
        <w:t>مواد التجهيز الصناعية</w:t>
      </w:r>
      <w:r w:rsidR="005466C2" w:rsidRPr="002D6AEA">
        <w:rPr>
          <w:rFonts w:ascii="Simplified Arabic" w:hAnsi="Simplified Arabic" w:cs="Simplified Arabic"/>
          <w:sz w:val="30"/>
          <w:szCs w:val="30"/>
          <w:rtl/>
        </w:rPr>
        <w:t>"</w:t>
      </w:r>
      <w:r w:rsidR="005466C2" w:rsidRPr="002D6AEA">
        <w:rPr>
          <w:rFonts w:ascii="Simplified Arabic" w:hAnsi="Simplified Arabic" w:cs="Simplified Arabic"/>
          <w:sz w:val="30"/>
          <w:szCs w:val="30"/>
        </w:rPr>
        <w:t xml:space="preserve"> </w:t>
      </w:r>
      <w:r w:rsidR="005466C2" w:rsidRPr="002D6AEA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5466C2" w:rsidRPr="002D6AEA">
        <w:rPr>
          <w:rFonts w:ascii="Simplified Arabic" w:hAnsi="Simplified Arabic" w:cs="Simplified Arabic"/>
          <w:sz w:val="30"/>
          <w:szCs w:val="30"/>
        </w:rPr>
        <w:t xml:space="preserve"> 4,0%</w:t>
      </w:r>
      <w:r w:rsidR="005466C2" w:rsidRPr="002D6AEA">
        <w:rPr>
          <w:rFonts w:cs="Simplified Arabic" w:hint="cs"/>
          <w:sz w:val="30"/>
          <w:szCs w:val="30"/>
          <w:rtl/>
        </w:rPr>
        <w:t xml:space="preserve">وفي "المواد </w:t>
      </w:r>
      <w:r w:rsidR="005466C2" w:rsidRPr="002D6AEA">
        <w:rPr>
          <w:rFonts w:cs="Simplified Arabic" w:hint="cs"/>
          <w:sz w:val="30"/>
          <w:szCs w:val="30"/>
          <w:rtl/>
          <w:lang w:bidi="ar-MA"/>
        </w:rPr>
        <w:t>الغذائية والمشروبات والتبغ</w:t>
      </w:r>
      <w:r w:rsidR="005466C2" w:rsidRPr="002D6AEA">
        <w:rPr>
          <w:rFonts w:cs="Simplified Arabic" w:hint="cs"/>
          <w:sz w:val="30"/>
          <w:szCs w:val="30"/>
          <w:rtl/>
        </w:rPr>
        <w:t xml:space="preserve">" </w:t>
      </w:r>
      <w:r w:rsidR="005466C2" w:rsidRPr="002D6AEA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5466C2" w:rsidRPr="002D6AEA">
        <w:rPr>
          <w:rFonts w:ascii="Simplified Arabic" w:hAnsi="Simplified Arabic" w:cs="Simplified Arabic"/>
          <w:sz w:val="30"/>
          <w:szCs w:val="30"/>
        </w:rPr>
        <w:t>4,5%</w:t>
      </w:r>
      <w:r w:rsidR="006647C2">
        <w:rPr>
          <w:rFonts w:ascii="Simplified Arabic" w:hAnsi="Simplified Arabic" w:cs="Simplified Arabic"/>
          <w:sz w:val="30"/>
          <w:szCs w:val="30"/>
        </w:rPr>
        <w:t xml:space="preserve"> </w:t>
      </w:r>
      <w:r w:rsidR="00CA08C7" w:rsidRPr="002D6AEA">
        <w:rPr>
          <w:rFonts w:cs="Simplified Arabic"/>
          <w:sz w:val="30"/>
          <w:szCs w:val="30"/>
          <w:rtl/>
        </w:rPr>
        <w:t>وفي</w:t>
      </w:r>
      <w:r w:rsidR="00A25FA2" w:rsidRPr="002D6AEA">
        <w:rPr>
          <w:rFonts w:cs="Simplified Arabic" w:hint="cs"/>
          <w:sz w:val="30"/>
          <w:szCs w:val="30"/>
          <w:rtl/>
        </w:rPr>
        <w:t xml:space="preserve"> </w:t>
      </w:r>
      <w:r w:rsidR="00CA08C7" w:rsidRPr="002D6AEA">
        <w:rPr>
          <w:rFonts w:cs="Simplified Arabic"/>
          <w:sz w:val="30"/>
          <w:szCs w:val="30"/>
          <w:rtl/>
        </w:rPr>
        <w:t>"المواد الخام من أصل حيواني ونباتي</w:t>
      </w:r>
      <w:r w:rsidR="00C21F43" w:rsidRPr="002D6AEA">
        <w:rPr>
          <w:rFonts w:cs="Simplified Arabic" w:hint="cs"/>
          <w:sz w:val="30"/>
          <w:szCs w:val="30"/>
          <w:rtl/>
        </w:rPr>
        <w:t>"</w:t>
      </w:r>
      <w:r w:rsidR="00A25FA2" w:rsidRPr="002D6AEA">
        <w:rPr>
          <w:rFonts w:cs="Simplified Arabic" w:hint="cs"/>
          <w:sz w:val="30"/>
          <w:szCs w:val="30"/>
          <w:rtl/>
        </w:rPr>
        <w:t xml:space="preserve"> ب</w:t>
      </w:r>
      <w:r w:rsidR="001B2802" w:rsidRPr="002D6AEA">
        <w:rPr>
          <w:rFonts w:ascii="Simplified Arabic" w:hAnsi="Simplified Arabic" w:cs="Simplified Arabic"/>
          <w:sz w:val="30"/>
          <w:szCs w:val="30"/>
        </w:rPr>
        <w:t>7,3%</w:t>
      </w:r>
      <w:r w:rsidR="001B2802" w:rsidRPr="002D6AEA">
        <w:rPr>
          <w:rFonts w:cs="Simplified Arabic" w:hint="cs"/>
          <w:sz w:val="30"/>
          <w:szCs w:val="30"/>
          <w:rtl/>
        </w:rPr>
        <w:t xml:space="preserve">. </w:t>
      </w:r>
      <w:r w:rsidR="00CA08C7" w:rsidRPr="002D6AEA">
        <w:rPr>
          <w:rFonts w:cs="Simplified Arabic" w:hint="cs"/>
          <w:sz w:val="30"/>
          <w:szCs w:val="30"/>
          <w:rtl/>
        </w:rPr>
        <w:t>أما ال</w:t>
      </w:r>
      <w:r w:rsidR="0083387A" w:rsidRPr="002D6AEA">
        <w:rPr>
          <w:rFonts w:cs="Simplified Arabic" w:hint="cs"/>
          <w:sz w:val="30"/>
          <w:szCs w:val="30"/>
          <w:rtl/>
        </w:rPr>
        <w:t>أ</w:t>
      </w:r>
      <w:r w:rsidR="00CA08C7" w:rsidRPr="002D6AEA">
        <w:rPr>
          <w:rFonts w:cs="Simplified Arabic" w:hint="cs"/>
          <w:sz w:val="30"/>
          <w:szCs w:val="30"/>
          <w:rtl/>
        </w:rPr>
        <w:t>رق</w:t>
      </w:r>
      <w:r w:rsidR="0083387A" w:rsidRPr="002D6AEA">
        <w:rPr>
          <w:rFonts w:cs="Simplified Arabic" w:hint="cs"/>
          <w:sz w:val="30"/>
          <w:szCs w:val="30"/>
          <w:rtl/>
        </w:rPr>
        <w:t>ا</w:t>
      </w:r>
      <w:r w:rsidR="00CA08C7" w:rsidRPr="002D6AEA">
        <w:rPr>
          <w:rFonts w:cs="Simplified Arabic" w:hint="cs"/>
          <w:sz w:val="30"/>
          <w:szCs w:val="30"/>
          <w:rtl/>
        </w:rPr>
        <w:t>م الاستدلالي</w:t>
      </w:r>
      <w:r w:rsidR="0083387A" w:rsidRPr="002D6AEA">
        <w:rPr>
          <w:rFonts w:cs="Simplified Arabic" w:hint="cs"/>
          <w:sz w:val="30"/>
          <w:szCs w:val="30"/>
          <w:rtl/>
        </w:rPr>
        <w:t>ة</w:t>
      </w:r>
      <w:r w:rsidR="00CA08C7" w:rsidRPr="002D6AEA">
        <w:rPr>
          <w:rFonts w:cs="Simplified Arabic" w:hint="cs"/>
          <w:sz w:val="30"/>
          <w:szCs w:val="30"/>
          <w:rtl/>
        </w:rPr>
        <w:t xml:space="preserve"> للقيم المتوسطة </w:t>
      </w:r>
      <w:r w:rsidR="0083387A" w:rsidRPr="002D6AEA">
        <w:rPr>
          <w:rFonts w:cs="Simplified Arabic" w:hint="cs"/>
          <w:sz w:val="30"/>
          <w:szCs w:val="30"/>
          <w:rtl/>
        </w:rPr>
        <w:t>ل</w:t>
      </w:r>
      <w:r w:rsidRPr="002D6AEA">
        <w:rPr>
          <w:rFonts w:cs="Simplified Arabic"/>
          <w:sz w:val="30"/>
          <w:szCs w:val="30"/>
          <w:rtl/>
        </w:rPr>
        <w:t xml:space="preserve">"أنصاف المنتجات" </w:t>
      </w:r>
      <w:r w:rsidR="00CA08C7" w:rsidRPr="002D6AEA">
        <w:rPr>
          <w:rFonts w:cs="Simplified Arabic" w:hint="cs"/>
          <w:sz w:val="30"/>
          <w:szCs w:val="30"/>
          <w:rtl/>
        </w:rPr>
        <w:t>و"</w:t>
      </w:r>
      <w:r w:rsidR="00CA08C7" w:rsidRPr="002D6AEA">
        <w:rPr>
          <w:rFonts w:cs="Simplified Arabic"/>
          <w:sz w:val="30"/>
          <w:szCs w:val="30"/>
          <w:rtl/>
        </w:rPr>
        <w:t>مواد الاستهلاك</w:t>
      </w:r>
      <w:r w:rsidR="00CA08C7" w:rsidRPr="002D6AEA">
        <w:rPr>
          <w:rFonts w:cs="Simplified Arabic" w:hint="cs"/>
          <w:sz w:val="30"/>
          <w:szCs w:val="30"/>
          <w:rtl/>
        </w:rPr>
        <w:t xml:space="preserve">" </w:t>
      </w:r>
      <w:r w:rsidR="00DD1623" w:rsidRPr="002D6AEA">
        <w:rPr>
          <w:rFonts w:cs="Simplified Arabic" w:hint="cs"/>
          <w:sz w:val="30"/>
          <w:szCs w:val="30"/>
          <w:rtl/>
        </w:rPr>
        <w:t>و</w:t>
      </w:r>
      <w:r w:rsidRPr="002D6AEA">
        <w:rPr>
          <w:rFonts w:cs="Simplified Arabic" w:hint="cs"/>
          <w:sz w:val="30"/>
          <w:szCs w:val="30"/>
          <w:rtl/>
        </w:rPr>
        <w:t xml:space="preserve">"المواد الخام من أصل معدني" </w:t>
      </w:r>
      <w:r w:rsidR="0083387A" w:rsidRPr="002D6AEA">
        <w:rPr>
          <w:rFonts w:cs="Simplified Arabic"/>
          <w:sz w:val="30"/>
          <w:szCs w:val="30"/>
          <w:rtl/>
        </w:rPr>
        <w:t>و"مواد التجهيز ال</w:t>
      </w:r>
      <w:r w:rsidR="0083387A" w:rsidRPr="002D6AEA">
        <w:rPr>
          <w:rFonts w:cs="Simplified Arabic" w:hint="cs"/>
          <w:sz w:val="30"/>
          <w:szCs w:val="30"/>
          <w:rtl/>
        </w:rPr>
        <w:t>فلاح</w:t>
      </w:r>
      <w:r w:rsidR="0083387A" w:rsidRPr="002D6AEA">
        <w:rPr>
          <w:rFonts w:cs="Simplified Arabic"/>
          <w:sz w:val="30"/>
          <w:szCs w:val="30"/>
          <w:rtl/>
        </w:rPr>
        <w:t>ية" فقد سجل</w:t>
      </w:r>
      <w:r w:rsidR="0083387A" w:rsidRPr="002D6AEA">
        <w:rPr>
          <w:rFonts w:cs="Simplified Arabic" w:hint="cs"/>
          <w:sz w:val="30"/>
          <w:szCs w:val="30"/>
          <w:rtl/>
        </w:rPr>
        <w:t>ت</w:t>
      </w:r>
      <w:r w:rsidR="0083387A" w:rsidRPr="002D6AEA">
        <w:rPr>
          <w:rFonts w:cs="Simplified Arabic"/>
          <w:sz w:val="30"/>
          <w:szCs w:val="30"/>
          <w:rtl/>
        </w:rPr>
        <w:t xml:space="preserve"> ارتفاعا </w:t>
      </w:r>
      <w:r w:rsidR="0083387A" w:rsidRPr="002D6AEA">
        <w:rPr>
          <w:rFonts w:cs="Simplified Arabic" w:hint="cs"/>
          <w:sz w:val="30"/>
          <w:szCs w:val="30"/>
          <w:rtl/>
        </w:rPr>
        <w:t xml:space="preserve">على التوالي </w:t>
      </w:r>
      <w:r w:rsidR="0083387A" w:rsidRPr="002D6AEA">
        <w:rPr>
          <w:rFonts w:cs="Simplified Arabic"/>
          <w:sz w:val="30"/>
          <w:szCs w:val="30"/>
          <w:rtl/>
        </w:rPr>
        <w:t>ب</w:t>
      </w:r>
      <w:r w:rsidR="0083387A" w:rsidRPr="002D6AEA">
        <w:rPr>
          <w:rFonts w:cs="Simplified Arabic"/>
          <w:sz w:val="30"/>
          <w:szCs w:val="30"/>
        </w:rPr>
        <w:t>7,4%</w:t>
      </w:r>
      <w:r w:rsidR="00343A3A" w:rsidRPr="002D6AEA">
        <w:rPr>
          <w:rFonts w:cs="Simplified Arabic" w:hint="cs"/>
          <w:sz w:val="30"/>
          <w:szCs w:val="30"/>
          <w:rtl/>
        </w:rPr>
        <w:t>،</w:t>
      </w:r>
      <w:r w:rsidR="0083387A" w:rsidRPr="002D6AEA">
        <w:rPr>
          <w:rFonts w:cs="Simplified Arabic"/>
          <w:sz w:val="30"/>
          <w:szCs w:val="30"/>
        </w:rPr>
        <w:t>3,3%</w:t>
      </w:r>
      <w:r w:rsidR="006647C2">
        <w:rPr>
          <w:rFonts w:cs="Simplified Arabic"/>
          <w:sz w:val="30"/>
          <w:szCs w:val="30"/>
        </w:rPr>
        <w:t xml:space="preserve"> </w:t>
      </w:r>
      <w:r w:rsidR="00343A3A" w:rsidRPr="002D6AEA">
        <w:rPr>
          <w:rFonts w:cs="Simplified Arabic" w:hint="cs"/>
          <w:sz w:val="30"/>
          <w:szCs w:val="30"/>
          <w:rtl/>
        </w:rPr>
        <w:t>،</w:t>
      </w:r>
      <w:r w:rsidR="00343A3A" w:rsidRPr="002D6AEA">
        <w:rPr>
          <w:rFonts w:cs="Simplified Arabic"/>
          <w:sz w:val="30"/>
          <w:szCs w:val="30"/>
        </w:rPr>
        <w:t>0,8%</w:t>
      </w:r>
      <w:r w:rsidR="006647C2">
        <w:rPr>
          <w:rFonts w:cs="Simplified Arabic"/>
          <w:sz w:val="30"/>
          <w:szCs w:val="30"/>
        </w:rPr>
        <w:t xml:space="preserve"> </w:t>
      </w:r>
      <w:r w:rsidR="0083387A" w:rsidRPr="002D6AEA">
        <w:rPr>
          <w:rFonts w:cs="Simplified Arabic" w:hint="cs"/>
          <w:sz w:val="30"/>
          <w:szCs w:val="30"/>
          <w:rtl/>
        </w:rPr>
        <w:t xml:space="preserve"> </w:t>
      </w:r>
      <w:r w:rsidR="00343A3A" w:rsidRPr="002D6AEA">
        <w:rPr>
          <w:rFonts w:cs="Simplified Arabic" w:hint="cs"/>
          <w:sz w:val="30"/>
          <w:szCs w:val="30"/>
          <w:rtl/>
          <w:lang w:bidi="ar-MA"/>
        </w:rPr>
        <w:t>و</w:t>
      </w:r>
      <w:r w:rsidR="00343A3A" w:rsidRPr="002D6AEA">
        <w:rPr>
          <w:rFonts w:cs="Simplified Arabic"/>
          <w:sz w:val="30"/>
          <w:szCs w:val="30"/>
          <w:lang w:bidi="ar-MA"/>
        </w:rPr>
        <w:t>2,3%</w:t>
      </w:r>
      <w:r w:rsidR="00343A3A" w:rsidRPr="002D6AE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B3321" w:rsidRPr="002D6AEA">
        <w:rPr>
          <w:rFonts w:cs="Simplified Arabic"/>
          <w:sz w:val="30"/>
          <w:szCs w:val="30"/>
          <w:rtl/>
        </w:rPr>
        <w:t>م</w:t>
      </w:r>
      <w:r w:rsidR="00343A3A" w:rsidRPr="002D6AEA">
        <w:rPr>
          <w:rFonts w:cs="Simplified Arabic" w:hint="cs"/>
          <w:sz w:val="30"/>
          <w:szCs w:val="30"/>
          <w:rtl/>
        </w:rPr>
        <w:t xml:space="preserve">ساهمة </w:t>
      </w:r>
      <w:r w:rsidR="00C22D13" w:rsidRPr="002D6AEA">
        <w:rPr>
          <w:rFonts w:cs="Simplified Arabic" w:hint="cs"/>
          <w:sz w:val="30"/>
          <w:szCs w:val="30"/>
          <w:rtl/>
        </w:rPr>
        <w:t xml:space="preserve">بذلك </w:t>
      </w:r>
      <w:r w:rsidR="00343A3A" w:rsidRPr="002D6AEA">
        <w:rPr>
          <w:rFonts w:cs="Simplified Arabic" w:hint="cs"/>
          <w:sz w:val="30"/>
          <w:szCs w:val="30"/>
          <w:rtl/>
        </w:rPr>
        <w:t>في التخفيف من حدة انخفاض</w:t>
      </w:r>
      <w:r w:rsidR="00C22D13" w:rsidRPr="002D6AEA">
        <w:rPr>
          <w:rFonts w:cs="Simplified Arabic" w:hint="cs"/>
          <w:sz w:val="30"/>
          <w:szCs w:val="30"/>
          <w:rtl/>
        </w:rPr>
        <w:t xml:space="preserve"> الرقم الاستدلالي الإجمالي للواردات.</w:t>
      </w:r>
      <w:r w:rsidR="0083387A" w:rsidRPr="002D6AEA">
        <w:rPr>
          <w:sz w:val="30"/>
          <w:szCs w:val="30"/>
          <w:rtl/>
        </w:rPr>
        <w:t xml:space="preserve"> </w:t>
      </w:r>
    </w:p>
    <w:p w:rsidR="00C22D13" w:rsidRPr="002D6AEA" w:rsidRDefault="00C22D13" w:rsidP="009578B8">
      <w:pPr>
        <w:bidi/>
        <w:ind w:left="284" w:right="284" w:firstLine="567"/>
        <w:jc w:val="both"/>
        <w:rPr>
          <w:rFonts w:cs="Simplified Arabic"/>
          <w:sz w:val="30"/>
          <w:szCs w:val="30"/>
        </w:rPr>
      </w:pPr>
    </w:p>
    <w:p w:rsidR="002340BA" w:rsidRPr="002D6AEA" w:rsidRDefault="002340BA" w:rsidP="004A295E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D6AEA">
        <w:rPr>
          <w:rFonts w:cs="Simplified Arabic" w:hint="cs"/>
          <w:sz w:val="30"/>
          <w:szCs w:val="30"/>
          <w:rtl/>
        </w:rPr>
        <w:t xml:space="preserve">فيما يخص </w:t>
      </w:r>
      <w:r w:rsidRPr="002D6AEA">
        <w:rPr>
          <w:rFonts w:cs="Simplified Arabic" w:hint="cs"/>
          <w:b/>
          <w:bCs/>
          <w:sz w:val="30"/>
          <w:szCs w:val="30"/>
          <w:rtl/>
        </w:rPr>
        <w:t>الرقم الاستدلالي للقيم المتوسطة للصادرات</w:t>
      </w:r>
      <w:r w:rsidRPr="002D6AEA">
        <w:rPr>
          <w:rFonts w:cs="Simplified Arabic" w:hint="cs"/>
          <w:sz w:val="30"/>
          <w:szCs w:val="30"/>
          <w:rtl/>
        </w:rPr>
        <w:t xml:space="preserve">، فقد سجل من جهته </w:t>
      </w:r>
      <w:r w:rsidR="00D70706" w:rsidRPr="002D6AEA">
        <w:rPr>
          <w:rFonts w:cs="Simplified Arabic" w:hint="cs"/>
          <w:sz w:val="30"/>
          <w:szCs w:val="30"/>
          <w:rtl/>
        </w:rPr>
        <w:t>ارتفاع</w:t>
      </w:r>
      <w:r w:rsidR="00D70706" w:rsidRPr="002D6AEA">
        <w:rPr>
          <w:rFonts w:cs="Simplified Arabic" w:hint="eastAsia"/>
          <w:sz w:val="30"/>
          <w:szCs w:val="30"/>
          <w:rtl/>
        </w:rPr>
        <w:t>ا</w:t>
      </w:r>
      <w:r w:rsidR="00B26165">
        <w:rPr>
          <w:rFonts w:cs="Simplified Arabic"/>
          <w:sz w:val="30"/>
          <w:szCs w:val="30"/>
        </w:rPr>
        <w:t xml:space="preserve"> </w:t>
      </w:r>
      <w:r w:rsidRPr="002D6AEA">
        <w:rPr>
          <w:rFonts w:cs="Simplified Arabic" w:hint="cs"/>
          <w:sz w:val="30"/>
          <w:szCs w:val="30"/>
          <w:rtl/>
        </w:rPr>
        <w:t>ب</w:t>
      </w:r>
      <w:r w:rsidR="001E0B45" w:rsidRPr="002D6AEA">
        <w:rPr>
          <w:rFonts w:cs="Simplified Arabic"/>
          <w:sz w:val="30"/>
          <w:szCs w:val="30"/>
        </w:rPr>
        <w:t xml:space="preserve"> </w:t>
      </w:r>
      <w:r w:rsidR="00832408" w:rsidRPr="002D6AEA">
        <w:rPr>
          <w:rFonts w:cs="Simplified Arabic"/>
          <w:sz w:val="30"/>
          <w:szCs w:val="30"/>
        </w:rPr>
        <w:t>0,5</w:t>
      </w:r>
      <w:r w:rsidRPr="002D6AEA">
        <w:rPr>
          <w:rFonts w:cs="Simplified Arabic"/>
          <w:sz w:val="30"/>
          <w:szCs w:val="30"/>
        </w:rPr>
        <w:t>%</w:t>
      </w:r>
      <w:r w:rsidRPr="002D6AEA">
        <w:rPr>
          <w:rFonts w:cs="Simplified Arabic" w:hint="cs"/>
          <w:sz w:val="30"/>
          <w:szCs w:val="30"/>
          <w:rtl/>
        </w:rPr>
        <w:t xml:space="preserve">خلال </w:t>
      </w:r>
      <w:r w:rsidR="001F614E" w:rsidRPr="002D6AEA">
        <w:rPr>
          <w:rFonts w:cs="Simplified Arabic" w:hint="cs"/>
          <w:sz w:val="30"/>
          <w:szCs w:val="30"/>
          <w:rtl/>
        </w:rPr>
        <w:t xml:space="preserve">الفصل </w:t>
      </w:r>
      <w:r w:rsidR="00832408" w:rsidRPr="002D6AEA">
        <w:rPr>
          <w:rFonts w:cs="Simplified Arabic"/>
          <w:sz w:val="30"/>
          <w:szCs w:val="30"/>
          <w:rtl/>
        </w:rPr>
        <w:t xml:space="preserve">الثالث </w:t>
      </w:r>
      <w:r w:rsidRPr="002D6AEA">
        <w:rPr>
          <w:rFonts w:cs="Simplified Arabic" w:hint="cs"/>
          <w:sz w:val="30"/>
          <w:szCs w:val="30"/>
          <w:rtl/>
        </w:rPr>
        <w:t>من سنة</w:t>
      </w:r>
      <w:r w:rsidR="00D70706" w:rsidRPr="002D6AEA">
        <w:rPr>
          <w:rFonts w:cs="Simplified Arabic"/>
          <w:sz w:val="30"/>
          <w:szCs w:val="30"/>
        </w:rPr>
        <w:t xml:space="preserve"> </w:t>
      </w:r>
      <w:r w:rsidR="00D61B28" w:rsidRPr="002D6AEA">
        <w:rPr>
          <w:rFonts w:cs="Simplified Arabic"/>
          <w:sz w:val="30"/>
          <w:szCs w:val="30"/>
        </w:rPr>
        <w:t xml:space="preserve">2024 </w:t>
      </w:r>
      <w:r w:rsidR="00D61B28" w:rsidRPr="002D6AEA">
        <w:rPr>
          <w:rFonts w:cs="Simplified Arabic" w:hint="cs"/>
          <w:sz w:val="30"/>
          <w:szCs w:val="30"/>
          <w:rtl/>
        </w:rPr>
        <w:t>مقارنة</w:t>
      </w:r>
      <w:r w:rsidRPr="002D6AEA">
        <w:rPr>
          <w:rFonts w:cs="Simplified Arabic" w:hint="cs"/>
          <w:sz w:val="30"/>
          <w:szCs w:val="30"/>
          <w:rtl/>
        </w:rPr>
        <w:t xml:space="preserve"> مع نفس الفصل للسنة السابقة. وقد نتج هذا ال</w:t>
      </w:r>
      <w:r w:rsidR="00D70706" w:rsidRPr="002D6AEA">
        <w:rPr>
          <w:rFonts w:cs="Simplified Arabic" w:hint="cs"/>
          <w:sz w:val="30"/>
          <w:szCs w:val="30"/>
          <w:rtl/>
        </w:rPr>
        <w:t>ا</w:t>
      </w:r>
      <w:r w:rsidR="00832408" w:rsidRPr="002D6AEA">
        <w:rPr>
          <w:rFonts w:cs="Simplified Arabic" w:hint="cs"/>
          <w:sz w:val="30"/>
          <w:szCs w:val="30"/>
          <w:rtl/>
        </w:rPr>
        <w:t>رتفاع</w:t>
      </w:r>
      <w:r w:rsidRPr="002D6AEA">
        <w:rPr>
          <w:rFonts w:cs="Simplified Arabic" w:hint="cs"/>
          <w:sz w:val="30"/>
          <w:szCs w:val="30"/>
          <w:rtl/>
        </w:rPr>
        <w:t xml:space="preserve"> </w:t>
      </w:r>
      <w:r w:rsidR="00D70706" w:rsidRPr="002D6AEA">
        <w:rPr>
          <w:rFonts w:cs="Simplified Arabic" w:hint="cs"/>
          <w:sz w:val="30"/>
          <w:szCs w:val="30"/>
          <w:rtl/>
        </w:rPr>
        <w:t>بالخصوص عن ارتفا</w:t>
      </w:r>
      <w:r w:rsidR="00D70706" w:rsidRPr="002D6AEA">
        <w:rPr>
          <w:rFonts w:cs="Simplified Arabic" w:hint="eastAsia"/>
          <w:sz w:val="30"/>
          <w:szCs w:val="30"/>
          <w:rtl/>
        </w:rPr>
        <w:t>ع</w:t>
      </w:r>
      <w:r w:rsidRPr="002D6AEA">
        <w:rPr>
          <w:rFonts w:cs="Simplified Arabic" w:hint="cs"/>
          <w:sz w:val="30"/>
          <w:szCs w:val="30"/>
          <w:rtl/>
        </w:rPr>
        <w:t xml:space="preserve"> القيم المتوسطة في</w:t>
      </w:r>
      <w:r w:rsidR="0090480C" w:rsidRPr="002D6AEA">
        <w:rPr>
          <w:rFonts w:cs="Simplified Arabic" w:hint="cs"/>
          <w:sz w:val="30"/>
          <w:szCs w:val="30"/>
          <w:rtl/>
        </w:rPr>
        <w:t xml:space="preserve"> </w:t>
      </w:r>
      <w:r w:rsidRPr="002D6AEA">
        <w:rPr>
          <w:rFonts w:cs="Simplified Arabic" w:hint="cs"/>
          <w:sz w:val="30"/>
          <w:szCs w:val="30"/>
          <w:rtl/>
        </w:rPr>
        <w:t>"أنصاف المنتجات" ب</w:t>
      </w:r>
      <w:r w:rsidRPr="002D6AEA">
        <w:rPr>
          <w:rFonts w:cs="Simplified Arabic"/>
          <w:sz w:val="30"/>
          <w:szCs w:val="30"/>
        </w:rPr>
        <w:t xml:space="preserve"> </w:t>
      </w:r>
      <w:r w:rsidR="00832408" w:rsidRPr="002D6AEA">
        <w:rPr>
          <w:rFonts w:cs="Simplified Arabic"/>
          <w:sz w:val="30"/>
          <w:szCs w:val="30"/>
        </w:rPr>
        <w:t>7,2</w:t>
      </w:r>
      <w:r w:rsidR="00D61B28" w:rsidRPr="002D6AEA">
        <w:rPr>
          <w:rFonts w:cs="Simplified Arabic"/>
          <w:sz w:val="30"/>
          <w:szCs w:val="30"/>
        </w:rPr>
        <w:t>%</w:t>
      </w:r>
      <w:r w:rsidR="00342AFC">
        <w:rPr>
          <w:rFonts w:cs="Simplified Arabic"/>
          <w:sz w:val="30"/>
          <w:szCs w:val="30"/>
        </w:rPr>
        <w:t xml:space="preserve"> </w:t>
      </w:r>
      <w:r w:rsidR="00D61B28" w:rsidRPr="002D6AEA">
        <w:rPr>
          <w:rFonts w:cs="Simplified Arabic" w:hint="cs"/>
          <w:sz w:val="30"/>
          <w:szCs w:val="30"/>
          <w:rtl/>
        </w:rPr>
        <w:t>وفي</w:t>
      </w:r>
      <w:r w:rsidR="001F614E" w:rsidRPr="002D6AEA">
        <w:rPr>
          <w:rFonts w:cs="Simplified Arabic"/>
          <w:sz w:val="30"/>
          <w:szCs w:val="30"/>
          <w:rtl/>
        </w:rPr>
        <w:t xml:space="preserve"> </w:t>
      </w:r>
      <w:r w:rsidR="00473562" w:rsidRPr="002D6AEA">
        <w:rPr>
          <w:rFonts w:cs="Simplified Arabic"/>
          <w:sz w:val="30"/>
          <w:szCs w:val="30"/>
          <w:rtl/>
        </w:rPr>
        <w:t>"الطاقة وزيوت التشحيم"</w:t>
      </w:r>
      <w:r w:rsidR="0090480C" w:rsidRPr="002D6AEA">
        <w:rPr>
          <w:rFonts w:cs="Simplified Arabic" w:hint="cs"/>
          <w:sz w:val="30"/>
          <w:szCs w:val="30"/>
          <w:rtl/>
        </w:rPr>
        <w:t xml:space="preserve"> </w:t>
      </w:r>
      <w:r w:rsidR="00473562" w:rsidRPr="002D6AEA">
        <w:rPr>
          <w:rFonts w:cs="Simplified Arabic" w:hint="cs"/>
          <w:sz w:val="30"/>
          <w:szCs w:val="30"/>
          <w:rtl/>
        </w:rPr>
        <w:t>ب</w:t>
      </w:r>
      <w:r w:rsidR="000F7FCA" w:rsidRPr="002D6AEA">
        <w:rPr>
          <w:rFonts w:cs="Simplified Arabic"/>
          <w:sz w:val="30"/>
          <w:szCs w:val="30"/>
        </w:rPr>
        <w:t>3,3</w:t>
      </w:r>
      <w:r w:rsidR="00473562" w:rsidRPr="002D6AEA">
        <w:rPr>
          <w:rFonts w:cs="Simplified Arabic"/>
          <w:sz w:val="30"/>
          <w:szCs w:val="30"/>
        </w:rPr>
        <w:t>%</w:t>
      </w:r>
      <w:r w:rsidR="00473562" w:rsidRPr="002D6AEA">
        <w:rPr>
          <w:rFonts w:cs="Simplified Arabic" w:hint="cs"/>
          <w:sz w:val="30"/>
          <w:szCs w:val="30"/>
          <w:rtl/>
        </w:rPr>
        <w:t xml:space="preserve">. </w:t>
      </w:r>
      <w:r w:rsidR="0090480C" w:rsidRPr="002D6AEA">
        <w:rPr>
          <w:rFonts w:cs="Simplified Arabic" w:hint="cs"/>
          <w:sz w:val="30"/>
          <w:szCs w:val="30"/>
          <w:rtl/>
        </w:rPr>
        <w:t>على العكس من ذلك</w:t>
      </w:r>
      <w:r w:rsidR="00473562" w:rsidRPr="002D6AEA">
        <w:rPr>
          <w:rFonts w:cs="Simplified Arabic"/>
          <w:sz w:val="30"/>
          <w:szCs w:val="30"/>
          <w:rtl/>
        </w:rPr>
        <w:t>،</w:t>
      </w:r>
      <w:r w:rsidR="00473562" w:rsidRPr="002D6AEA">
        <w:rPr>
          <w:rFonts w:cs="Simplified Arabic" w:hint="cs"/>
          <w:sz w:val="30"/>
          <w:szCs w:val="30"/>
          <w:rtl/>
        </w:rPr>
        <w:t xml:space="preserve"> </w:t>
      </w:r>
      <w:r w:rsidR="0090480C" w:rsidRPr="002D6AEA">
        <w:rPr>
          <w:rFonts w:cs="Simplified Arabic" w:hint="cs"/>
          <w:sz w:val="30"/>
          <w:szCs w:val="30"/>
          <w:rtl/>
        </w:rPr>
        <w:t>سجل هذا</w:t>
      </w:r>
      <w:r w:rsidR="00473562" w:rsidRPr="002D6AEA">
        <w:rPr>
          <w:rFonts w:cs="Simplified Arabic"/>
          <w:sz w:val="30"/>
          <w:szCs w:val="30"/>
        </w:rPr>
        <w:t xml:space="preserve"> </w:t>
      </w:r>
      <w:r w:rsidR="00473562" w:rsidRPr="002D6AEA">
        <w:rPr>
          <w:rFonts w:cs="Simplified Arabic" w:hint="cs"/>
          <w:sz w:val="30"/>
          <w:szCs w:val="30"/>
          <w:rtl/>
        </w:rPr>
        <w:t xml:space="preserve">الرقم الاستدلالي </w:t>
      </w:r>
      <w:r w:rsidR="00D70706" w:rsidRPr="002D6AEA">
        <w:rPr>
          <w:rFonts w:cs="Simplified Arabic" w:hint="cs"/>
          <w:sz w:val="30"/>
          <w:szCs w:val="30"/>
          <w:rtl/>
        </w:rPr>
        <w:t>انخفاض</w:t>
      </w:r>
      <w:r w:rsidR="00473562" w:rsidRPr="002D6AEA">
        <w:rPr>
          <w:rFonts w:cs="Simplified Arabic" w:hint="cs"/>
          <w:sz w:val="30"/>
          <w:szCs w:val="30"/>
          <w:rtl/>
        </w:rPr>
        <w:t>ا</w:t>
      </w:r>
      <w:r w:rsidR="00473562" w:rsidRPr="002D6AEA">
        <w:rPr>
          <w:rFonts w:cs="Simplified Arabic"/>
          <w:sz w:val="30"/>
          <w:szCs w:val="30"/>
        </w:rPr>
        <w:t xml:space="preserve"> </w:t>
      </w:r>
      <w:r w:rsidR="00473562" w:rsidRPr="002D6AEA">
        <w:rPr>
          <w:rFonts w:cs="Simplified Arabic"/>
          <w:sz w:val="30"/>
          <w:szCs w:val="30"/>
          <w:rtl/>
        </w:rPr>
        <w:t xml:space="preserve">في </w:t>
      </w:r>
      <w:r w:rsidR="000F7FCA" w:rsidRPr="002D6AEA">
        <w:rPr>
          <w:rFonts w:cs="Simplified Arabic" w:hint="cs"/>
          <w:sz w:val="30"/>
          <w:szCs w:val="30"/>
          <w:rtl/>
        </w:rPr>
        <w:t>"ال</w:t>
      </w:r>
      <w:r w:rsidR="00C35C43" w:rsidRPr="002D6AEA">
        <w:rPr>
          <w:rFonts w:cs="Simplified Arabic" w:hint="cs"/>
          <w:sz w:val="30"/>
          <w:szCs w:val="30"/>
          <w:rtl/>
        </w:rPr>
        <w:t>مواد الغذائية والمشروبات والتبغ</w:t>
      </w:r>
      <w:r w:rsidR="000F7FCA" w:rsidRPr="002D6AEA">
        <w:rPr>
          <w:rFonts w:cs="Simplified Arabic" w:hint="cs"/>
          <w:sz w:val="30"/>
          <w:szCs w:val="30"/>
          <w:rtl/>
        </w:rPr>
        <w:t>"</w:t>
      </w:r>
      <w:r w:rsidR="00C35C43" w:rsidRPr="002D6AEA">
        <w:rPr>
          <w:rFonts w:cs="Simplified Arabic" w:hint="cs"/>
          <w:sz w:val="30"/>
          <w:szCs w:val="30"/>
          <w:rtl/>
        </w:rPr>
        <w:t xml:space="preserve"> </w:t>
      </w:r>
      <w:r w:rsidR="000F7FCA" w:rsidRPr="002D6AEA">
        <w:rPr>
          <w:rFonts w:cs="Simplified Arabic"/>
          <w:sz w:val="30"/>
          <w:szCs w:val="30"/>
          <w:rtl/>
        </w:rPr>
        <w:t>ب</w:t>
      </w:r>
      <w:r w:rsidR="000F7FCA" w:rsidRPr="002D6AEA">
        <w:rPr>
          <w:rFonts w:cs="Simplified Arabic"/>
          <w:sz w:val="30"/>
          <w:szCs w:val="30"/>
        </w:rPr>
        <w:t xml:space="preserve"> 4,8%</w:t>
      </w:r>
      <w:r w:rsidR="000F7FCA" w:rsidRPr="002D6AEA">
        <w:rPr>
          <w:rFonts w:cs="Simplified Arabic" w:hint="cs"/>
          <w:sz w:val="30"/>
          <w:szCs w:val="30"/>
          <w:rtl/>
        </w:rPr>
        <w:t>وفي</w:t>
      </w:r>
      <w:r w:rsidR="00683BD7">
        <w:rPr>
          <w:rFonts w:cs="Simplified Arabic"/>
          <w:sz w:val="30"/>
          <w:szCs w:val="30"/>
        </w:rPr>
        <w:t xml:space="preserve"> </w:t>
      </w:r>
      <w:r w:rsidR="000F7FCA" w:rsidRPr="002D6AEA">
        <w:rPr>
          <w:rFonts w:cs="Simplified Arabic" w:hint="cs"/>
          <w:sz w:val="30"/>
          <w:szCs w:val="30"/>
          <w:rtl/>
        </w:rPr>
        <w:t>"</w:t>
      </w:r>
      <w:r w:rsidR="000F7FCA" w:rsidRPr="002D6AEA">
        <w:rPr>
          <w:rFonts w:cs="Simplified Arabic"/>
          <w:sz w:val="30"/>
          <w:szCs w:val="30"/>
          <w:rtl/>
        </w:rPr>
        <w:t>المواد الخام من أصل معدني</w:t>
      </w:r>
      <w:r w:rsidR="000F7FCA" w:rsidRPr="002D6AEA">
        <w:rPr>
          <w:rFonts w:cs="Simplified Arabic" w:hint="cs"/>
          <w:sz w:val="30"/>
          <w:szCs w:val="30"/>
          <w:rtl/>
        </w:rPr>
        <w:t>"</w:t>
      </w:r>
      <w:r w:rsidR="000F7FCA" w:rsidRPr="002D6AEA">
        <w:rPr>
          <w:rFonts w:cs="Simplified Arabic"/>
          <w:sz w:val="30"/>
          <w:szCs w:val="30"/>
        </w:rPr>
        <w:t xml:space="preserve"> </w:t>
      </w:r>
      <w:r w:rsidR="000F7FCA" w:rsidRPr="002D6AEA">
        <w:rPr>
          <w:rFonts w:cs="Simplified Arabic"/>
          <w:sz w:val="30"/>
          <w:szCs w:val="30"/>
          <w:rtl/>
        </w:rPr>
        <w:t>ب</w:t>
      </w:r>
      <w:r w:rsidR="000F7FCA" w:rsidRPr="002D6AEA">
        <w:rPr>
          <w:rFonts w:cs="Simplified Arabic"/>
          <w:sz w:val="30"/>
          <w:szCs w:val="30"/>
        </w:rPr>
        <w:t xml:space="preserve"> 12,5%</w:t>
      </w:r>
      <w:r w:rsidR="000F7FCA" w:rsidRPr="002D6AEA">
        <w:rPr>
          <w:rFonts w:cs="Simplified Arabic" w:hint="cs"/>
          <w:sz w:val="30"/>
          <w:szCs w:val="30"/>
          <w:rtl/>
        </w:rPr>
        <w:t>وفي</w:t>
      </w:r>
      <w:r w:rsidR="00D70706" w:rsidRPr="002D6AEA">
        <w:rPr>
          <w:rFonts w:cs="Simplified Arabic" w:hint="cs"/>
          <w:sz w:val="30"/>
          <w:szCs w:val="30"/>
          <w:rtl/>
        </w:rPr>
        <w:t xml:space="preserve"> </w:t>
      </w:r>
      <w:r w:rsidR="00473562" w:rsidRPr="002D6AEA">
        <w:rPr>
          <w:rFonts w:cs="Simplified Arabic"/>
          <w:sz w:val="30"/>
          <w:szCs w:val="30"/>
          <w:rtl/>
        </w:rPr>
        <w:t>"مواد التجهيز الصناعية"</w:t>
      </w:r>
      <w:r w:rsidR="00473562" w:rsidRPr="002D6AEA">
        <w:rPr>
          <w:rFonts w:cs="Simplified Arabic"/>
          <w:sz w:val="30"/>
          <w:szCs w:val="30"/>
        </w:rPr>
        <w:t xml:space="preserve"> </w:t>
      </w:r>
      <w:r w:rsidR="00473562" w:rsidRPr="002D6AEA">
        <w:rPr>
          <w:rFonts w:cs="Simplified Arabic"/>
          <w:sz w:val="30"/>
          <w:szCs w:val="30"/>
          <w:rtl/>
        </w:rPr>
        <w:t>ب</w:t>
      </w:r>
      <w:r w:rsidR="000F7FCA" w:rsidRPr="002D6AEA">
        <w:rPr>
          <w:rFonts w:cs="Simplified Arabic"/>
          <w:sz w:val="30"/>
          <w:szCs w:val="30"/>
        </w:rPr>
        <w:t>2,2</w:t>
      </w:r>
      <w:r w:rsidR="00473562" w:rsidRPr="002D6AEA">
        <w:rPr>
          <w:rFonts w:cs="Simplified Arabic"/>
          <w:sz w:val="30"/>
          <w:szCs w:val="30"/>
        </w:rPr>
        <w:t>%</w:t>
      </w:r>
      <w:r w:rsidR="001656EA" w:rsidRPr="002D6AEA">
        <w:rPr>
          <w:rFonts w:cs="Simplified Arabic" w:hint="cs"/>
          <w:sz w:val="30"/>
          <w:szCs w:val="30"/>
          <w:rtl/>
        </w:rPr>
        <w:t xml:space="preserve"> </w:t>
      </w:r>
      <w:r w:rsidR="001656EA" w:rsidRPr="002D6AEA">
        <w:rPr>
          <w:rFonts w:cs="Simplified Arabic"/>
          <w:sz w:val="30"/>
          <w:szCs w:val="30"/>
          <w:rtl/>
        </w:rPr>
        <w:t>و</w:t>
      </w:r>
      <w:r w:rsidR="001656EA" w:rsidRPr="002D6AEA">
        <w:rPr>
          <w:rFonts w:cs="Simplified Arabic" w:hint="cs"/>
          <w:sz w:val="30"/>
          <w:szCs w:val="30"/>
          <w:rtl/>
        </w:rPr>
        <w:t>في</w:t>
      </w:r>
      <w:r w:rsidR="00E119B9" w:rsidRPr="002D6AEA">
        <w:rPr>
          <w:rFonts w:cs="Simplified Arabic"/>
          <w:sz w:val="30"/>
          <w:szCs w:val="30"/>
          <w:rtl/>
        </w:rPr>
        <w:t>"</w:t>
      </w:r>
      <w:r w:rsidR="001656EA" w:rsidRPr="002D6AEA">
        <w:rPr>
          <w:rFonts w:cs="Simplified Arabic"/>
          <w:sz w:val="30"/>
          <w:szCs w:val="30"/>
          <w:rtl/>
        </w:rPr>
        <w:t xml:space="preserve">مواد الاستهلاك" </w:t>
      </w:r>
      <w:r w:rsidR="001656EA" w:rsidRPr="002D6AEA">
        <w:rPr>
          <w:rFonts w:cs="Simplified Arabic" w:hint="cs"/>
          <w:sz w:val="30"/>
          <w:szCs w:val="30"/>
          <w:rtl/>
        </w:rPr>
        <w:t xml:space="preserve">ب </w:t>
      </w:r>
      <w:r w:rsidR="001656EA" w:rsidRPr="002D6AEA">
        <w:rPr>
          <w:rFonts w:cs="Simplified Arabic"/>
          <w:sz w:val="30"/>
          <w:szCs w:val="30"/>
        </w:rPr>
        <w:t>0,5%</w:t>
      </w:r>
      <w:r w:rsidR="00FE4AEF" w:rsidRPr="002D6AEA">
        <w:rPr>
          <w:rFonts w:cs="Simplified Arabic" w:hint="cs"/>
          <w:sz w:val="30"/>
          <w:szCs w:val="30"/>
          <w:rtl/>
        </w:rPr>
        <w:t xml:space="preserve"> </w:t>
      </w:r>
      <w:r w:rsidR="00CC2E13" w:rsidRPr="002D6AEA">
        <w:rPr>
          <w:rFonts w:cs="Simplified Arabic"/>
          <w:sz w:val="30"/>
          <w:szCs w:val="30"/>
          <w:rtl/>
        </w:rPr>
        <w:t>وفي</w:t>
      </w:r>
      <w:r w:rsidR="00CC2E13" w:rsidRPr="002D6AEA">
        <w:rPr>
          <w:rFonts w:cs="Simplified Arabic" w:hint="cs"/>
          <w:sz w:val="30"/>
          <w:szCs w:val="30"/>
          <w:rtl/>
        </w:rPr>
        <w:t xml:space="preserve"> </w:t>
      </w:r>
      <w:r w:rsidR="00CC2E13" w:rsidRPr="002D6AEA">
        <w:rPr>
          <w:rFonts w:cs="Simplified Arabic"/>
          <w:sz w:val="30"/>
          <w:szCs w:val="30"/>
          <w:rtl/>
        </w:rPr>
        <w:t>"المواد الخام من أصل حيواني ونباتي</w:t>
      </w:r>
      <w:r w:rsidR="00CC2E13" w:rsidRPr="002D6AEA">
        <w:rPr>
          <w:rFonts w:cs="Simplified Arabic" w:hint="cs"/>
          <w:sz w:val="30"/>
          <w:szCs w:val="30"/>
          <w:rtl/>
        </w:rPr>
        <w:t>" ب</w:t>
      </w:r>
      <w:r w:rsidR="00CC2E13" w:rsidRPr="002D6AEA">
        <w:rPr>
          <w:rFonts w:ascii="Simplified Arabic" w:hAnsi="Simplified Arabic" w:cs="Simplified Arabic"/>
          <w:sz w:val="30"/>
          <w:szCs w:val="30"/>
        </w:rPr>
        <w:t>11,2%</w:t>
      </w:r>
      <w:r w:rsidR="00737494" w:rsidRPr="002D6AEA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E4AEF" w:rsidRPr="002D6AEA">
        <w:rPr>
          <w:rFonts w:ascii="Simplified Arabic" w:hAnsi="Simplified Arabic" w:cs="Simplified Arabic"/>
          <w:sz w:val="30"/>
          <w:szCs w:val="30"/>
          <w:rtl/>
        </w:rPr>
        <w:t>و</w:t>
      </w:r>
      <w:r w:rsidR="009A4196" w:rsidRPr="002D6AEA">
        <w:rPr>
          <w:rFonts w:ascii="Simplified Arabic" w:hAnsi="Simplified Arabic" w:cs="Simplified Arabic" w:hint="cs"/>
          <w:sz w:val="30"/>
          <w:szCs w:val="30"/>
          <w:rtl/>
        </w:rPr>
        <w:t xml:space="preserve">في </w:t>
      </w:r>
      <w:r w:rsidR="00FE4AEF" w:rsidRPr="002D6AEA">
        <w:rPr>
          <w:rFonts w:ascii="Simplified Arabic" w:hAnsi="Simplified Arabic" w:cs="Simplified Arabic"/>
          <w:sz w:val="30"/>
          <w:szCs w:val="30"/>
          <w:rtl/>
        </w:rPr>
        <w:t>"مواد التجهيز الفلاحية"</w:t>
      </w:r>
      <w:r w:rsidR="00FE4AEF" w:rsidRPr="002D6AEA">
        <w:rPr>
          <w:rFonts w:ascii="Simplified Arabic" w:hAnsi="Simplified Arabic" w:cs="Simplified Arabic" w:hint="cs"/>
          <w:sz w:val="30"/>
          <w:szCs w:val="30"/>
          <w:rtl/>
        </w:rPr>
        <w:t xml:space="preserve"> ب</w:t>
      </w:r>
      <w:r w:rsidR="00FE4AEF" w:rsidRPr="002D6AEA">
        <w:rPr>
          <w:rFonts w:ascii="Simplified Arabic" w:hAnsi="Simplified Arabic" w:cs="Simplified Arabic"/>
          <w:sz w:val="30"/>
          <w:szCs w:val="30"/>
        </w:rPr>
        <w:t>11,0%</w:t>
      </w:r>
      <w:r w:rsidR="00FE4AEF" w:rsidRPr="002D6AEA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2D6AEA" w:rsidRDefault="002D6AEA" w:rsidP="002D6AEA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cs="Simplified Arabic"/>
          <w:sz w:val="32"/>
          <w:szCs w:val="32"/>
          <w:lang w:bidi="ar-MA"/>
        </w:rPr>
      </w:pPr>
    </w:p>
    <w:p w:rsidR="002340BA" w:rsidRPr="002D6AEA" w:rsidRDefault="002340BA" w:rsidP="002340BA">
      <w:pPr>
        <w:jc w:val="center"/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</w:pPr>
      <w:r w:rsidRPr="002D6AEA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lastRenderedPageBreak/>
        <w:t>ال</w:t>
      </w:r>
      <w:r w:rsidRPr="002D6AE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أ</w:t>
      </w:r>
      <w:r w:rsidRPr="002D6AEA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رق</w:t>
      </w:r>
      <w:r w:rsidRPr="002D6AE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</w:t>
      </w:r>
      <w:r w:rsidRPr="002D6AEA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م الاستدلالي</w:t>
      </w:r>
      <w:r w:rsidRPr="002D6AE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ة للتجارة الخارجية</w:t>
      </w:r>
    </w:p>
    <w:p w:rsidR="00637952" w:rsidRPr="00A803BB" w:rsidRDefault="00637952" w:rsidP="00637952">
      <w:pPr>
        <w:bidi/>
        <w:ind w:firstLine="141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803B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637952" w:rsidRPr="00D3424B" w:rsidRDefault="00637952" w:rsidP="002340BA">
      <w:pPr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6F3A6D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8"/>
        <w:gridCol w:w="1985"/>
        <w:gridCol w:w="1843"/>
        <w:gridCol w:w="4110"/>
      </w:tblGrid>
      <w:tr w:rsidR="002340BA" w:rsidRPr="00C942EC" w:rsidTr="00E308DE">
        <w:trPr>
          <w:trHeight w:val="88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340BA" w:rsidRPr="00E8735C" w:rsidRDefault="002340BA" w:rsidP="0030554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="00DA4C75" w:rsidRPr="00C31FA9">
              <w:rPr>
                <w:b/>
                <w:bCs/>
                <w:rtl/>
              </w:rPr>
              <w:t>الثالث</w:t>
            </w:r>
          </w:p>
          <w:p w:rsidR="002340BA" w:rsidRPr="00E8735C" w:rsidRDefault="002340BA" w:rsidP="007D1F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A4C7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2340BA" w:rsidRPr="00E8735C" w:rsidRDefault="002340BA" w:rsidP="002340B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340BA" w:rsidRPr="00E8735C" w:rsidRDefault="002340BA" w:rsidP="0030554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الفصل </w:t>
            </w:r>
            <w:r w:rsidR="00DA4C75" w:rsidRPr="00C31FA9">
              <w:rPr>
                <w:b/>
                <w:bCs/>
                <w:rtl/>
              </w:rPr>
              <w:t>الثالث</w:t>
            </w:r>
          </w:p>
          <w:p w:rsidR="002340BA" w:rsidRPr="00E8735C" w:rsidRDefault="002340BA" w:rsidP="007D1F2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735C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A4C7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2340BA" w:rsidRPr="00E8735C" w:rsidRDefault="002340BA" w:rsidP="001416EB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8735C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الواردات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-13,1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-7,3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63,9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8735C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 w:rsidRPr="00E8735C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873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-4,8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-11,2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184,2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-12,5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138,9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8735C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Pr="00C31FA9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M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  <w:lang w:val="fr-MA"/>
              </w:rPr>
              <w:t>,0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6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122,3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7</w:t>
            </w:r>
            <w:r w:rsidRPr="00E8735C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DA4C75" w:rsidRPr="00C86913" w:rsidTr="00E308DE">
        <w:trPr>
          <w:trHeight w:val="379"/>
        </w:trPr>
        <w:tc>
          <w:tcPr>
            <w:tcW w:w="1418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84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DA4C75" w:rsidRDefault="00DA4C75" w:rsidP="00DA4C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41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DA4C75" w:rsidRPr="00E8735C" w:rsidRDefault="00DA4C75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8735C">
              <w:rPr>
                <w:rFonts w:ascii="Arial" w:hAnsi="Arial" w:cs="Arial" w:hint="cs"/>
                <w:color w:val="000000"/>
                <w:rtl/>
              </w:rPr>
              <w:t>8 -</w:t>
            </w:r>
            <w:r w:rsidRPr="00E8735C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E308DE" w:rsidRDefault="00E308DE" w:rsidP="00E308DE">
      <w:pPr>
        <w:pStyle w:val="Corpsdetexte"/>
        <w:bidi/>
        <w:jc w:val="lowKashida"/>
        <w:rPr>
          <w:rFonts w:cs="Arial"/>
          <w:b/>
          <w:bCs/>
          <w:u w:val="single"/>
          <w:lang w:bidi="ar-MA"/>
        </w:rPr>
      </w:pPr>
    </w:p>
    <w:p w:rsidR="006756CF" w:rsidRPr="00E308DE" w:rsidRDefault="00E308DE" w:rsidP="00E308DE">
      <w:pPr>
        <w:pStyle w:val="Corpsdetexte"/>
        <w:bidi/>
        <w:jc w:val="left"/>
        <w:rPr>
          <w:rFonts w:cs="Arial"/>
          <w:b/>
          <w:bCs/>
          <w:u w:val="single"/>
          <w:lang w:val="fr-FR"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  <w:r w:rsidR="00231CF5">
        <w:rPr>
          <w:rFonts w:cs="Arial" w:hint="cs"/>
          <w:b/>
          <w:bCs/>
          <w:color w:val="632423"/>
          <w:rtl/>
          <w:lang w:val="fr-FR" w:bidi="ar-MA"/>
        </w:rPr>
        <w:t>.</w:t>
      </w:r>
      <w:r>
        <w:rPr>
          <w:rFonts w:cs="Arial"/>
          <w:b/>
          <w:bCs/>
          <w:color w:val="632423"/>
          <w:lang w:val="fr-FR" w:bidi="ar-MA"/>
        </w:rPr>
        <w:t xml:space="preserve"> </w:t>
      </w:r>
    </w:p>
    <w:p w:rsidR="002340BA" w:rsidRPr="00E308DE" w:rsidRDefault="002340BA" w:rsidP="006756CF">
      <w:pPr>
        <w:bidi/>
        <w:ind w:firstLine="141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2340BA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D3424B" w:rsidRDefault="00D3424B" w:rsidP="006F4DB4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231CF5" w:rsidRDefault="00231CF5" w:rsidP="00231CF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231CF5" w:rsidRDefault="00231CF5" w:rsidP="00231CF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231CF5" w:rsidRDefault="00231CF5" w:rsidP="00231CF5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7D1F2D" w:rsidRPr="00CE5502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</w:pPr>
      <w:r w:rsidRPr="00CE550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lastRenderedPageBreak/>
        <w:t xml:space="preserve">الأرقام </w:t>
      </w:r>
      <w:r w:rsidRPr="00CE550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الاستدلالية</w:t>
      </w:r>
      <w:r w:rsidRPr="00CE550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للتجارة الخارجية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E46A2F" w:rsidP="00C31FA9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  <w:r w:rsidR="004962B3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بالفصل </w:t>
      </w:r>
      <w:r w:rsidR="00C31FA9" w:rsidRPr="00C31FA9">
        <w:rPr>
          <w:rFonts w:cs="Arial"/>
          <w:b/>
          <w:bCs/>
          <w:sz w:val="28"/>
          <w:szCs w:val="28"/>
          <w:rtl/>
          <w:lang w:bidi="ar-MA"/>
        </w:rPr>
        <w:t xml:space="preserve">الثالث 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>من سنة</w:t>
      </w:r>
      <w:r w:rsidR="00C31FA9">
        <w:rPr>
          <w:rFonts w:cs="Arial"/>
          <w:b/>
          <w:bCs/>
          <w:sz w:val="28"/>
          <w:szCs w:val="28"/>
          <w:lang w:bidi="ar-MA"/>
        </w:rPr>
        <w:t xml:space="preserve">2024 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tbl>
      <w:tblPr>
        <w:tblW w:w="90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1701"/>
        <w:gridCol w:w="1985"/>
        <w:gridCol w:w="3646"/>
      </w:tblGrid>
      <w:tr w:rsidR="00C9187F" w:rsidRPr="00C942EC" w:rsidTr="00C31FA9">
        <w:trPr>
          <w:trHeight w:val="814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31FA9" w:rsidRPr="00EA1267" w:rsidRDefault="00C31FA9" w:rsidP="00C31FA9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C31FA9" w:rsidRPr="00EA1267" w:rsidRDefault="00C31FA9" w:rsidP="00C31FA9">
            <w:pPr>
              <w:jc w:val="center"/>
              <w:rPr>
                <w:rFonts w:ascii="Arial" w:hAnsi="Arial" w:cs="Arial"/>
                <w:b/>
                <w:bCs/>
              </w:rPr>
            </w:pPr>
            <w:r w:rsidRPr="00C31FA9">
              <w:rPr>
                <w:rStyle w:val="lev"/>
                <w:rtl/>
              </w:rPr>
              <w:t>شتنبر</w:t>
            </w:r>
          </w:p>
          <w:p w:rsidR="00C9187F" w:rsidRPr="00EA1267" w:rsidRDefault="00C31FA9" w:rsidP="00C31FA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C9187F" w:rsidRPr="00EA1267" w:rsidRDefault="00C9187F" w:rsidP="00C31FA9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E729B4" w:rsidRDefault="00E729B4" w:rsidP="00C31FA9">
            <w:pPr>
              <w:jc w:val="center"/>
              <w:rPr>
                <w:rtl/>
              </w:rPr>
            </w:pPr>
            <w:r>
              <w:rPr>
                <w:rStyle w:val="lev"/>
                <w:rtl/>
              </w:rPr>
              <w:t>غشت</w:t>
            </w:r>
          </w:p>
          <w:p w:rsidR="00C9187F" w:rsidRPr="00EA1267" w:rsidRDefault="00C9187F" w:rsidP="00C31F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 w:rsidR="00E729B4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985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C31FA9" w:rsidRPr="00EA1267" w:rsidRDefault="00C31FA9" w:rsidP="00C31FA9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C31FA9" w:rsidRDefault="00C31FA9" w:rsidP="00C31F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31FA9">
              <w:rPr>
                <w:rFonts w:ascii="Arial" w:hAnsi="Arial" w:cs="Arial"/>
                <w:b/>
                <w:bCs/>
                <w:rtl/>
              </w:rPr>
              <w:t>يوليوز</w:t>
            </w:r>
          </w:p>
          <w:p w:rsidR="00E729B4" w:rsidRPr="00E729B4" w:rsidRDefault="00C31FA9" w:rsidP="00C31FA9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C9187F" w:rsidRPr="00EA1267" w:rsidRDefault="00C9187F" w:rsidP="00B345A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6E73D2" w:rsidRPr="00C86913" w:rsidTr="00C31FA9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Pr="00C31FA9" w:rsidRDefault="006E73D2" w:rsidP="00C31F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Pr="00C31FA9" w:rsidRDefault="006E73D2" w:rsidP="00C31F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Pr="00C31FA9" w:rsidRDefault="006E73D2" w:rsidP="00C31F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132,2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117,7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6E73D2" w:rsidRPr="00C86913" w:rsidTr="00C31FA9">
        <w:trPr>
          <w:trHeight w:val="379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Pr="00C31FA9" w:rsidRDefault="006E73D2" w:rsidP="00C31F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Pr="00C31FA9" w:rsidRDefault="006E73D2" w:rsidP="00C31F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Pr="00C31FA9" w:rsidRDefault="006E73D2" w:rsidP="00C31F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1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185,5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181,4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115,6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107,7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6E73D2" w:rsidRPr="00C86913" w:rsidTr="00C31FA9">
        <w:trPr>
          <w:trHeight w:val="482"/>
        </w:trPr>
        <w:tc>
          <w:tcPr>
            <w:tcW w:w="17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  <w:r w:rsidR="00C31FA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6E73D2" w:rsidRDefault="006E73D2" w:rsidP="00C31F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3646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6E73D2" w:rsidRPr="00EA1267" w:rsidRDefault="006E73D2" w:rsidP="006E73D2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Pr="00E8129E" w:rsidRDefault="00E8129E" w:rsidP="008A6A53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  <w:r w:rsidRPr="00717BC7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717BC7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Pr="00717BC7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sz w:val="20"/>
          <w:szCs w:val="20"/>
          <w:lang w:bidi="ar-MA"/>
        </w:rPr>
        <w:t xml:space="preserve">                                                                                         </w:t>
      </w:r>
      <w:r w:rsidR="008A6A53">
        <w:rPr>
          <w:rFonts w:cs="Arial"/>
          <w:b/>
          <w:bCs/>
          <w:color w:val="632423"/>
          <w:sz w:val="20"/>
          <w:szCs w:val="20"/>
          <w:lang w:bidi="ar-MA"/>
        </w:rPr>
        <w:t xml:space="preserve">                           </w:t>
      </w:r>
      <w:r w:rsidR="00462963">
        <w:rPr>
          <w:rFonts w:cs="Arial"/>
          <w:b/>
          <w:bCs/>
          <w:color w:val="632423"/>
          <w:sz w:val="20"/>
          <w:szCs w:val="20"/>
          <w:lang w:bidi="ar-MA"/>
        </w:rPr>
        <w:t xml:space="preserve"> .</w:t>
      </w: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6F4DB4" w:rsidRDefault="006F4DB4" w:rsidP="006F4DB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Default="007D1F2D" w:rsidP="00E8129E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314DA7" w:rsidRDefault="00314DA7" w:rsidP="00314DA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314DA7" w:rsidRDefault="00314DA7" w:rsidP="00314DA7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7D1F2D" w:rsidRPr="00D3424B" w:rsidRDefault="007D1F2D" w:rsidP="007D1F2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lang w:bidi="ar-MA"/>
        </w:rPr>
      </w:pPr>
    </w:p>
    <w:p w:rsidR="002340BA" w:rsidRPr="00CE5502" w:rsidRDefault="002340BA" w:rsidP="006756C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</w:pPr>
      <w:r w:rsidRPr="00CE550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lastRenderedPageBreak/>
        <w:t xml:space="preserve">الأرقام </w:t>
      </w:r>
      <w:r w:rsidRPr="00CE5502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الاستدلالية</w:t>
      </w:r>
      <w:r w:rsidRPr="00CE5502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للتجارة الخارجية</w:t>
      </w:r>
    </w:p>
    <w:p w:rsidR="006B27D4" w:rsidRDefault="006B27D4" w:rsidP="006B27D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rtl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377C57" w:rsidRPr="00125FED" w:rsidRDefault="00377C57" w:rsidP="00377C5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rtl/>
          <w:lang w:bidi="ar-MA"/>
        </w:rPr>
      </w:pPr>
    </w:p>
    <w:p w:rsidR="00717BC7" w:rsidRDefault="006756CF" w:rsidP="00A92B2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pPr w:leftFromText="141" w:rightFromText="141" w:vertAnchor="text" w:horzAnchor="margin" w:tblpXSpec="center" w:tblpY="33"/>
        <w:tblW w:w="8079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717BC7" w:rsidRPr="008017B4" w:rsidTr="00717BC7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717BC7" w:rsidRPr="00EA126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17BC7" w:rsidRPr="00EA1267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shd w:val="clear" w:color="auto" w:fill="auto"/>
            <w:noWrap/>
            <w:vAlign w:val="bottom"/>
          </w:tcPr>
          <w:p w:rsidR="00717BC7" w:rsidRPr="008017B4" w:rsidRDefault="00717BC7" w:rsidP="00717BC7">
            <w:pPr>
              <w:rPr>
                <w:sz w:val="20"/>
                <w:szCs w:val="20"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 w:rsidRPr="006756CF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BC7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717BC7" w:rsidRPr="006756CF" w:rsidRDefault="00717BC7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1FA9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31FA9" w:rsidRPr="006756CF" w:rsidRDefault="00C31FA9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31FA9" w:rsidRPr="006756CF" w:rsidRDefault="00C31FA9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31FA9" w:rsidRPr="006756CF" w:rsidRDefault="00C31FA9" w:rsidP="00717BC7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C31FA9" w:rsidRPr="006756CF" w:rsidRDefault="00C31FA9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C31FA9" w:rsidRPr="008017B4" w:rsidTr="00717BC7">
        <w:trPr>
          <w:trHeight w:val="397"/>
        </w:trPr>
        <w:tc>
          <w:tcPr>
            <w:tcW w:w="2409" w:type="dxa"/>
            <w:shd w:val="clear" w:color="auto" w:fill="auto"/>
            <w:noWrap/>
            <w:vAlign w:val="center"/>
          </w:tcPr>
          <w:p w:rsidR="00C31FA9" w:rsidRDefault="00C31FA9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C31FA9" w:rsidRDefault="00C31FA9" w:rsidP="00717BC7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C31FA9" w:rsidRPr="006756CF" w:rsidRDefault="00C31FA9" w:rsidP="00717BC7">
            <w:pPr>
              <w:bidi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</w:pPr>
            <w:r w:rsidRPr="00717BC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31FA9" w:rsidRDefault="00C31FA9" w:rsidP="00717BC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2B2A" w:rsidRPr="008017B4" w:rsidTr="00305484">
        <w:trPr>
          <w:trHeight w:val="397"/>
        </w:trPr>
        <w:tc>
          <w:tcPr>
            <w:tcW w:w="2409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A92B2A" w:rsidRPr="006756CF" w:rsidRDefault="00A92B2A" w:rsidP="00A92B2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92B2A" w:rsidRDefault="00A92B2A" w:rsidP="00A92B2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2B2A" w:rsidRPr="008017B4" w:rsidTr="00305484">
        <w:trPr>
          <w:trHeight w:val="397"/>
        </w:trPr>
        <w:tc>
          <w:tcPr>
            <w:tcW w:w="2409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A92B2A" w:rsidRPr="006756CF" w:rsidRDefault="00A92B2A" w:rsidP="00A92B2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92B2A" w:rsidRDefault="00A92B2A" w:rsidP="00A92B2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2B2A" w:rsidRPr="008017B4" w:rsidTr="00305484">
        <w:trPr>
          <w:trHeight w:val="397"/>
        </w:trPr>
        <w:tc>
          <w:tcPr>
            <w:tcW w:w="2409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A92B2A" w:rsidRPr="006756CF" w:rsidRDefault="00A92B2A" w:rsidP="00A92B2A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92B2A" w:rsidRDefault="00A92B2A" w:rsidP="00A92B2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A92B2A" w:rsidRPr="008017B4" w:rsidTr="00305484">
        <w:trPr>
          <w:trHeight w:val="397"/>
        </w:trPr>
        <w:tc>
          <w:tcPr>
            <w:tcW w:w="2409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A92B2A" w:rsidRPr="006756CF" w:rsidRDefault="00A92B2A" w:rsidP="00A92B2A">
            <w:pPr>
              <w:bidi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</w:pPr>
            <w:r w:rsidRPr="00717BC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92B2A" w:rsidRDefault="00A92B2A" w:rsidP="00A92B2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2B2A" w:rsidRPr="008017B4" w:rsidTr="00305484">
        <w:trPr>
          <w:trHeight w:val="397"/>
        </w:trPr>
        <w:tc>
          <w:tcPr>
            <w:tcW w:w="2409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A92B2A" w:rsidRPr="00A92B2A" w:rsidRDefault="00A92B2A" w:rsidP="00A92B2A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A92B2A"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A92B2A" w:rsidRPr="006756CF" w:rsidRDefault="00A92B2A" w:rsidP="00A92B2A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92B2A" w:rsidRDefault="00A92B2A" w:rsidP="00A92B2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C393C" w:rsidRPr="00EF6162" w:rsidRDefault="00B82D65" w:rsidP="00611B63">
      <w:pPr>
        <w:bidi/>
        <w:spacing w:line="320" w:lineRule="exact"/>
        <w:rPr>
          <w:rFonts w:cs="Arial"/>
          <w:b/>
          <w:bCs/>
          <w:color w:val="632423"/>
          <w:sz w:val="20"/>
          <w:szCs w:val="20"/>
          <w:lang w:bidi="ar-MA"/>
        </w:rPr>
      </w:pPr>
      <w:r>
        <w:rPr>
          <w:rFonts w:cs="Arial"/>
          <w:b/>
          <w:bCs/>
          <w:noProof/>
          <w:sz w:val="20"/>
          <w:szCs w:val="20"/>
          <w:u w:val="single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3738880</wp:posOffset>
            </wp:positionV>
            <wp:extent cx="5797550" cy="3441065"/>
            <wp:effectExtent l="0" t="0" r="0" b="635"/>
            <wp:wrapTight wrapText="bothSides">
              <wp:wrapPolygon edited="0">
                <wp:start x="45" y="143"/>
                <wp:lineTo x="66" y="21421"/>
                <wp:lineTo x="21489" y="21421"/>
                <wp:lineTo x="21510" y="143"/>
                <wp:lineTo x="45" y="143"/>
              </wp:wrapPolygon>
            </wp:wrapTight>
            <wp:docPr id="12" name="Obje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3C393C" w:rsidRPr="003C393C">
        <w:rPr>
          <w:rFonts w:cs="Arial"/>
          <w:b/>
          <w:bCs/>
          <w:sz w:val="20"/>
          <w:szCs w:val="20"/>
          <w:lang w:bidi="ar-MA"/>
        </w:rPr>
        <w:t xml:space="preserve">        </w:t>
      </w:r>
      <w:r w:rsidR="00717BC7" w:rsidRPr="003C393C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717BC7" w:rsidRPr="00717BC7">
        <w:rPr>
          <w:rFonts w:cs="Arial" w:hint="cs"/>
          <w:b/>
          <w:bCs/>
          <w:sz w:val="20"/>
          <w:szCs w:val="20"/>
          <w:rtl/>
          <w:lang w:bidi="ar-MA"/>
        </w:rPr>
        <w:t xml:space="preserve">: </w:t>
      </w:r>
      <w:r w:rsidR="00717BC7" w:rsidRPr="00717BC7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</w:t>
      </w:r>
      <w:r w:rsidR="003C393C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>ئية</w:t>
      </w:r>
      <w:r w:rsidR="00EF6162"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p w:rsidR="00717BC7" w:rsidRPr="00EF6162" w:rsidRDefault="00CB6367" w:rsidP="0032357A">
      <w:pPr>
        <w:pStyle w:val="Corpsdetexte"/>
        <w:bidi/>
        <w:spacing w:line="320" w:lineRule="exact"/>
        <w:jc w:val="left"/>
        <w:rPr>
          <w:rFonts w:cs="Arial"/>
          <w:b/>
          <w:bCs/>
          <w:sz w:val="20"/>
          <w:szCs w:val="20"/>
          <w:lang w:val="fr-FR" w:bidi="ar-MA"/>
        </w:rPr>
      </w:pPr>
      <w:r w:rsidRPr="00CB6367">
        <w:rPr>
          <w:rFonts w:cs="Arial" w:hint="cs"/>
          <w:b/>
          <w:bCs/>
          <w:sz w:val="20"/>
          <w:szCs w:val="20"/>
          <w:rtl/>
          <w:lang w:bidi="ar-MA"/>
        </w:rPr>
        <w:t xml:space="preserve">      </w:t>
      </w:r>
      <w:r w:rsidR="001B2D4B" w:rsidRPr="00CB6367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1B2D4B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1B2D4B">
        <w:rPr>
          <w:rFonts w:cs="Arial" w:hint="cs"/>
          <w:b/>
          <w:bCs/>
          <w:sz w:val="20"/>
          <w:szCs w:val="20"/>
          <w:rtl/>
          <w:lang w:bidi="ar-MA"/>
        </w:rPr>
        <w:t xml:space="preserve"> </w:t>
      </w:r>
      <w:r w:rsidR="001B2D4B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="00EF6162">
        <w:rPr>
          <w:rFonts w:cs="Arial"/>
          <w:b/>
          <w:bCs/>
          <w:color w:val="632423"/>
          <w:sz w:val="20"/>
          <w:szCs w:val="20"/>
          <w:lang w:val="fr-FR" w:bidi="ar-MA"/>
        </w:rPr>
        <w:t>.</w:t>
      </w:r>
    </w:p>
    <w:sectPr w:rsidR="00717BC7" w:rsidRPr="00EF6162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057" w:rsidRDefault="00036057">
      <w:r>
        <w:separator/>
      </w:r>
    </w:p>
  </w:endnote>
  <w:endnote w:type="continuationSeparator" w:id="1">
    <w:p w:rsidR="00036057" w:rsidRDefault="00036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170F8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170F8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82D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82D65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E8735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057" w:rsidRDefault="00036057">
      <w:r>
        <w:separator/>
      </w:r>
    </w:p>
  </w:footnote>
  <w:footnote w:type="continuationSeparator" w:id="1">
    <w:p w:rsidR="00036057" w:rsidRDefault="00036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B82D65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-474980</wp:posOffset>
          </wp:positionV>
          <wp:extent cx="8702675" cy="5038725"/>
          <wp:effectExtent l="19050" t="0" r="3175" b="0"/>
          <wp:wrapNone/>
          <wp:docPr id="7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36057"/>
    <w:rsid w:val="00050A6E"/>
    <w:rsid w:val="0005266F"/>
    <w:rsid w:val="00053619"/>
    <w:rsid w:val="000554EE"/>
    <w:rsid w:val="00056810"/>
    <w:rsid w:val="00060321"/>
    <w:rsid w:val="00061BA9"/>
    <w:rsid w:val="00062A6A"/>
    <w:rsid w:val="00064386"/>
    <w:rsid w:val="0006553F"/>
    <w:rsid w:val="00065DCD"/>
    <w:rsid w:val="00070037"/>
    <w:rsid w:val="00081BE5"/>
    <w:rsid w:val="00085E86"/>
    <w:rsid w:val="000A3BE9"/>
    <w:rsid w:val="000A4F68"/>
    <w:rsid w:val="000B0810"/>
    <w:rsid w:val="000B2A3E"/>
    <w:rsid w:val="000B546E"/>
    <w:rsid w:val="000B6EA6"/>
    <w:rsid w:val="000C5E54"/>
    <w:rsid w:val="000C7682"/>
    <w:rsid w:val="000D25AF"/>
    <w:rsid w:val="000E21D3"/>
    <w:rsid w:val="000E6C5D"/>
    <w:rsid w:val="000E7503"/>
    <w:rsid w:val="000F408A"/>
    <w:rsid w:val="000F7FCA"/>
    <w:rsid w:val="00100AF5"/>
    <w:rsid w:val="00105996"/>
    <w:rsid w:val="001063C7"/>
    <w:rsid w:val="00107113"/>
    <w:rsid w:val="001107F1"/>
    <w:rsid w:val="00111163"/>
    <w:rsid w:val="00114C7E"/>
    <w:rsid w:val="00116B4A"/>
    <w:rsid w:val="00120AF1"/>
    <w:rsid w:val="001217AF"/>
    <w:rsid w:val="0012265F"/>
    <w:rsid w:val="00125FED"/>
    <w:rsid w:val="00137652"/>
    <w:rsid w:val="001379C2"/>
    <w:rsid w:val="001416EB"/>
    <w:rsid w:val="001437B0"/>
    <w:rsid w:val="0015016F"/>
    <w:rsid w:val="00153DC3"/>
    <w:rsid w:val="00155095"/>
    <w:rsid w:val="00155EBB"/>
    <w:rsid w:val="001630F0"/>
    <w:rsid w:val="0016363C"/>
    <w:rsid w:val="001640AC"/>
    <w:rsid w:val="001656EA"/>
    <w:rsid w:val="00170F81"/>
    <w:rsid w:val="00173DF2"/>
    <w:rsid w:val="001744A2"/>
    <w:rsid w:val="00174719"/>
    <w:rsid w:val="00176998"/>
    <w:rsid w:val="00176CC0"/>
    <w:rsid w:val="00177EC0"/>
    <w:rsid w:val="00181D8C"/>
    <w:rsid w:val="00181EFF"/>
    <w:rsid w:val="001A1A9C"/>
    <w:rsid w:val="001A282E"/>
    <w:rsid w:val="001A7093"/>
    <w:rsid w:val="001B1463"/>
    <w:rsid w:val="001B2802"/>
    <w:rsid w:val="001B2D4B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0B45"/>
    <w:rsid w:val="001E131D"/>
    <w:rsid w:val="001F1343"/>
    <w:rsid w:val="001F3482"/>
    <w:rsid w:val="001F4836"/>
    <w:rsid w:val="001F614E"/>
    <w:rsid w:val="001F6AD9"/>
    <w:rsid w:val="002019A3"/>
    <w:rsid w:val="00205A6A"/>
    <w:rsid w:val="00205FDF"/>
    <w:rsid w:val="0020658F"/>
    <w:rsid w:val="00206659"/>
    <w:rsid w:val="002139B6"/>
    <w:rsid w:val="002164B5"/>
    <w:rsid w:val="00220DF6"/>
    <w:rsid w:val="0022299E"/>
    <w:rsid w:val="0022597E"/>
    <w:rsid w:val="0023043F"/>
    <w:rsid w:val="002316A6"/>
    <w:rsid w:val="00231CF5"/>
    <w:rsid w:val="002340BA"/>
    <w:rsid w:val="00241A0F"/>
    <w:rsid w:val="00242C76"/>
    <w:rsid w:val="00242CBE"/>
    <w:rsid w:val="002443AA"/>
    <w:rsid w:val="0024586A"/>
    <w:rsid w:val="00246715"/>
    <w:rsid w:val="00256291"/>
    <w:rsid w:val="002603C8"/>
    <w:rsid w:val="00262933"/>
    <w:rsid w:val="00262AA7"/>
    <w:rsid w:val="00264343"/>
    <w:rsid w:val="00264D30"/>
    <w:rsid w:val="00264E77"/>
    <w:rsid w:val="00267A8C"/>
    <w:rsid w:val="00271922"/>
    <w:rsid w:val="00277255"/>
    <w:rsid w:val="00281373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B3321"/>
    <w:rsid w:val="002B792C"/>
    <w:rsid w:val="002C02CC"/>
    <w:rsid w:val="002C09B2"/>
    <w:rsid w:val="002C6433"/>
    <w:rsid w:val="002D022C"/>
    <w:rsid w:val="002D3BD2"/>
    <w:rsid w:val="002D4302"/>
    <w:rsid w:val="002D48DD"/>
    <w:rsid w:val="002D49EF"/>
    <w:rsid w:val="002D6AEA"/>
    <w:rsid w:val="002F237C"/>
    <w:rsid w:val="002F3B72"/>
    <w:rsid w:val="00305484"/>
    <w:rsid w:val="00305541"/>
    <w:rsid w:val="0030560D"/>
    <w:rsid w:val="0030605C"/>
    <w:rsid w:val="003121A0"/>
    <w:rsid w:val="00314191"/>
    <w:rsid w:val="00314DA7"/>
    <w:rsid w:val="003151E9"/>
    <w:rsid w:val="00316A57"/>
    <w:rsid w:val="0031735D"/>
    <w:rsid w:val="0032357A"/>
    <w:rsid w:val="003243B5"/>
    <w:rsid w:val="00326824"/>
    <w:rsid w:val="00327972"/>
    <w:rsid w:val="00333812"/>
    <w:rsid w:val="003347C0"/>
    <w:rsid w:val="0033724B"/>
    <w:rsid w:val="00341857"/>
    <w:rsid w:val="00341BE6"/>
    <w:rsid w:val="00342AFC"/>
    <w:rsid w:val="00343A3A"/>
    <w:rsid w:val="00346F33"/>
    <w:rsid w:val="00347142"/>
    <w:rsid w:val="00351D4C"/>
    <w:rsid w:val="003557D2"/>
    <w:rsid w:val="00360101"/>
    <w:rsid w:val="00361B0E"/>
    <w:rsid w:val="003671BE"/>
    <w:rsid w:val="00376048"/>
    <w:rsid w:val="00376C2C"/>
    <w:rsid w:val="00376C4A"/>
    <w:rsid w:val="00377C57"/>
    <w:rsid w:val="00385013"/>
    <w:rsid w:val="0039063A"/>
    <w:rsid w:val="00391BD1"/>
    <w:rsid w:val="00393296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393C"/>
    <w:rsid w:val="003D6350"/>
    <w:rsid w:val="003E5DDB"/>
    <w:rsid w:val="003F28EA"/>
    <w:rsid w:val="003F445E"/>
    <w:rsid w:val="00401D3E"/>
    <w:rsid w:val="00403A20"/>
    <w:rsid w:val="00404552"/>
    <w:rsid w:val="00411702"/>
    <w:rsid w:val="00415BBD"/>
    <w:rsid w:val="0041796D"/>
    <w:rsid w:val="00426EB3"/>
    <w:rsid w:val="004275D6"/>
    <w:rsid w:val="00446DB7"/>
    <w:rsid w:val="00447FBC"/>
    <w:rsid w:val="00455540"/>
    <w:rsid w:val="00461967"/>
    <w:rsid w:val="00462963"/>
    <w:rsid w:val="00465FA8"/>
    <w:rsid w:val="00471EB0"/>
    <w:rsid w:val="00473562"/>
    <w:rsid w:val="004744FF"/>
    <w:rsid w:val="00474D45"/>
    <w:rsid w:val="00481E24"/>
    <w:rsid w:val="00484D41"/>
    <w:rsid w:val="00484E8D"/>
    <w:rsid w:val="00486DF1"/>
    <w:rsid w:val="00487904"/>
    <w:rsid w:val="0049060D"/>
    <w:rsid w:val="004962B3"/>
    <w:rsid w:val="004A1173"/>
    <w:rsid w:val="004A225B"/>
    <w:rsid w:val="004A295E"/>
    <w:rsid w:val="004A73C5"/>
    <w:rsid w:val="004B2CCC"/>
    <w:rsid w:val="004B3780"/>
    <w:rsid w:val="004B3B09"/>
    <w:rsid w:val="004B42B1"/>
    <w:rsid w:val="004B4D2F"/>
    <w:rsid w:val="004B4DE3"/>
    <w:rsid w:val="004B5569"/>
    <w:rsid w:val="004B6126"/>
    <w:rsid w:val="004B66EA"/>
    <w:rsid w:val="004C2091"/>
    <w:rsid w:val="004C43FD"/>
    <w:rsid w:val="004E36E2"/>
    <w:rsid w:val="004E67F8"/>
    <w:rsid w:val="004F553E"/>
    <w:rsid w:val="004F572F"/>
    <w:rsid w:val="004F57F8"/>
    <w:rsid w:val="004F70A7"/>
    <w:rsid w:val="004F7392"/>
    <w:rsid w:val="005052E3"/>
    <w:rsid w:val="005126CC"/>
    <w:rsid w:val="00512DCC"/>
    <w:rsid w:val="005178FE"/>
    <w:rsid w:val="0052635A"/>
    <w:rsid w:val="00537897"/>
    <w:rsid w:val="00541C46"/>
    <w:rsid w:val="00542043"/>
    <w:rsid w:val="00542E3A"/>
    <w:rsid w:val="005466C2"/>
    <w:rsid w:val="00547ECD"/>
    <w:rsid w:val="00550169"/>
    <w:rsid w:val="005528E2"/>
    <w:rsid w:val="00553BC0"/>
    <w:rsid w:val="005549EE"/>
    <w:rsid w:val="00564AE3"/>
    <w:rsid w:val="0057148E"/>
    <w:rsid w:val="00571918"/>
    <w:rsid w:val="005746CD"/>
    <w:rsid w:val="005746EB"/>
    <w:rsid w:val="005754A6"/>
    <w:rsid w:val="0057589F"/>
    <w:rsid w:val="005814DE"/>
    <w:rsid w:val="00582403"/>
    <w:rsid w:val="00584D81"/>
    <w:rsid w:val="005904B7"/>
    <w:rsid w:val="00590E1B"/>
    <w:rsid w:val="00592C2D"/>
    <w:rsid w:val="00594250"/>
    <w:rsid w:val="00594D60"/>
    <w:rsid w:val="00595235"/>
    <w:rsid w:val="00596CDD"/>
    <w:rsid w:val="00597BCA"/>
    <w:rsid w:val="005B0675"/>
    <w:rsid w:val="005B3582"/>
    <w:rsid w:val="005B48EA"/>
    <w:rsid w:val="005B5A3C"/>
    <w:rsid w:val="005B6A84"/>
    <w:rsid w:val="005C28E5"/>
    <w:rsid w:val="005C707A"/>
    <w:rsid w:val="005C7D21"/>
    <w:rsid w:val="005D0550"/>
    <w:rsid w:val="005D14CD"/>
    <w:rsid w:val="005D486E"/>
    <w:rsid w:val="005D71A1"/>
    <w:rsid w:val="005D72D0"/>
    <w:rsid w:val="005D78C0"/>
    <w:rsid w:val="005E3BDC"/>
    <w:rsid w:val="005E4938"/>
    <w:rsid w:val="005F4DE8"/>
    <w:rsid w:val="005F70FD"/>
    <w:rsid w:val="00604836"/>
    <w:rsid w:val="006062F3"/>
    <w:rsid w:val="00610ADF"/>
    <w:rsid w:val="00611B63"/>
    <w:rsid w:val="00611B94"/>
    <w:rsid w:val="0061200F"/>
    <w:rsid w:val="00613BEE"/>
    <w:rsid w:val="0061442D"/>
    <w:rsid w:val="00621F5D"/>
    <w:rsid w:val="006220CB"/>
    <w:rsid w:val="00630E13"/>
    <w:rsid w:val="0063123E"/>
    <w:rsid w:val="00633846"/>
    <w:rsid w:val="00633BBA"/>
    <w:rsid w:val="00635AEC"/>
    <w:rsid w:val="00637952"/>
    <w:rsid w:val="006418B5"/>
    <w:rsid w:val="00650FBE"/>
    <w:rsid w:val="00656EDF"/>
    <w:rsid w:val="0065766E"/>
    <w:rsid w:val="00661B0F"/>
    <w:rsid w:val="006647C2"/>
    <w:rsid w:val="00665592"/>
    <w:rsid w:val="00667E75"/>
    <w:rsid w:val="00667ECC"/>
    <w:rsid w:val="006707C0"/>
    <w:rsid w:val="006732B3"/>
    <w:rsid w:val="00673737"/>
    <w:rsid w:val="00673E67"/>
    <w:rsid w:val="006756CF"/>
    <w:rsid w:val="00682878"/>
    <w:rsid w:val="00683BD7"/>
    <w:rsid w:val="0068506D"/>
    <w:rsid w:val="00687A8F"/>
    <w:rsid w:val="00690CED"/>
    <w:rsid w:val="00692552"/>
    <w:rsid w:val="00694FF6"/>
    <w:rsid w:val="00695BAE"/>
    <w:rsid w:val="006A1433"/>
    <w:rsid w:val="006A3883"/>
    <w:rsid w:val="006B27D4"/>
    <w:rsid w:val="006B5F68"/>
    <w:rsid w:val="006B6A0F"/>
    <w:rsid w:val="006B7818"/>
    <w:rsid w:val="006C2F1A"/>
    <w:rsid w:val="006C63B8"/>
    <w:rsid w:val="006D22BC"/>
    <w:rsid w:val="006D4F49"/>
    <w:rsid w:val="006D5C8F"/>
    <w:rsid w:val="006D7AEF"/>
    <w:rsid w:val="006D7FA4"/>
    <w:rsid w:val="006E2C7A"/>
    <w:rsid w:val="006E456F"/>
    <w:rsid w:val="006E5492"/>
    <w:rsid w:val="006E5679"/>
    <w:rsid w:val="006E73D2"/>
    <w:rsid w:val="006E7909"/>
    <w:rsid w:val="006F3A6D"/>
    <w:rsid w:val="006F4DB4"/>
    <w:rsid w:val="00700E75"/>
    <w:rsid w:val="007050D2"/>
    <w:rsid w:val="00707AC0"/>
    <w:rsid w:val="00717BC7"/>
    <w:rsid w:val="007206D4"/>
    <w:rsid w:val="007273F0"/>
    <w:rsid w:val="00730CFE"/>
    <w:rsid w:val="007320F2"/>
    <w:rsid w:val="00737494"/>
    <w:rsid w:val="00737D26"/>
    <w:rsid w:val="00737E9A"/>
    <w:rsid w:val="00740560"/>
    <w:rsid w:val="007418E0"/>
    <w:rsid w:val="007477A2"/>
    <w:rsid w:val="00750406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81A"/>
    <w:rsid w:val="00793615"/>
    <w:rsid w:val="00794363"/>
    <w:rsid w:val="007953C6"/>
    <w:rsid w:val="00796547"/>
    <w:rsid w:val="00797E37"/>
    <w:rsid w:val="007A3834"/>
    <w:rsid w:val="007A395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5747"/>
    <w:rsid w:val="007C6380"/>
    <w:rsid w:val="007C68D0"/>
    <w:rsid w:val="007D1F2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507B"/>
    <w:rsid w:val="00817D3A"/>
    <w:rsid w:val="008317B4"/>
    <w:rsid w:val="00832408"/>
    <w:rsid w:val="0083387A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53"/>
    <w:rsid w:val="008A6A9C"/>
    <w:rsid w:val="008B1707"/>
    <w:rsid w:val="008B1E6D"/>
    <w:rsid w:val="008B32BE"/>
    <w:rsid w:val="008B53CE"/>
    <w:rsid w:val="008B5524"/>
    <w:rsid w:val="008C2132"/>
    <w:rsid w:val="008C2C3C"/>
    <w:rsid w:val="008C5B87"/>
    <w:rsid w:val="008C750A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480C"/>
    <w:rsid w:val="00910948"/>
    <w:rsid w:val="00914F99"/>
    <w:rsid w:val="0092784F"/>
    <w:rsid w:val="00930BC1"/>
    <w:rsid w:val="00931126"/>
    <w:rsid w:val="00944B4F"/>
    <w:rsid w:val="00947686"/>
    <w:rsid w:val="00947A64"/>
    <w:rsid w:val="0095153B"/>
    <w:rsid w:val="00953DB4"/>
    <w:rsid w:val="009578B8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3F2A"/>
    <w:rsid w:val="00996F92"/>
    <w:rsid w:val="009A205F"/>
    <w:rsid w:val="009A2769"/>
    <w:rsid w:val="009A3A8A"/>
    <w:rsid w:val="009A4196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41C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25FA2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1A6A"/>
    <w:rsid w:val="00A74A42"/>
    <w:rsid w:val="00A74CAD"/>
    <w:rsid w:val="00A74F2D"/>
    <w:rsid w:val="00A76F8C"/>
    <w:rsid w:val="00A803BB"/>
    <w:rsid w:val="00A821C4"/>
    <w:rsid w:val="00A8308B"/>
    <w:rsid w:val="00A834E9"/>
    <w:rsid w:val="00A859EE"/>
    <w:rsid w:val="00A87B84"/>
    <w:rsid w:val="00A92B2A"/>
    <w:rsid w:val="00AA3E6A"/>
    <w:rsid w:val="00AA48F7"/>
    <w:rsid w:val="00AA6739"/>
    <w:rsid w:val="00AA723E"/>
    <w:rsid w:val="00AB0149"/>
    <w:rsid w:val="00AB16AA"/>
    <w:rsid w:val="00AB30EE"/>
    <w:rsid w:val="00AB4E07"/>
    <w:rsid w:val="00AB6A95"/>
    <w:rsid w:val="00AC09CB"/>
    <w:rsid w:val="00AC198C"/>
    <w:rsid w:val="00AC2F9A"/>
    <w:rsid w:val="00AC3133"/>
    <w:rsid w:val="00AC3EF4"/>
    <w:rsid w:val="00AC44F5"/>
    <w:rsid w:val="00AC5B9D"/>
    <w:rsid w:val="00AD2417"/>
    <w:rsid w:val="00AD3FE4"/>
    <w:rsid w:val="00AD7D28"/>
    <w:rsid w:val="00AE05A7"/>
    <w:rsid w:val="00AE3BF1"/>
    <w:rsid w:val="00AE4320"/>
    <w:rsid w:val="00AE61E0"/>
    <w:rsid w:val="00AF2DC5"/>
    <w:rsid w:val="00AF3581"/>
    <w:rsid w:val="00AF442C"/>
    <w:rsid w:val="00AF5E43"/>
    <w:rsid w:val="00AF746C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5DAA"/>
    <w:rsid w:val="00B247B4"/>
    <w:rsid w:val="00B25334"/>
    <w:rsid w:val="00B26165"/>
    <w:rsid w:val="00B317EB"/>
    <w:rsid w:val="00B31D24"/>
    <w:rsid w:val="00B345A1"/>
    <w:rsid w:val="00B35075"/>
    <w:rsid w:val="00B35A48"/>
    <w:rsid w:val="00B37707"/>
    <w:rsid w:val="00B417BE"/>
    <w:rsid w:val="00B42470"/>
    <w:rsid w:val="00B43C5F"/>
    <w:rsid w:val="00B476C7"/>
    <w:rsid w:val="00B5039A"/>
    <w:rsid w:val="00B50A3E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752"/>
    <w:rsid w:val="00B76B20"/>
    <w:rsid w:val="00B77300"/>
    <w:rsid w:val="00B779FE"/>
    <w:rsid w:val="00B800D1"/>
    <w:rsid w:val="00B80233"/>
    <w:rsid w:val="00B80FCF"/>
    <w:rsid w:val="00B82D65"/>
    <w:rsid w:val="00B83212"/>
    <w:rsid w:val="00B8450C"/>
    <w:rsid w:val="00B8462E"/>
    <w:rsid w:val="00B84D1B"/>
    <w:rsid w:val="00B855EA"/>
    <w:rsid w:val="00B86745"/>
    <w:rsid w:val="00BA5F9D"/>
    <w:rsid w:val="00BB27CA"/>
    <w:rsid w:val="00BB3BD2"/>
    <w:rsid w:val="00BB55C0"/>
    <w:rsid w:val="00BC035F"/>
    <w:rsid w:val="00BC2E39"/>
    <w:rsid w:val="00BC2EE7"/>
    <w:rsid w:val="00BC49B4"/>
    <w:rsid w:val="00BC6086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1F43"/>
    <w:rsid w:val="00C22D13"/>
    <w:rsid w:val="00C26145"/>
    <w:rsid w:val="00C2678A"/>
    <w:rsid w:val="00C31EF5"/>
    <w:rsid w:val="00C31FA9"/>
    <w:rsid w:val="00C35C43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4ED"/>
    <w:rsid w:val="00C77AA4"/>
    <w:rsid w:val="00C90DF4"/>
    <w:rsid w:val="00C9187F"/>
    <w:rsid w:val="00C92504"/>
    <w:rsid w:val="00C92E38"/>
    <w:rsid w:val="00C94FAA"/>
    <w:rsid w:val="00C97001"/>
    <w:rsid w:val="00CA08C7"/>
    <w:rsid w:val="00CA2232"/>
    <w:rsid w:val="00CA571B"/>
    <w:rsid w:val="00CB055F"/>
    <w:rsid w:val="00CB05C8"/>
    <w:rsid w:val="00CB21EC"/>
    <w:rsid w:val="00CB3A44"/>
    <w:rsid w:val="00CB6367"/>
    <w:rsid w:val="00CC289A"/>
    <w:rsid w:val="00CC2E13"/>
    <w:rsid w:val="00CC5648"/>
    <w:rsid w:val="00CC5A17"/>
    <w:rsid w:val="00CC5F3B"/>
    <w:rsid w:val="00CD6E99"/>
    <w:rsid w:val="00CD7C5C"/>
    <w:rsid w:val="00CE08CE"/>
    <w:rsid w:val="00CE3DCB"/>
    <w:rsid w:val="00CE5502"/>
    <w:rsid w:val="00CE5915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27E86"/>
    <w:rsid w:val="00D30672"/>
    <w:rsid w:val="00D30B74"/>
    <w:rsid w:val="00D3424B"/>
    <w:rsid w:val="00D40AE4"/>
    <w:rsid w:val="00D46A93"/>
    <w:rsid w:val="00D4763E"/>
    <w:rsid w:val="00D527E5"/>
    <w:rsid w:val="00D56CD8"/>
    <w:rsid w:val="00D60382"/>
    <w:rsid w:val="00D61B28"/>
    <w:rsid w:val="00D70706"/>
    <w:rsid w:val="00D71FF6"/>
    <w:rsid w:val="00D820EB"/>
    <w:rsid w:val="00D82174"/>
    <w:rsid w:val="00D828BE"/>
    <w:rsid w:val="00D90611"/>
    <w:rsid w:val="00DA4C75"/>
    <w:rsid w:val="00DB27A9"/>
    <w:rsid w:val="00DB293A"/>
    <w:rsid w:val="00DB37A5"/>
    <w:rsid w:val="00DB41D2"/>
    <w:rsid w:val="00DB4566"/>
    <w:rsid w:val="00DB5B3F"/>
    <w:rsid w:val="00DB73B1"/>
    <w:rsid w:val="00DC0C38"/>
    <w:rsid w:val="00DC10F3"/>
    <w:rsid w:val="00DD1623"/>
    <w:rsid w:val="00DD1685"/>
    <w:rsid w:val="00DD4344"/>
    <w:rsid w:val="00DD4AEF"/>
    <w:rsid w:val="00DD5A2F"/>
    <w:rsid w:val="00DE1986"/>
    <w:rsid w:val="00DE3F79"/>
    <w:rsid w:val="00DE4B38"/>
    <w:rsid w:val="00DE635A"/>
    <w:rsid w:val="00E022E3"/>
    <w:rsid w:val="00E03B7C"/>
    <w:rsid w:val="00E052C6"/>
    <w:rsid w:val="00E10773"/>
    <w:rsid w:val="00E119B9"/>
    <w:rsid w:val="00E1478F"/>
    <w:rsid w:val="00E15A64"/>
    <w:rsid w:val="00E15AA3"/>
    <w:rsid w:val="00E20239"/>
    <w:rsid w:val="00E20901"/>
    <w:rsid w:val="00E2252B"/>
    <w:rsid w:val="00E225AC"/>
    <w:rsid w:val="00E24DC2"/>
    <w:rsid w:val="00E26241"/>
    <w:rsid w:val="00E308DE"/>
    <w:rsid w:val="00E30992"/>
    <w:rsid w:val="00E32D1F"/>
    <w:rsid w:val="00E343C3"/>
    <w:rsid w:val="00E36E5F"/>
    <w:rsid w:val="00E37F80"/>
    <w:rsid w:val="00E40104"/>
    <w:rsid w:val="00E41A5C"/>
    <w:rsid w:val="00E42ED9"/>
    <w:rsid w:val="00E4560A"/>
    <w:rsid w:val="00E46A2F"/>
    <w:rsid w:val="00E52A17"/>
    <w:rsid w:val="00E52E24"/>
    <w:rsid w:val="00E54E88"/>
    <w:rsid w:val="00E61453"/>
    <w:rsid w:val="00E62E93"/>
    <w:rsid w:val="00E643D8"/>
    <w:rsid w:val="00E6596F"/>
    <w:rsid w:val="00E729B4"/>
    <w:rsid w:val="00E81203"/>
    <w:rsid w:val="00E8129E"/>
    <w:rsid w:val="00E81537"/>
    <w:rsid w:val="00E82E2E"/>
    <w:rsid w:val="00E84D02"/>
    <w:rsid w:val="00E84D61"/>
    <w:rsid w:val="00E85B18"/>
    <w:rsid w:val="00E86900"/>
    <w:rsid w:val="00E8735C"/>
    <w:rsid w:val="00E900D7"/>
    <w:rsid w:val="00E947A6"/>
    <w:rsid w:val="00E96DAD"/>
    <w:rsid w:val="00E9733C"/>
    <w:rsid w:val="00EA5644"/>
    <w:rsid w:val="00EB537F"/>
    <w:rsid w:val="00EB5AC5"/>
    <w:rsid w:val="00EB7741"/>
    <w:rsid w:val="00EC2318"/>
    <w:rsid w:val="00EC23C9"/>
    <w:rsid w:val="00EC6140"/>
    <w:rsid w:val="00EE0046"/>
    <w:rsid w:val="00EE549F"/>
    <w:rsid w:val="00EE5D39"/>
    <w:rsid w:val="00EF11E3"/>
    <w:rsid w:val="00EF13CA"/>
    <w:rsid w:val="00EF2E82"/>
    <w:rsid w:val="00EF3725"/>
    <w:rsid w:val="00EF6162"/>
    <w:rsid w:val="00F054F2"/>
    <w:rsid w:val="00F1016F"/>
    <w:rsid w:val="00F11331"/>
    <w:rsid w:val="00F13493"/>
    <w:rsid w:val="00F15099"/>
    <w:rsid w:val="00F15891"/>
    <w:rsid w:val="00F16832"/>
    <w:rsid w:val="00F24784"/>
    <w:rsid w:val="00F2657B"/>
    <w:rsid w:val="00F27223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7FD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4728"/>
    <w:rsid w:val="00FB5979"/>
    <w:rsid w:val="00FB69A5"/>
    <w:rsid w:val="00FC048B"/>
    <w:rsid w:val="00FC1BEE"/>
    <w:rsid w:val="00FC1D54"/>
    <w:rsid w:val="00FC20C3"/>
    <w:rsid w:val="00FC38F3"/>
    <w:rsid w:val="00FC5115"/>
    <w:rsid w:val="00FC601C"/>
    <w:rsid w:val="00FC63B0"/>
    <w:rsid w:val="00FD3095"/>
    <w:rsid w:val="00FD4E57"/>
    <w:rsid w:val="00FE18C9"/>
    <w:rsid w:val="00FE1FC9"/>
    <w:rsid w:val="00FE4AEF"/>
    <w:rsid w:val="00FE5DD9"/>
    <w:rsid w:val="00FE619F"/>
    <w:rsid w:val="00FE6E69"/>
    <w:rsid w:val="00FF0B1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2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styleId="lev">
    <w:name w:val="Strong"/>
    <w:uiPriority w:val="22"/>
    <w:qFormat/>
    <w:rsid w:val="006E73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35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35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</a:t>
            </a:r>
            <a:r>
              <a:rPr lang="fr-FR" sz="1078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(</a:t>
            </a:r>
            <a:r>
              <a:rPr lang="ar-MA" sz="959" b="1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2019</a:t>
            </a:r>
            <a:r>
              <a:rPr lang="fr-FR" sz="959" b="1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:</a:t>
            </a:r>
            <a:r>
              <a:rPr lang="ar-MA" sz="959" b="1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100</a:t>
            </a:r>
            <a:r>
              <a:rPr lang="fr-FR" sz="959" b="1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</a:t>
            </a:r>
            <a:r>
              <a:rPr lang="fr-FR" sz="959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</a:t>
            </a:r>
            <a:r>
              <a:rPr lang="ar-MA" sz="959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أساس</a:t>
            </a:r>
            <a:r>
              <a:rPr lang="fr-FR" sz="959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)</a:t>
            </a:r>
            <a:endParaRPr lang="fr-FR" sz="1600" b="0" i="0" u="none" strike="noStrike" baseline="0">
              <a:solidFill>
                <a:srgbClr val="000000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20182639231732596"/>
          <c:y val="2.24736968119949E-2"/>
        </c:manualLayout>
      </c:layout>
      <c:spPr>
        <a:noFill/>
        <a:ln w="15218">
          <a:noFill/>
        </a:ln>
      </c:spPr>
    </c:title>
    <c:plotArea>
      <c:layout>
        <c:manualLayout>
          <c:layoutTarget val="inner"/>
          <c:xMode val="edge"/>
          <c:yMode val="edge"/>
          <c:x val="9.5495467541535858E-2"/>
          <c:y val="0.14220277363978145"/>
          <c:w val="0.81039875420028862"/>
          <c:h val="0.65685163509966682"/>
        </c:manualLayout>
      </c:layout>
      <c:lineChart>
        <c:grouping val="standard"/>
        <c:ser>
          <c:idx val="1"/>
          <c:order val="0"/>
          <c:tx>
            <c:strRef>
              <c:f>'texte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1413">
              <a:solidFill>
                <a:schemeClr val="accent2">
                  <a:lumMod val="75000"/>
                </a:schemeClr>
              </a:solidFill>
              <a:prstDash val="solid"/>
            </a:ln>
          </c:spPr>
          <c:marker>
            <c:symbol val="triangle"/>
            <c:size val="4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spPr>
              <a:ln w="9511">
                <a:solidFill>
                  <a:schemeClr val="accent2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'texte arabe'!$A$15:$B$25</c:f>
              <c:multiLvlStrCache>
                <c:ptCount val="11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'texte arabe'!$C$15:$C$25</c:f>
              <c:numCache>
                <c:formatCode>0.0</c:formatCode>
                <c:ptCount val="11"/>
                <c:pt idx="0">
                  <c:v>124.2</c:v>
                </c:pt>
                <c:pt idx="1">
                  <c:v>135.69999999999999</c:v>
                </c:pt>
                <c:pt idx="2">
                  <c:v>142</c:v>
                </c:pt>
                <c:pt idx="3">
                  <c:v>134.19999999999999</c:v>
                </c:pt>
                <c:pt idx="4">
                  <c:v>129.30000000000001</c:v>
                </c:pt>
                <c:pt idx="5">
                  <c:v>125</c:v>
                </c:pt>
                <c:pt idx="6">
                  <c:v>116.3</c:v>
                </c:pt>
                <c:pt idx="7">
                  <c:v>122.6</c:v>
                </c:pt>
                <c:pt idx="8">
                  <c:v>117.2</c:v>
                </c:pt>
                <c:pt idx="9">
                  <c:v>118.1</c:v>
                </c:pt>
                <c:pt idx="10">
                  <c:v>116.9</c:v>
                </c:pt>
              </c:numCache>
            </c:numRef>
          </c:val>
        </c:ser>
        <c:ser>
          <c:idx val="0"/>
          <c:order val="1"/>
          <c:tx>
            <c:strRef>
              <c:f>'texte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circle"/>
            <c:size val="4"/>
          </c:marker>
          <c:cat>
            <c:multiLvlStrRef>
              <c:f>'texte arabe'!$A$15:$B$25</c:f>
              <c:multiLvlStrCache>
                <c:ptCount val="11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'texte arabe'!$D$15:$D$25</c:f>
              <c:numCache>
                <c:formatCode>0.0</c:formatCode>
                <c:ptCount val="11"/>
                <c:pt idx="0">
                  <c:v>124.3</c:v>
                </c:pt>
                <c:pt idx="1">
                  <c:v>134.80000000000001</c:v>
                </c:pt>
                <c:pt idx="2">
                  <c:v>136</c:v>
                </c:pt>
                <c:pt idx="3">
                  <c:v>130.69999999999999</c:v>
                </c:pt>
                <c:pt idx="4">
                  <c:v>125.8</c:v>
                </c:pt>
                <c:pt idx="5">
                  <c:v>118.3</c:v>
                </c:pt>
                <c:pt idx="6">
                  <c:v>112.6</c:v>
                </c:pt>
                <c:pt idx="7">
                  <c:v>118.4</c:v>
                </c:pt>
                <c:pt idx="8">
                  <c:v>113.3</c:v>
                </c:pt>
                <c:pt idx="9">
                  <c:v>111.1</c:v>
                </c:pt>
                <c:pt idx="10">
                  <c:v>110.8</c:v>
                </c:pt>
              </c:numCache>
            </c:numRef>
          </c:val>
        </c:ser>
        <c:marker val="1"/>
        <c:axId val="98742272"/>
        <c:axId val="98743808"/>
      </c:lineChart>
      <c:catAx>
        <c:axId val="98742272"/>
        <c:scaling>
          <c:orientation val="minMax"/>
        </c:scaling>
        <c:axPos val="b"/>
        <c:numFmt formatCode="General" sourceLinked="1"/>
        <c:tickLblPos val="nextTo"/>
        <c:spPr>
          <a:ln w="190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19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endParaRPr lang="fr-FR"/>
          </a:p>
        </c:txPr>
        <c:crossAx val="98743808"/>
        <c:crossesAt val="75"/>
        <c:auto val="1"/>
        <c:lblAlgn val="ctr"/>
        <c:lblOffset val="100"/>
        <c:tickLblSkip val="1"/>
        <c:tickMarkSkip val="1"/>
      </c:catAx>
      <c:valAx>
        <c:axId val="98743808"/>
        <c:scaling>
          <c:orientation val="minMax"/>
          <c:max val="145"/>
          <c:min val="105"/>
        </c:scaling>
        <c:axPos val="l"/>
        <c:majorGridlines>
          <c:spPr>
            <a:ln w="1902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190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1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8742272"/>
        <c:crosses val="autoZero"/>
        <c:crossBetween val="between"/>
        <c:majorUnit val="5"/>
      </c:valAx>
      <c:spPr>
        <a:solidFill>
          <a:srgbClr val="FFFFFF"/>
        </a:solidFill>
        <a:ln w="7609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18958331590060273"/>
          <c:y val="0.90572395318055143"/>
          <c:w val="0.80625012202911428"/>
          <c:h val="0.95959613482049677"/>
        </c:manualLayout>
      </c:layout>
      <c:spPr>
        <a:solidFill>
          <a:srgbClr val="FFFFFF"/>
        </a:solidFill>
        <a:ln w="3804">
          <a:solidFill>
            <a:schemeClr val="tx1"/>
          </a:solidFill>
          <a:prstDash val="solid"/>
        </a:ln>
      </c:spPr>
      <c:txPr>
        <a:bodyPr/>
        <a:lstStyle/>
        <a:p>
          <a:pPr>
            <a:defRPr sz="83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solidFill>
      <a:schemeClr val="lt1"/>
    </a:solidFill>
    <a:ln w="15218" cap="flat" cmpd="sng" algn="ctr">
      <a:solidFill>
        <a:schemeClr val="dk1"/>
      </a:solidFill>
      <a:prstDash val="solid"/>
    </a:ln>
    <a:effectLst/>
  </c:spPr>
  <c:txPr>
    <a:bodyPr/>
    <a:lstStyle/>
    <a:p>
      <a:pPr>
        <a:defRPr sz="5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2022-09-27T12:41:00Z</cp:lastPrinted>
  <dcterms:created xsi:type="dcterms:W3CDTF">2025-01-02T13:30:00Z</dcterms:created>
  <dcterms:modified xsi:type="dcterms:W3CDTF">2025-01-02T13:30:00Z</dcterms:modified>
</cp:coreProperties>
</file>