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864AD" w:rsidRDefault="008864AD" w:rsidP="008864AD">
      <w:pPr>
        <w:ind w:left="993" w:hanging="993"/>
        <w:jc w:val="center"/>
        <w:rPr>
          <w:rFonts w:ascii="Palatino" w:hAnsi="Palatino" w:cs="Times"/>
          <w:b/>
          <w:bCs/>
          <w:shadow/>
          <w:color w:val="FF9900"/>
          <w:sz w:val="26"/>
          <w:szCs w:val="26"/>
        </w:rPr>
      </w:pPr>
    </w:p>
    <w:p w:rsidR="0035252B" w:rsidRDefault="0035252B" w:rsidP="008864AD">
      <w:pPr>
        <w:ind w:left="993" w:hanging="993"/>
        <w:jc w:val="center"/>
        <w:rPr>
          <w:rFonts w:ascii="Palatino" w:hAnsi="Palatino" w:cs="Times"/>
          <w:b/>
          <w:bCs/>
          <w:shadow/>
          <w:color w:val="FF9900"/>
          <w:sz w:val="26"/>
          <w:szCs w:val="26"/>
        </w:rPr>
      </w:pPr>
    </w:p>
    <w:p w:rsidR="00013E1B" w:rsidRDefault="00045736"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 xml:space="preserve"> </w:t>
      </w:r>
    </w:p>
    <w:p w:rsidR="007C2F91" w:rsidRDefault="000807C8" w:rsidP="0035252B">
      <w:pPr>
        <w:ind w:left="993" w:hanging="993"/>
        <w:jc w:val="center"/>
        <w:rPr>
          <w:b/>
          <w:bCs/>
          <w:shadow/>
          <w:color w:val="FF9900"/>
          <w:sz w:val="30"/>
          <w:szCs w:val="30"/>
          <w:rtl/>
        </w:rPr>
      </w:pPr>
      <w:r>
        <w:rPr>
          <w:rFonts w:ascii="Palatino" w:hAnsi="Palatino" w:cs="Times" w:hint="cs"/>
          <w:b/>
          <w:bCs/>
          <w:shadow/>
          <w:color w:val="FF9900"/>
          <w:sz w:val="26"/>
          <w:szCs w:val="26"/>
          <w:rtl/>
        </w:rPr>
        <w:t xml:space="preserve">   </w:t>
      </w:r>
      <w:r w:rsidR="00432C3B">
        <w:rPr>
          <w:rFonts w:hint="cs"/>
          <w:b/>
          <w:bCs/>
          <w:shadow/>
          <w:color w:val="FF9900"/>
          <w:sz w:val="30"/>
          <w:szCs w:val="30"/>
          <w:rtl/>
        </w:rPr>
        <w:t>ب</w:t>
      </w:r>
      <w:r w:rsidR="00ED7470">
        <w:rPr>
          <w:rFonts w:hint="cs"/>
          <w:b/>
          <w:bCs/>
          <w:shadow/>
          <w:color w:val="FF9900"/>
          <w:sz w:val="30"/>
          <w:szCs w:val="30"/>
          <w:rtl/>
        </w:rPr>
        <w:t>ـ</w:t>
      </w:r>
      <w:r w:rsidR="00432C3B">
        <w:rPr>
          <w:rFonts w:hint="cs"/>
          <w:b/>
          <w:bCs/>
          <w:shadow/>
          <w:color w:val="FF9900"/>
          <w:sz w:val="30"/>
          <w:szCs w:val="30"/>
          <w:rtl/>
        </w:rPr>
        <w:t>يـــــــــان</w:t>
      </w:r>
    </w:p>
    <w:p w:rsidR="00432C3B" w:rsidRDefault="00D47531" w:rsidP="00766E87">
      <w:pPr>
        <w:jc w:val="center"/>
        <w:rPr>
          <w:b/>
          <w:bCs/>
          <w:shadow/>
          <w:color w:val="FF9900"/>
          <w:sz w:val="30"/>
          <w:szCs w:val="30"/>
          <w:rtl/>
        </w:rPr>
      </w:pPr>
      <w:r>
        <w:rPr>
          <w:rFonts w:hint="cs"/>
          <w:b/>
          <w:bCs/>
          <w:shadow/>
          <w:color w:val="FF9900"/>
          <w:sz w:val="30"/>
          <w:szCs w:val="30"/>
          <w:rtl/>
        </w:rPr>
        <w:t xml:space="preserve">    </w:t>
      </w:r>
    </w:p>
    <w:p w:rsidR="0035252B" w:rsidRPr="00BC38B6" w:rsidRDefault="0035252B" w:rsidP="0035252B">
      <w:pPr>
        <w:jc w:val="center"/>
        <w:rPr>
          <w:rFonts w:asciiTheme="majorBidi" w:hAnsiTheme="majorBidi" w:cstheme="majorBidi"/>
          <w:b/>
          <w:bCs/>
          <w:shadow/>
          <w:color w:val="800080"/>
          <w:sz w:val="29"/>
          <w:szCs w:val="29"/>
          <w:lang w:bidi="ar-MA"/>
        </w:rPr>
      </w:pPr>
      <w:r w:rsidRPr="00BC38B6">
        <w:rPr>
          <w:rFonts w:asciiTheme="majorBidi" w:hAnsiTheme="majorBidi" w:cstheme="majorBidi"/>
          <w:b/>
          <w:bCs/>
          <w:shadow/>
          <w:color w:val="800080"/>
          <w:sz w:val="29"/>
          <w:szCs w:val="29"/>
          <w:rtl/>
          <w:lang w:bidi="ar-MA"/>
        </w:rPr>
        <w:t>إصدار تقرير جهة الدار البيضاء-سطات حول أهداف التنمية المستدامة</w:t>
      </w:r>
    </w:p>
    <w:p w:rsidR="00560DD1" w:rsidRDefault="00560DD1" w:rsidP="004B59E7">
      <w:pPr>
        <w:bidi/>
        <w:jc w:val="center"/>
        <w:rPr>
          <w:rFonts w:asciiTheme="majorBidi" w:hAnsiTheme="majorBidi" w:cstheme="majorBidi"/>
          <w:b/>
          <w:bCs/>
          <w:shadow/>
          <w:color w:val="800080"/>
          <w:sz w:val="30"/>
          <w:szCs w:val="30"/>
          <w:lang w:bidi="ar-MA"/>
        </w:rPr>
      </w:pPr>
    </w:p>
    <w:p w:rsidR="00D55124" w:rsidRPr="00D55124" w:rsidRDefault="00D55124" w:rsidP="00D55124">
      <w:pPr>
        <w:bidi/>
        <w:jc w:val="center"/>
        <w:rPr>
          <w:rFonts w:asciiTheme="majorBidi" w:hAnsiTheme="majorBidi" w:cstheme="majorBidi"/>
          <w:b/>
          <w:bCs/>
          <w:shadow/>
          <w:color w:val="800080"/>
          <w:sz w:val="16"/>
          <w:szCs w:val="16"/>
          <w:lang w:bidi="ar-MA"/>
        </w:rPr>
      </w:pPr>
    </w:p>
    <w:p w:rsidR="0035252B" w:rsidRPr="00E64585" w:rsidRDefault="0035252B" w:rsidP="00E64585">
      <w:pPr>
        <w:pStyle w:val="normal0"/>
        <w:bidi/>
        <w:spacing w:line="288" w:lineRule="auto"/>
        <w:jc w:val="both"/>
        <w:rPr>
          <w:rFonts w:ascii="Times New Roman" w:eastAsia="Times New Roman" w:hAnsi="Times New Roman" w:cs="Times New Roman"/>
          <w:b/>
          <w:bCs/>
          <w:color w:val="808080"/>
          <w:sz w:val="26"/>
          <w:szCs w:val="26"/>
          <w:lang w:val="fr-FR"/>
        </w:rPr>
      </w:pPr>
      <w:r w:rsidRPr="00E64585">
        <w:rPr>
          <w:rFonts w:ascii="Times New Roman" w:eastAsia="Times New Roman" w:hAnsi="Times New Roman" w:cs="Times New Roman"/>
          <w:b/>
          <w:bCs/>
          <w:color w:val="808080"/>
          <w:sz w:val="26"/>
          <w:szCs w:val="26"/>
          <w:rtl/>
          <w:lang w:val="fr-FR"/>
        </w:rPr>
        <w:t>تعلن المندوبية السامية للتخطيط عن إصدار تقرير جهة الدار البيضاء-سطات المتعلق برصد التقدم المسجل فيما يتعلق بأهداف التنمية المستدامة على مستوى الجهة لسنة 2025.</w:t>
      </w:r>
    </w:p>
    <w:p w:rsidR="00E64585" w:rsidRPr="00E64585" w:rsidRDefault="00E64585" w:rsidP="00E64585">
      <w:pPr>
        <w:pStyle w:val="normal0"/>
        <w:bidi/>
        <w:spacing w:line="240" w:lineRule="auto"/>
        <w:jc w:val="both"/>
        <w:rPr>
          <w:rFonts w:ascii="Times New Roman" w:eastAsia="Times New Roman" w:hAnsi="Times New Roman" w:cs="Times New Roman"/>
          <w:b/>
          <w:bCs/>
          <w:color w:val="808080"/>
          <w:sz w:val="20"/>
          <w:szCs w:val="20"/>
          <w:lang w:val="fr-FR"/>
        </w:rPr>
      </w:pPr>
    </w:p>
    <w:p w:rsidR="0035252B" w:rsidRPr="00E64585" w:rsidRDefault="0035252B" w:rsidP="006149D1">
      <w:pPr>
        <w:pStyle w:val="normal0"/>
        <w:bidi/>
        <w:spacing w:line="288" w:lineRule="auto"/>
        <w:jc w:val="both"/>
        <w:rPr>
          <w:rFonts w:ascii="Times New Roman" w:eastAsia="Times New Roman" w:hAnsi="Times New Roman" w:cs="Times New Roman"/>
          <w:b/>
          <w:bCs/>
          <w:color w:val="808080"/>
          <w:sz w:val="26"/>
          <w:szCs w:val="26"/>
          <w:lang w:val="fr-FR"/>
        </w:rPr>
      </w:pPr>
      <w:r w:rsidRPr="00E64585">
        <w:rPr>
          <w:rFonts w:ascii="Times New Roman" w:eastAsia="Times New Roman" w:hAnsi="Times New Roman" w:cs="Times New Roman"/>
          <w:b/>
          <w:bCs/>
          <w:color w:val="808080"/>
          <w:sz w:val="26"/>
          <w:szCs w:val="26"/>
          <w:rtl/>
          <w:lang w:val="fr-FR"/>
        </w:rPr>
        <w:t>ويندرج هذا التقرير في إطار المهام الموكولة إلى المندوبية السامية للتخطيط، المتمثلة في إعداد التقارير الخاصة بتتبع وتقييم تحقيق أهداف التنمية المستدامة (</w:t>
      </w:r>
      <w:r w:rsidRPr="00E64585">
        <w:rPr>
          <w:rFonts w:ascii="Times New Roman" w:eastAsia="Times New Roman" w:hAnsi="Times New Roman" w:cs="Times New Roman"/>
          <w:b/>
          <w:bCs/>
          <w:color w:val="808080"/>
          <w:sz w:val="26"/>
          <w:szCs w:val="26"/>
          <w:lang w:val="fr-FR"/>
        </w:rPr>
        <w:t>ODD</w:t>
      </w:r>
      <w:r w:rsidRPr="00E64585">
        <w:rPr>
          <w:rFonts w:ascii="Times New Roman" w:eastAsia="Times New Roman" w:hAnsi="Times New Roman" w:cs="Times New Roman"/>
          <w:b/>
          <w:bCs/>
          <w:color w:val="808080"/>
          <w:sz w:val="26"/>
          <w:szCs w:val="26"/>
          <w:rtl/>
          <w:lang w:val="fr-FR"/>
        </w:rPr>
        <w:t>)</w:t>
      </w:r>
      <w:r w:rsidR="006149D1">
        <w:rPr>
          <w:rFonts w:ascii="Times New Roman" w:eastAsia="Times New Roman" w:hAnsi="Times New Roman" w:cs="Times New Roman"/>
          <w:b/>
          <w:bCs/>
          <w:color w:val="808080"/>
          <w:sz w:val="26"/>
          <w:szCs w:val="26"/>
          <w:lang w:val="fr-FR"/>
        </w:rPr>
        <w:t xml:space="preserve"> </w:t>
      </w:r>
      <w:r w:rsidRPr="00E64585">
        <w:rPr>
          <w:rFonts w:ascii="Times New Roman" w:eastAsia="Times New Roman" w:hAnsi="Times New Roman" w:cs="Times New Roman"/>
          <w:b/>
          <w:bCs/>
          <w:color w:val="808080"/>
          <w:sz w:val="26"/>
          <w:szCs w:val="26"/>
          <w:rtl/>
          <w:lang w:val="fr-FR"/>
        </w:rPr>
        <w:t>ومراميها، سواء على الصعيد الوطني أو الترابي.</w:t>
      </w:r>
    </w:p>
    <w:p w:rsidR="00E64585" w:rsidRPr="00E64585" w:rsidRDefault="00E64585" w:rsidP="00E64585">
      <w:pPr>
        <w:pStyle w:val="normal0"/>
        <w:bidi/>
        <w:spacing w:line="240" w:lineRule="auto"/>
        <w:jc w:val="both"/>
        <w:rPr>
          <w:rFonts w:ascii="Times New Roman" w:eastAsia="Times New Roman" w:hAnsi="Times New Roman" w:cs="Times New Roman"/>
          <w:b/>
          <w:bCs/>
          <w:color w:val="808080"/>
          <w:sz w:val="20"/>
          <w:szCs w:val="20"/>
          <w:lang w:val="fr-FR"/>
        </w:rPr>
      </w:pPr>
    </w:p>
    <w:p w:rsidR="0035252B" w:rsidRPr="00E64585" w:rsidRDefault="00A35CBA" w:rsidP="00A35CBA">
      <w:pPr>
        <w:pStyle w:val="normal0"/>
        <w:bidi/>
        <w:spacing w:line="288" w:lineRule="auto"/>
        <w:jc w:val="both"/>
        <w:rPr>
          <w:rFonts w:ascii="Times New Roman" w:eastAsia="Times New Roman" w:hAnsi="Times New Roman" w:cs="Times New Roman"/>
          <w:b/>
          <w:bCs/>
          <w:color w:val="808080"/>
          <w:sz w:val="26"/>
          <w:szCs w:val="26"/>
          <w:lang w:val="fr-FR"/>
        </w:rPr>
      </w:pPr>
      <w:r>
        <w:rPr>
          <w:rFonts w:ascii="Times New Roman" w:eastAsia="Times New Roman" w:hAnsi="Times New Roman" w:cs="Times New Roman" w:hint="cs"/>
          <w:b/>
          <w:bCs/>
          <w:color w:val="808080"/>
          <w:sz w:val="26"/>
          <w:szCs w:val="26"/>
          <w:rtl/>
          <w:lang w:val="fr-FR" w:bidi="ar-MA"/>
        </w:rPr>
        <w:t>و</w:t>
      </w:r>
      <w:r w:rsidR="0035252B" w:rsidRPr="00E64585">
        <w:rPr>
          <w:rFonts w:ascii="Times New Roman" w:eastAsia="Times New Roman" w:hAnsi="Times New Roman" w:cs="Times New Roman"/>
          <w:b/>
          <w:bCs/>
          <w:color w:val="808080"/>
          <w:sz w:val="26"/>
          <w:szCs w:val="26"/>
          <w:rtl/>
          <w:lang w:val="fr-FR"/>
        </w:rPr>
        <w:t>يُعد هذا التقرير الثاني من نوعه بعد تقرير جهة طنجة-تطوان-الحسيمة الصادر في دجنبر 2022، ويندرج ضمن المسار الذي أطلقته المندوبية السامية للتخطيط بهدف تعميم إعداد التقارير حول تحقيق أهداف التنمية المستدامة بمختلف جهات المملكة.</w:t>
      </w:r>
    </w:p>
    <w:p w:rsidR="00E64585" w:rsidRPr="00E64585" w:rsidRDefault="00E64585" w:rsidP="00E64585">
      <w:pPr>
        <w:pStyle w:val="normal0"/>
        <w:bidi/>
        <w:spacing w:line="240" w:lineRule="auto"/>
        <w:jc w:val="both"/>
        <w:rPr>
          <w:rFonts w:ascii="Times New Roman" w:eastAsia="Times New Roman" w:hAnsi="Times New Roman" w:cs="Times New Roman"/>
          <w:b/>
          <w:bCs/>
          <w:color w:val="808080"/>
          <w:sz w:val="20"/>
          <w:szCs w:val="20"/>
          <w:lang w:val="fr-FR"/>
        </w:rPr>
      </w:pPr>
    </w:p>
    <w:p w:rsidR="0035252B" w:rsidRPr="00E64585" w:rsidRDefault="0035252B" w:rsidP="00F5051F">
      <w:pPr>
        <w:pStyle w:val="normal0"/>
        <w:bidi/>
        <w:spacing w:line="288" w:lineRule="auto"/>
        <w:jc w:val="both"/>
        <w:rPr>
          <w:rFonts w:ascii="Times New Roman" w:eastAsia="Times New Roman" w:hAnsi="Times New Roman" w:cs="Times New Roman"/>
          <w:b/>
          <w:bCs/>
          <w:color w:val="808080"/>
          <w:sz w:val="26"/>
          <w:szCs w:val="26"/>
          <w:lang w:val="fr-FR"/>
        </w:rPr>
      </w:pPr>
      <w:r w:rsidRPr="00E64585">
        <w:rPr>
          <w:rFonts w:ascii="Times New Roman" w:eastAsia="Times New Roman" w:hAnsi="Times New Roman" w:cs="Times New Roman"/>
          <w:b/>
          <w:bCs/>
          <w:color w:val="808080"/>
          <w:sz w:val="26"/>
          <w:szCs w:val="26"/>
          <w:rtl/>
          <w:lang w:val="fr-FR"/>
        </w:rPr>
        <w:t>ويقدم هذا الإصدار تشخيصاً محيناً وشاملاً لمجمل البرامج والاستراتيجيات المعتمدة على مستوى جهة             الدارالبيضاء-سطات، الهادفة إلى تحقيق الأهداف السبعة عشر للتنمية المستدامة في أفق سنة 2030. كما يسلط الضوء على التقدم المحرز في هذا المجال، ويبرز التحديات والرهانات التي يتعين مواجهتها لضمان تحقيق هذه الأهداف. ويضع هذا التقرير رهن إشارة الفاعلين الترابيين في مجالات التنمية المستدامة ومختلف المستعملين، لوحة المؤشرات التي تتيح مقارنة إنجازات الجهة مع المعدلات المسجلة على الصعيد الوطني في ما يتعلق بأهداف التنمية المستدامة.</w:t>
      </w:r>
    </w:p>
    <w:p w:rsidR="00E64585" w:rsidRPr="00E64585" w:rsidRDefault="00E64585" w:rsidP="00E64585">
      <w:pPr>
        <w:pStyle w:val="normal0"/>
        <w:bidi/>
        <w:spacing w:line="288" w:lineRule="auto"/>
        <w:jc w:val="both"/>
        <w:rPr>
          <w:rFonts w:ascii="Times New Roman" w:eastAsia="Times New Roman" w:hAnsi="Times New Roman" w:cs="Times New Roman"/>
          <w:b/>
          <w:bCs/>
          <w:color w:val="808080"/>
          <w:sz w:val="20"/>
          <w:szCs w:val="20"/>
          <w:lang w:val="fr-FR"/>
        </w:rPr>
      </w:pPr>
    </w:p>
    <w:p w:rsidR="0035252B" w:rsidRDefault="0035252B" w:rsidP="00E64585">
      <w:pPr>
        <w:pStyle w:val="normal0"/>
        <w:bidi/>
        <w:spacing w:line="288" w:lineRule="auto"/>
        <w:jc w:val="both"/>
        <w:rPr>
          <w:rFonts w:ascii="Times New Roman" w:eastAsia="Times New Roman" w:hAnsi="Times New Roman" w:cs="Times New Roman"/>
          <w:b/>
          <w:bCs/>
          <w:color w:val="808080"/>
          <w:sz w:val="26"/>
          <w:szCs w:val="26"/>
          <w:lang w:val="fr-FR"/>
        </w:rPr>
      </w:pPr>
      <w:r w:rsidRPr="00E64585">
        <w:rPr>
          <w:rFonts w:ascii="Times New Roman" w:eastAsia="Times New Roman" w:hAnsi="Times New Roman" w:cs="Times New Roman"/>
          <w:b/>
          <w:bCs/>
          <w:color w:val="808080"/>
          <w:sz w:val="26"/>
          <w:szCs w:val="26"/>
          <w:rtl/>
          <w:lang w:val="fr-FR"/>
        </w:rPr>
        <w:t>وقد تم إعداد هذا التقرير في إطار مقاربة تشاركية، عبر التشاور والتنسيق مع مختلف الفاعلين المؤسساتيين، وعلى الخصوص ولاية وعمالات وأقاليم الجهة، ومجلس الجهة، والمصالح اللاممركزة للدولة، إلى جانب الهيئات الأكاديمية والجمعوية.  كما أسهمت هذه المنهجية التشاروية في تعزيز تملك أهداف التنمية المستدامة وترسيخ ثقافة التنمية المستدامة على المستوى الترابي.</w:t>
      </w:r>
    </w:p>
    <w:p w:rsidR="00E64585" w:rsidRPr="00E64585" w:rsidRDefault="00E64585" w:rsidP="00E64585">
      <w:pPr>
        <w:pStyle w:val="normal0"/>
        <w:bidi/>
        <w:spacing w:line="288" w:lineRule="auto"/>
        <w:jc w:val="both"/>
        <w:rPr>
          <w:rFonts w:ascii="Times New Roman" w:eastAsia="Times New Roman" w:hAnsi="Times New Roman" w:cs="Times New Roman"/>
          <w:b/>
          <w:bCs/>
          <w:color w:val="808080"/>
          <w:sz w:val="20"/>
          <w:szCs w:val="20"/>
          <w:lang w:val="fr-FR"/>
        </w:rPr>
      </w:pPr>
    </w:p>
    <w:p w:rsidR="003F7274" w:rsidRPr="00A06903" w:rsidRDefault="0035252B" w:rsidP="00E64585">
      <w:pPr>
        <w:pStyle w:val="normal0"/>
        <w:bidi/>
        <w:spacing w:line="288" w:lineRule="auto"/>
        <w:jc w:val="both"/>
        <w:rPr>
          <w:b/>
          <w:bCs/>
          <w:color w:val="808080"/>
          <w:sz w:val="28"/>
          <w:szCs w:val="28"/>
        </w:rPr>
      </w:pPr>
      <w:r w:rsidRPr="004D404D">
        <w:rPr>
          <w:rFonts w:ascii="Times New Roman" w:eastAsia="Times New Roman" w:hAnsi="Times New Roman" w:cs="Times New Roman"/>
          <w:b/>
          <w:bCs/>
          <w:color w:val="808080"/>
          <w:sz w:val="26"/>
          <w:szCs w:val="26"/>
          <w:rtl/>
          <w:lang w:val="fr-FR"/>
        </w:rPr>
        <w:t>التقرير متوفر في نسختيه الورقية والإلكترونية بالموقعين الإلكترونيين للمندوبية السامية للتخطيط</w:t>
      </w:r>
      <w:r w:rsidRPr="004D404D">
        <w:rPr>
          <w:rFonts w:ascii="Calibri" w:eastAsia="Calibri" w:hAnsi="Calibri" w:cs="Calibri"/>
          <w:b/>
          <w:bCs/>
          <w:sz w:val="26"/>
          <w:szCs w:val="26"/>
          <w:rtl/>
        </w:rPr>
        <w:t>:</w:t>
      </w:r>
      <w:r w:rsidRPr="004D404D">
        <w:rPr>
          <w:rFonts w:ascii="Calibri" w:eastAsia="Calibri" w:hAnsi="Calibri" w:cs="Calibri"/>
          <w:sz w:val="26"/>
          <w:szCs w:val="26"/>
          <w:rtl/>
        </w:rPr>
        <w:t xml:space="preserve"> </w:t>
      </w:r>
      <w:hyperlink r:id="rId9">
        <w:r>
          <w:rPr>
            <w:rFonts w:ascii="Calibri" w:eastAsia="Calibri" w:hAnsi="Calibri" w:cs="Calibri"/>
            <w:sz w:val="24"/>
            <w:szCs w:val="24"/>
          </w:rPr>
          <w:t xml:space="preserve"> </w:t>
        </w:r>
      </w:hyperlink>
      <w:hyperlink r:id="rId10">
        <w:r>
          <w:rPr>
            <w:rFonts w:ascii="Calibri" w:eastAsia="Calibri" w:hAnsi="Calibri" w:cs="Calibri"/>
            <w:color w:val="1155CC"/>
            <w:sz w:val="24"/>
            <w:szCs w:val="24"/>
            <w:u w:val="single"/>
          </w:rPr>
          <w:t>https://www.hcp.ma/</w:t>
        </w:r>
      </w:hyperlink>
      <w:r>
        <w:rPr>
          <w:rFonts w:ascii="Calibri" w:eastAsia="Calibri" w:hAnsi="Calibri" w:cs="Times New Roman"/>
          <w:sz w:val="24"/>
          <w:szCs w:val="24"/>
          <w:rtl/>
        </w:rPr>
        <w:t xml:space="preserve">  </w:t>
      </w:r>
      <w:r w:rsidRPr="00C30C3F">
        <w:rPr>
          <w:rFonts w:ascii="Times New Roman" w:eastAsia="Times New Roman" w:hAnsi="Times New Roman" w:cs="Times New Roman"/>
          <w:b/>
          <w:bCs/>
          <w:color w:val="808080"/>
          <w:sz w:val="26"/>
          <w:szCs w:val="26"/>
          <w:rtl/>
          <w:lang w:val="fr-FR"/>
        </w:rPr>
        <w:t>و</w:t>
      </w:r>
      <w:r>
        <w:rPr>
          <w:rFonts w:ascii="Calibri" w:eastAsia="Calibri" w:hAnsi="Calibri" w:cs="Times New Roman"/>
          <w:sz w:val="24"/>
          <w:szCs w:val="24"/>
          <w:rtl/>
        </w:rPr>
        <w:t xml:space="preserve"> </w:t>
      </w:r>
      <w:hyperlink r:id="rId11">
        <w:r>
          <w:rPr>
            <w:rFonts w:ascii="Calibri" w:eastAsia="Calibri" w:hAnsi="Calibri" w:cs="Calibri"/>
            <w:sz w:val="24"/>
            <w:szCs w:val="24"/>
          </w:rPr>
          <w:t xml:space="preserve"> </w:t>
        </w:r>
      </w:hyperlink>
      <w:hyperlink r:id="rId12">
        <w:r>
          <w:rPr>
            <w:rFonts w:ascii="Calibri" w:eastAsia="Calibri" w:hAnsi="Calibri" w:cs="Calibri"/>
            <w:color w:val="1155CC"/>
            <w:sz w:val="24"/>
            <w:szCs w:val="24"/>
            <w:u w:val="single"/>
          </w:rPr>
          <w:t>https://www.hcp.ma/reg-casablanca/</w:t>
        </w:r>
      </w:hyperlink>
      <w:r w:rsidR="00FC370A">
        <w:rPr>
          <w:rFonts w:hint="cs"/>
          <w:b/>
          <w:bCs/>
          <w:color w:val="808080"/>
          <w:sz w:val="28"/>
          <w:szCs w:val="28"/>
          <w:rtl/>
          <w:lang w:bidi="ar-MA"/>
        </w:rPr>
        <w:t xml:space="preserve">                    </w:t>
      </w:r>
      <w:r w:rsidR="00685175">
        <w:rPr>
          <w:rFonts w:hint="cs"/>
          <w:b/>
          <w:bCs/>
          <w:color w:val="808080"/>
          <w:sz w:val="28"/>
          <w:szCs w:val="28"/>
          <w:rtl/>
          <w:lang w:bidi="ar-MA"/>
        </w:rPr>
        <w:t xml:space="preserve">         </w:t>
      </w:r>
    </w:p>
    <w:p w:rsidR="00867FAB" w:rsidRPr="008D1587" w:rsidRDefault="00A03021" w:rsidP="0035252B">
      <w:pPr>
        <w:bidi/>
        <w:spacing w:before="120" w:after="120" w:line="360" w:lineRule="auto"/>
        <w:jc w:val="both"/>
      </w:pPr>
      <w:r>
        <w:rPr>
          <w:rFonts w:hint="cs"/>
          <w:b/>
          <w:bCs/>
          <w:color w:val="808080"/>
          <w:sz w:val="28"/>
          <w:szCs w:val="28"/>
          <w:rtl/>
        </w:rPr>
        <w:t xml:space="preserve">      </w:t>
      </w:r>
    </w:p>
    <w:sectPr w:rsidR="00867FAB" w:rsidRPr="008D1587" w:rsidSect="009B253D">
      <w:footerReference w:type="even" r:id="rId13"/>
      <w:footerReference w:type="default" r:id="rId14"/>
      <w:headerReference w:type="first" r:id="rId15"/>
      <w:footerReference w:type="first" r:id="rId16"/>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823" w:rsidRDefault="00313823">
      <w:r>
        <w:separator/>
      </w:r>
    </w:p>
  </w:endnote>
  <w:endnote w:type="continuationSeparator" w:id="1">
    <w:p w:rsidR="00313823" w:rsidRDefault="00313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345DF"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5345D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35252B">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35252B">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345DF">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823" w:rsidRDefault="00313823">
      <w:r>
        <w:separator/>
      </w:r>
    </w:p>
  </w:footnote>
  <w:footnote w:type="continuationSeparator" w:id="1">
    <w:p w:rsidR="00313823" w:rsidRDefault="00313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-1325880</wp:posOffset>
          </wp:positionH>
          <wp:positionV relativeFrom="paragraph">
            <wp:posOffset>-450215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1682"/>
    <o:shapelayout v:ext="edit">
      <o:idmap v:ext="edit" data="2"/>
    </o:shapelayout>
  </w:hdrShapeDefaults>
  <w:footnotePr>
    <w:footnote w:id="0"/>
    <w:footnote w:id="1"/>
  </w:footnotePr>
  <w:endnotePr>
    <w:endnote w:id="0"/>
    <w:endnote w:id="1"/>
  </w:endnotePr>
  <w:compat/>
  <w:rsids>
    <w:rsidRoot w:val="00A7067D"/>
    <w:rsid w:val="00001E91"/>
    <w:rsid w:val="000025B3"/>
    <w:rsid w:val="000039E2"/>
    <w:rsid w:val="0001390E"/>
    <w:rsid w:val="00013A7F"/>
    <w:rsid w:val="00013C22"/>
    <w:rsid w:val="00013E1B"/>
    <w:rsid w:val="000152BC"/>
    <w:rsid w:val="000205FA"/>
    <w:rsid w:val="00020924"/>
    <w:rsid w:val="00024095"/>
    <w:rsid w:val="00027850"/>
    <w:rsid w:val="00030DA2"/>
    <w:rsid w:val="00045736"/>
    <w:rsid w:val="00050A6E"/>
    <w:rsid w:val="000554EE"/>
    <w:rsid w:val="00060321"/>
    <w:rsid w:val="00064386"/>
    <w:rsid w:val="0006553F"/>
    <w:rsid w:val="00070037"/>
    <w:rsid w:val="000807C8"/>
    <w:rsid w:val="00081BE5"/>
    <w:rsid w:val="00085E86"/>
    <w:rsid w:val="000A3BE9"/>
    <w:rsid w:val="000A4F68"/>
    <w:rsid w:val="000A79BF"/>
    <w:rsid w:val="000B2A3E"/>
    <w:rsid w:val="000B6EA6"/>
    <w:rsid w:val="000B7DC3"/>
    <w:rsid w:val="000C5E54"/>
    <w:rsid w:val="000C7682"/>
    <w:rsid w:val="000D25AF"/>
    <w:rsid w:val="000E21D3"/>
    <w:rsid w:val="000E7503"/>
    <w:rsid w:val="000F408A"/>
    <w:rsid w:val="00100AF5"/>
    <w:rsid w:val="00105C88"/>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83418"/>
    <w:rsid w:val="00194A37"/>
    <w:rsid w:val="001A1A9C"/>
    <w:rsid w:val="001A282E"/>
    <w:rsid w:val="001A7093"/>
    <w:rsid w:val="001B4AB1"/>
    <w:rsid w:val="001B609A"/>
    <w:rsid w:val="001C3920"/>
    <w:rsid w:val="001C4BE1"/>
    <w:rsid w:val="001C7AC6"/>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08E3"/>
    <w:rsid w:val="002139B6"/>
    <w:rsid w:val="00213C63"/>
    <w:rsid w:val="00220DF6"/>
    <w:rsid w:val="00221256"/>
    <w:rsid w:val="0022299E"/>
    <w:rsid w:val="0022597E"/>
    <w:rsid w:val="0023043F"/>
    <w:rsid w:val="002316A6"/>
    <w:rsid w:val="002357CC"/>
    <w:rsid w:val="00242C76"/>
    <w:rsid w:val="00242CBE"/>
    <w:rsid w:val="002443AA"/>
    <w:rsid w:val="0024586A"/>
    <w:rsid w:val="00254CB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D62DD"/>
    <w:rsid w:val="002F237C"/>
    <w:rsid w:val="002F3B72"/>
    <w:rsid w:val="00301FCB"/>
    <w:rsid w:val="0030560D"/>
    <w:rsid w:val="0030605C"/>
    <w:rsid w:val="003121A0"/>
    <w:rsid w:val="00313823"/>
    <w:rsid w:val="00314191"/>
    <w:rsid w:val="003151E9"/>
    <w:rsid w:val="00316A57"/>
    <w:rsid w:val="0031735D"/>
    <w:rsid w:val="003243B5"/>
    <w:rsid w:val="00326824"/>
    <w:rsid w:val="00327972"/>
    <w:rsid w:val="003347C0"/>
    <w:rsid w:val="0033724B"/>
    <w:rsid w:val="00341857"/>
    <w:rsid w:val="00341BE6"/>
    <w:rsid w:val="00346F33"/>
    <w:rsid w:val="00351D4C"/>
    <w:rsid w:val="0035252B"/>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0F40"/>
    <w:rsid w:val="003B3581"/>
    <w:rsid w:val="003B7C9A"/>
    <w:rsid w:val="003C0B02"/>
    <w:rsid w:val="003C104F"/>
    <w:rsid w:val="003C1061"/>
    <w:rsid w:val="003C357A"/>
    <w:rsid w:val="003E5DDB"/>
    <w:rsid w:val="003F28EA"/>
    <w:rsid w:val="003F445E"/>
    <w:rsid w:val="003F7274"/>
    <w:rsid w:val="00401D3E"/>
    <w:rsid w:val="00403A20"/>
    <w:rsid w:val="0041796D"/>
    <w:rsid w:val="004275D6"/>
    <w:rsid w:val="00432C3B"/>
    <w:rsid w:val="004374C7"/>
    <w:rsid w:val="00440C53"/>
    <w:rsid w:val="00445EF9"/>
    <w:rsid w:val="00446DB7"/>
    <w:rsid w:val="00446FC2"/>
    <w:rsid w:val="00447FBC"/>
    <w:rsid w:val="00455540"/>
    <w:rsid w:val="004744FF"/>
    <w:rsid w:val="00481E24"/>
    <w:rsid w:val="00484E8D"/>
    <w:rsid w:val="0049060D"/>
    <w:rsid w:val="004917FD"/>
    <w:rsid w:val="004A0793"/>
    <w:rsid w:val="004A1173"/>
    <w:rsid w:val="004A2086"/>
    <w:rsid w:val="004A225B"/>
    <w:rsid w:val="004A73C5"/>
    <w:rsid w:val="004B3780"/>
    <w:rsid w:val="004B3B09"/>
    <w:rsid w:val="004B42B1"/>
    <w:rsid w:val="004B4D2F"/>
    <w:rsid w:val="004B5569"/>
    <w:rsid w:val="004B59E7"/>
    <w:rsid w:val="004B6126"/>
    <w:rsid w:val="004B66EA"/>
    <w:rsid w:val="004C43FD"/>
    <w:rsid w:val="004C6921"/>
    <w:rsid w:val="004D404D"/>
    <w:rsid w:val="004E36E2"/>
    <w:rsid w:val="004E67F8"/>
    <w:rsid w:val="004F572F"/>
    <w:rsid w:val="004F57F8"/>
    <w:rsid w:val="004F70A7"/>
    <w:rsid w:val="005052E3"/>
    <w:rsid w:val="005126CC"/>
    <w:rsid w:val="005178FE"/>
    <w:rsid w:val="005209FF"/>
    <w:rsid w:val="0052635A"/>
    <w:rsid w:val="005345DF"/>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9D1"/>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C6362"/>
    <w:rsid w:val="006D22BC"/>
    <w:rsid w:val="006D4F49"/>
    <w:rsid w:val="006D7AEF"/>
    <w:rsid w:val="006D7FA4"/>
    <w:rsid w:val="006E2C7A"/>
    <w:rsid w:val="006E456F"/>
    <w:rsid w:val="006E5679"/>
    <w:rsid w:val="006E7909"/>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6DEE"/>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1C7"/>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1F19"/>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C91"/>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5CB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3D8F"/>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091"/>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576A6"/>
    <w:rsid w:val="00B607B2"/>
    <w:rsid w:val="00B61271"/>
    <w:rsid w:val="00B62ED5"/>
    <w:rsid w:val="00B63548"/>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38B6"/>
    <w:rsid w:val="00BC49B4"/>
    <w:rsid w:val="00BC7B5A"/>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0C3F"/>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2175"/>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531"/>
    <w:rsid w:val="00D4763E"/>
    <w:rsid w:val="00D55124"/>
    <w:rsid w:val="00D60382"/>
    <w:rsid w:val="00D70C6D"/>
    <w:rsid w:val="00D71FF6"/>
    <w:rsid w:val="00D738A1"/>
    <w:rsid w:val="00D820EB"/>
    <w:rsid w:val="00D82174"/>
    <w:rsid w:val="00D876EE"/>
    <w:rsid w:val="00DB27A9"/>
    <w:rsid w:val="00DB293A"/>
    <w:rsid w:val="00DB41D2"/>
    <w:rsid w:val="00DB5B3F"/>
    <w:rsid w:val="00DB6765"/>
    <w:rsid w:val="00DC0C38"/>
    <w:rsid w:val="00DC325A"/>
    <w:rsid w:val="00DD1685"/>
    <w:rsid w:val="00DD4344"/>
    <w:rsid w:val="00DD4AEF"/>
    <w:rsid w:val="00DD5A2F"/>
    <w:rsid w:val="00DE1986"/>
    <w:rsid w:val="00DE635A"/>
    <w:rsid w:val="00DF4F03"/>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4585"/>
    <w:rsid w:val="00E6596F"/>
    <w:rsid w:val="00E81203"/>
    <w:rsid w:val="00E81537"/>
    <w:rsid w:val="00E81773"/>
    <w:rsid w:val="00E82E2E"/>
    <w:rsid w:val="00E84D02"/>
    <w:rsid w:val="00E85B18"/>
    <w:rsid w:val="00E86900"/>
    <w:rsid w:val="00E947A6"/>
    <w:rsid w:val="00E9733C"/>
    <w:rsid w:val="00EA26A7"/>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051F"/>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0E4C"/>
    <w:rsid w:val="00FF29FF"/>
    <w:rsid w:val="00FF5386"/>
    <w:rsid w:val="00FF5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35252B"/>
    <w:pPr>
      <w:spacing w:line="276" w:lineRule="auto"/>
    </w:pPr>
    <w:rPr>
      <w:rFonts w:ascii="Arial" w:eastAsia="Arial" w:hAnsi="Arial" w:cs="Arial"/>
      <w:lang/>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393121736">
      <w:bodyDiv w:val="1"/>
      <w:marLeft w:val="0"/>
      <w:marRight w:val="0"/>
      <w:marTop w:val="0"/>
      <w:marBottom w:val="0"/>
      <w:divBdr>
        <w:top w:val="none" w:sz="0" w:space="0" w:color="auto"/>
        <w:left w:val="none" w:sz="0" w:space="0" w:color="auto"/>
        <w:bottom w:val="none" w:sz="0" w:space="0" w:color="auto"/>
        <w:right w:val="none" w:sz="0" w:space="0" w:color="auto"/>
      </w:divBdr>
    </w:div>
    <w:div w:id="17630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cp.ma/reg-casablan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p.ma/reg-casablan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hcp.ma/" TargetMode="External"/><Relationship Id="rId4" Type="http://schemas.openxmlformats.org/officeDocument/2006/relationships/webSettings" Target="webSettings.xml"/><Relationship Id="rId9" Type="http://schemas.openxmlformats.org/officeDocument/2006/relationships/hyperlink" Target="https://www.hcp.m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1638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14</cp:revision>
  <cp:lastPrinted>2019-07-05T10:11:00Z</cp:lastPrinted>
  <dcterms:created xsi:type="dcterms:W3CDTF">2025-10-17T12:48:00Z</dcterms:created>
  <dcterms:modified xsi:type="dcterms:W3CDTF">2025-10-17T13:07:00Z</dcterms:modified>
</cp:coreProperties>
</file>