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11049E">
      <w:pPr>
        <w:pStyle w:val="Titre"/>
        <w:jc w:val="left"/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Pr="00F065AA" w:rsidRDefault="00093022" w:rsidP="003E70BE">
      <w:pPr>
        <w:spacing w:after="120"/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Note d’information</w:t>
      </w:r>
    </w:p>
    <w:p w:rsidR="00093022" w:rsidRDefault="007D73A9" w:rsidP="003E70BE">
      <w:pPr>
        <w:spacing w:after="120"/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Compte satellite d</w:t>
      </w:r>
      <w:r w:rsidR="009A0476"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u</w:t>
      </w: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tourisme</w:t>
      </w:r>
      <w:r w:rsidR="00A90B77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</w:t>
      </w: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de </w:t>
      </w:r>
      <w:r w:rsidR="0076412D">
        <w:rPr>
          <w:rFonts w:ascii="Arial" w:hAnsi="Arial"/>
          <w:b/>
          <w:bCs/>
          <w:color w:val="984806" w:themeColor="accent6" w:themeShade="80"/>
          <w:sz w:val="32"/>
          <w:szCs w:val="32"/>
        </w:rPr>
        <w:t>202</w:t>
      </w:r>
      <w:r w:rsidR="004D4B31">
        <w:rPr>
          <w:rFonts w:ascii="Arial" w:hAnsi="Arial"/>
          <w:b/>
          <w:bCs/>
          <w:color w:val="984806" w:themeColor="accent6" w:themeShade="80"/>
          <w:sz w:val="32"/>
          <w:szCs w:val="32"/>
        </w:rPr>
        <w:t>4</w:t>
      </w:r>
    </w:p>
    <w:p w:rsidR="00077F02" w:rsidRDefault="00077F02" w:rsidP="004D4B31">
      <w:pPr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>
        <w:rPr>
          <w:rFonts w:ascii="Arial" w:hAnsi="Arial"/>
          <w:b/>
          <w:bCs/>
          <w:color w:val="984806" w:themeColor="accent6" w:themeShade="80"/>
          <w:sz w:val="32"/>
          <w:szCs w:val="32"/>
        </w:rPr>
        <w:t>(</w:t>
      </w:r>
      <w:r w:rsidR="00F358EB">
        <w:rPr>
          <w:rFonts w:ascii="Arial" w:hAnsi="Arial"/>
          <w:b/>
          <w:bCs/>
          <w:color w:val="984806" w:themeColor="accent6" w:themeShade="80"/>
          <w:sz w:val="32"/>
          <w:szCs w:val="32"/>
        </w:rPr>
        <w:t>Base</w:t>
      </w:r>
      <w:r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2014)</w:t>
      </w:r>
    </w:p>
    <w:p w:rsidR="00593098" w:rsidRDefault="00593098" w:rsidP="004D4B31">
      <w:pPr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</w:p>
    <w:p w:rsidR="00A90B77" w:rsidRDefault="00A90B77" w:rsidP="004D4B31">
      <w:pPr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</w:p>
    <w:p w:rsidR="00A90B77" w:rsidRDefault="00A90B77" w:rsidP="004D4B31">
      <w:pPr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</w:p>
    <w:p w:rsidR="00A90F5D" w:rsidRDefault="00A90F5D" w:rsidP="001502B5">
      <w:pPr>
        <w:pStyle w:val="Notedebasdepage"/>
        <w:spacing w:after="24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76412D">
        <w:rPr>
          <w:rFonts w:ascii="Book Antiqua" w:hAnsi="Book Antiqua"/>
          <w:b/>
          <w:bCs/>
          <w:sz w:val="28"/>
          <w:szCs w:val="28"/>
        </w:rPr>
        <w:t>L’arrêté du compte satellite du tourisme</w:t>
      </w:r>
      <w:r>
        <w:rPr>
          <w:rFonts w:ascii="Book Antiqua" w:hAnsi="Book Antiqua"/>
          <w:b/>
          <w:bCs/>
          <w:sz w:val="28"/>
          <w:szCs w:val="28"/>
        </w:rPr>
        <w:t xml:space="preserve"> (CST)</w:t>
      </w:r>
      <w:r w:rsidRPr="0076412D">
        <w:rPr>
          <w:rFonts w:ascii="Book Antiqua" w:hAnsi="Book Antiqua"/>
          <w:b/>
          <w:bCs/>
          <w:sz w:val="28"/>
          <w:szCs w:val="28"/>
        </w:rPr>
        <w:t xml:space="preserve"> pour l’année 202</w:t>
      </w:r>
      <w:r w:rsidR="004D4B31">
        <w:rPr>
          <w:rFonts w:ascii="Book Antiqua" w:hAnsi="Book Antiqua"/>
          <w:b/>
          <w:bCs/>
          <w:sz w:val="28"/>
          <w:szCs w:val="28"/>
        </w:rPr>
        <w:t>4</w:t>
      </w:r>
      <w:r w:rsidRPr="0076412D">
        <w:rPr>
          <w:rFonts w:ascii="Book Antiqua" w:hAnsi="Book Antiqua"/>
          <w:b/>
          <w:bCs/>
          <w:sz w:val="28"/>
          <w:szCs w:val="28"/>
        </w:rPr>
        <w:t xml:space="preserve"> fait </w:t>
      </w:r>
      <w:r w:rsidR="001502B5">
        <w:rPr>
          <w:rFonts w:ascii="Book Antiqua" w:hAnsi="Book Antiqua"/>
          <w:b/>
          <w:bCs/>
          <w:sz w:val="28"/>
          <w:szCs w:val="28"/>
        </w:rPr>
        <w:t xml:space="preserve">apparaître </w:t>
      </w:r>
      <w:r w:rsidR="00BB2CD9">
        <w:rPr>
          <w:rFonts w:ascii="Book Antiqua" w:hAnsi="Book Antiqua"/>
          <w:b/>
          <w:bCs/>
          <w:sz w:val="28"/>
          <w:szCs w:val="28"/>
        </w:rPr>
        <w:t xml:space="preserve">une </w:t>
      </w:r>
      <w:r w:rsidR="00C20E03">
        <w:rPr>
          <w:rFonts w:ascii="Book Antiqua" w:hAnsi="Book Antiqua"/>
          <w:b/>
          <w:bCs/>
          <w:sz w:val="28"/>
          <w:szCs w:val="28"/>
        </w:rPr>
        <w:t>progression marquée</w:t>
      </w:r>
      <w:r w:rsidR="00077F02">
        <w:rPr>
          <w:rFonts w:ascii="Book Antiqua" w:hAnsi="Book Antiqua"/>
          <w:b/>
          <w:bCs/>
          <w:sz w:val="28"/>
          <w:szCs w:val="28"/>
        </w:rPr>
        <w:t xml:space="preserve"> du P</w:t>
      </w:r>
      <w:r w:rsidRPr="0076412D">
        <w:rPr>
          <w:rFonts w:ascii="Book Antiqua" w:hAnsi="Book Antiqua"/>
          <w:b/>
          <w:bCs/>
          <w:sz w:val="28"/>
          <w:szCs w:val="28"/>
        </w:rPr>
        <w:t>rodui</w:t>
      </w:r>
      <w:r w:rsidR="00BB2CD9">
        <w:rPr>
          <w:rFonts w:ascii="Book Antiqua" w:hAnsi="Book Antiqua"/>
          <w:b/>
          <w:bCs/>
          <w:sz w:val="28"/>
          <w:szCs w:val="28"/>
        </w:rPr>
        <w:t xml:space="preserve">t </w:t>
      </w:r>
      <w:r w:rsidR="00C525B8">
        <w:rPr>
          <w:rFonts w:ascii="Book Antiqua" w:hAnsi="Book Antiqua"/>
          <w:b/>
          <w:bCs/>
          <w:sz w:val="28"/>
          <w:szCs w:val="28"/>
        </w:rPr>
        <w:t>Intérieur Brut t</w:t>
      </w:r>
      <w:r w:rsidR="00BB2CD9">
        <w:rPr>
          <w:rFonts w:ascii="Book Antiqua" w:hAnsi="Book Antiqua"/>
          <w:b/>
          <w:bCs/>
          <w:sz w:val="28"/>
          <w:szCs w:val="28"/>
        </w:rPr>
        <w:t>ouristique</w:t>
      </w:r>
      <w:r w:rsidR="00C20E03">
        <w:rPr>
          <w:rFonts w:ascii="Book Antiqua" w:hAnsi="Book Antiqua"/>
          <w:b/>
          <w:bCs/>
          <w:sz w:val="28"/>
          <w:szCs w:val="28"/>
        </w:rPr>
        <w:t xml:space="preserve">, en hausse </w:t>
      </w:r>
      <w:r w:rsidR="00BB2CD9">
        <w:rPr>
          <w:rFonts w:ascii="Book Antiqua" w:hAnsi="Book Antiqua"/>
          <w:b/>
          <w:bCs/>
          <w:sz w:val="28"/>
          <w:szCs w:val="28"/>
        </w:rPr>
        <w:t>de 38,4</w:t>
      </w:r>
      <w:r w:rsidRPr="0076412D">
        <w:rPr>
          <w:rFonts w:ascii="Book Antiqua" w:hAnsi="Book Antiqua"/>
          <w:b/>
          <w:bCs/>
          <w:sz w:val="28"/>
          <w:szCs w:val="28"/>
        </w:rPr>
        <w:t xml:space="preserve">% </w:t>
      </w:r>
      <w:r>
        <w:rPr>
          <w:rFonts w:ascii="Book Antiqua" w:hAnsi="Book Antiqua"/>
          <w:b/>
          <w:bCs/>
          <w:sz w:val="28"/>
          <w:szCs w:val="28"/>
        </w:rPr>
        <w:t>par rapport à</w:t>
      </w:r>
      <w:r w:rsidRPr="0076412D">
        <w:rPr>
          <w:rFonts w:ascii="Book Antiqua" w:hAnsi="Book Antiqua"/>
          <w:b/>
          <w:bCs/>
          <w:sz w:val="28"/>
          <w:szCs w:val="28"/>
        </w:rPr>
        <w:t xml:space="preserve"> 201</w:t>
      </w:r>
      <w:r>
        <w:rPr>
          <w:rFonts w:ascii="Book Antiqua" w:hAnsi="Book Antiqua"/>
          <w:b/>
          <w:bCs/>
          <w:sz w:val="28"/>
          <w:szCs w:val="28"/>
        </w:rPr>
        <w:t>9</w:t>
      </w:r>
      <w:r w:rsidR="00A90B77">
        <w:rPr>
          <w:rStyle w:val="Appelnotedebasdep"/>
          <w:rFonts w:ascii="Book Antiqua" w:hAnsi="Book Antiqua"/>
          <w:b/>
          <w:bCs/>
          <w:sz w:val="28"/>
          <w:szCs w:val="28"/>
        </w:rPr>
        <w:footnoteReference w:id="1"/>
      </w:r>
      <w:r w:rsidR="00F358EB">
        <w:rPr>
          <w:rFonts w:ascii="Book Antiqua" w:hAnsi="Book Antiqua"/>
          <w:b/>
          <w:bCs/>
          <w:sz w:val="28"/>
          <w:szCs w:val="28"/>
        </w:rPr>
        <w:t>. S</w:t>
      </w:r>
      <w:r w:rsidR="00D209C1">
        <w:rPr>
          <w:rFonts w:ascii="Book Antiqua" w:hAnsi="Book Antiqua"/>
          <w:b/>
          <w:bCs/>
          <w:sz w:val="28"/>
          <w:szCs w:val="28"/>
        </w:rPr>
        <w:t>a c</w:t>
      </w:r>
      <w:r w:rsidR="00F358EB">
        <w:rPr>
          <w:rFonts w:ascii="Book Antiqua" w:hAnsi="Book Antiqua"/>
          <w:b/>
          <w:bCs/>
          <w:sz w:val="28"/>
          <w:szCs w:val="28"/>
        </w:rPr>
        <w:t xml:space="preserve">ontribution au PIB national </w:t>
      </w:r>
      <w:r w:rsidR="001502B5">
        <w:rPr>
          <w:rFonts w:ascii="Book Antiqua" w:hAnsi="Book Antiqua"/>
          <w:b/>
          <w:bCs/>
          <w:sz w:val="28"/>
          <w:szCs w:val="28"/>
        </w:rPr>
        <w:t>est passée</w:t>
      </w:r>
      <w:r w:rsidR="00F358EB">
        <w:rPr>
          <w:rFonts w:ascii="Book Antiqua" w:hAnsi="Book Antiqua"/>
          <w:b/>
          <w:bCs/>
          <w:sz w:val="28"/>
          <w:szCs w:val="28"/>
        </w:rPr>
        <w:t xml:space="preserve"> de 6,8% à </w:t>
      </w:r>
      <w:r w:rsidR="00BB2CD9">
        <w:rPr>
          <w:rFonts w:ascii="Book Antiqua" w:hAnsi="Book Antiqua"/>
          <w:b/>
          <w:bCs/>
          <w:sz w:val="28"/>
          <w:szCs w:val="28"/>
        </w:rPr>
        <w:t>7</w:t>
      </w:r>
      <w:r w:rsidR="00F358EB">
        <w:rPr>
          <w:rFonts w:ascii="Book Antiqua" w:hAnsi="Book Antiqua"/>
          <w:b/>
          <w:bCs/>
          <w:sz w:val="28"/>
          <w:szCs w:val="28"/>
        </w:rPr>
        <w:t>,3%.</w:t>
      </w:r>
      <w:r w:rsidR="00AE6795">
        <w:rPr>
          <w:rFonts w:ascii="Book Antiqua" w:hAnsi="Book Antiqua"/>
          <w:b/>
          <w:bCs/>
          <w:sz w:val="28"/>
          <w:szCs w:val="28"/>
        </w:rPr>
        <w:t xml:space="preserve">      </w:t>
      </w:r>
    </w:p>
    <w:p w:rsidR="00E54F12" w:rsidRPr="00313AA8" w:rsidRDefault="00C20E03" w:rsidP="001502B5">
      <w:p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</w:rPr>
        <w:t xml:space="preserve">Ainsi, </w:t>
      </w:r>
      <w:r w:rsidR="00A3315F" w:rsidRPr="0098451B">
        <w:rPr>
          <w:rFonts w:ascii="Book Antiqua" w:hAnsi="Book Antiqua"/>
        </w:rPr>
        <w:t>l</w:t>
      </w:r>
      <w:r w:rsidR="00093022" w:rsidRPr="0098451B">
        <w:rPr>
          <w:rFonts w:ascii="Book Antiqua" w:hAnsi="Book Antiqua"/>
        </w:rPr>
        <w:t>a consommation intérieure</w:t>
      </w:r>
      <w:r w:rsidR="00A90B77">
        <w:rPr>
          <w:rStyle w:val="Appelnotedebasdep"/>
          <w:rFonts w:ascii="Book Antiqua" w:hAnsi="Book Antiqua"/>
        </w:rPr>
        <w:footnoteReference w:id="2"/>
      </w:r>
      <w:r w:rsidR="00093022" w:rsidRPr="0098451B">
        <w:rPr>
          <w:rFonts w:ascii="Book Antiqua" w:hAnsi="Book Antiqua"/>
        </w:rPr>
        <w:t xml:space="preserve"> du tourisme </w:t>
      </w:r>
      <w:r w:rsidR="00427ABE" w:rsidRPr="0098451B">
        <w:rPr>
          <w:rFonts w:ascii="Book Antiqua" w:hAnsi="Book Antiqua"/>
        </w:rPr>
        <w:t>s’est établie à</w:t>
      </w:r>
      <w:r w:rsidR="00AE59AF">
        <w:rPr>
          <w:rFonts w:ascii="Book Antiqua" w:hAnsi="Book Antiqua"/>
        </w:rPr>
        <w:t xml:space="preserve"> </w:t>
      </w:r>
      <w:r w:rsidR="00BB2CD9">
        <w:rPr>
          <w:rFonts w:ascii="Book Antiqua" w:hAnsi="Book Antiqua"/>
          <w:bCs/>
        </w:rPr>
        <w:t>201,7</w:t>
      </w:r>
      <w:r>
        <w:rPr>
          <w:rFonts w:ascii="Book Antiqua" w:hAnsi="Book Antiqua"/>
          <w:bCs/>
        </w:rPr>
        <w:t xml:space="preserve"> </w:t>
      </w:r>
      <w:r w:rsidR="008C170C" w:rsidRPr="0098451B">
        <w:rPr>
          <w:rFonts w:ascii="Book Antiqua" w:hAnsi="Book Antiqua"/>
          <w:color w:val="000000"/>
        </w:rPr>
        <w:t xml:space="preserve">milliards de dirhams en </w:t>
      </w:r>
      <w:r w:rsidR="00535117" w:rsidRPr="0098451B">
        <w:rPr>
          <w:rFonts w:ascii="Book Antiqua" w:hAnsi="Book Antiqua"/>
          <w:color w:val="000000"/>
        </w:rPr>
        <w:t>20</w:t>
      </w:r>
      <w:r w:rsidR="000A7B11">
        <w:rPr>
          <w:rFonts w:ascii="Book Antiqua" w:hAnsi="Book Antiqua"/>
          <w:color w:val="000000"/>
        </w:rPr>
        <w:t>2</w:t>
      </w:r>
      <w:r w:rsidR="00BB2CD9">
        <w:rPr>
          <w:rFonts w:ascii="Book Antiqua" w:hAnsi="Book Antiqua"/>
          <w:color w:val="000000"/>
        </w:rPr>
        <w:t>4</w:t>
      </w:r>
      <w:r>
        <w:rPr>
          <w:rFonts w:ascii="Book Antiqua" w:hAnsi="Book Antiqua"/>
          <w:color w:val="000000"/>
        </w:rPr>
        <w:t xml:space="preserve">, </w:t>
      </w:r>
      <w:r w:rsidR="00A61257">
        <w:rPr>
          <w:rFonts w:ascii="Book Antiqua" w:hAnsi="Book Antiqua"/>
          <w:color w:val="000000"/>
        </w:rPr>
        <w:t>contre</w:t>
      </w:r>
      <w:r>
        <w:rPr>
          <w:rFonts w:ascii="Book Antiqua" w:hAnsi="Book Antiqua"/>
          <w:color w:val="000000"/>
        </w:rPr>
        <w:t xml:space="preserve"> </w:t>
      </w:r>
      <w:r w:rsidR="000A7B11">
        <w:rPr>
          <w:rFonts w:ascii="Book Antiqua" w:hAnsi="Book Antiqua"/>
          <w:bCs/>
        </w:rPr>
        <w:t>141,4</w:t>
      </w:r>
      <w:r w:rsidR="00AE59AF">
        <w:rPr>
          <w:rFonts w:ascii="Book Antiqua" w:hAnsi="Book Antiqua"/>
          <w:bCs/>
        </w:rPr>
        <w:t xml:space="preserve"> </w:t>
      </w:r>
      <w:r w:rsidR="008C170C" w:rsidRPr="0098451B">
        <w:rPr>
          <w:rFonts w:ascii="Book Antiqua" w:hAnsi="Book Antiqua"/>
          <w:color w:val="000000"/>
        </w:rPr>
        <w:t xml:space="preserve">milliards en </w:t>
      </w:r>
      <w:r w:rsidR="00535117" w:rsidRPr="0098451B">
        <w:rPr>
          <w:rFonts w:ascii="Book Antiqua" w:hAnsi="Book Antiqua"/>
          <w:color w:val="000000"/>
        </w:rPr>
        <w:t>201</w:t>
      </w:r>
      <w:r w:rsidR="000A7B11">
        <w:rPr>
          <w:rFonts w:ascii="Book Antiqua" w:hAnsi="Book Antiqua"/>
          <w:color w:val="000000"/>
        </w:rPr>
        <w:t>9</w:t>
      </w:r>
      <w:r w:rsidR="00EB40D1" w:rsidRPr="0098451B">
        <w:rPr>
          <w:rFonts w:ascii="Book Antiqua" w:hAnsi="Book Antiqua"/>
          <w:color w:val="000000"/>
        </w:rPr>
        <w:t>,</w:t>
      </w:r>
      <w:r>
        <w:rPr>
          <w:rFonts w:ascii="Book Antiqua" w:hAnsi="Book Antiqua"/>
          <w:color w:val="000000"/>
        </w:rPr>
        <w:t xml:space="preserve"> enregistrant</w:t>
      </w:r>
      <w:r w:rsidR="00A61257">
        <w:rPr>
          <w:rFonts w:ascii="Book Antiqua" w:hAnsi="Book Antiqua"/>
          <w:color w:val="000000"/>
        </w:rPr>
        <w:t xml:space="preserve"> une progression</w:t>
      </w:r>
      <w:r w:rsidR="00E709F4" w:rsidRPr="0098451B">
        <w:rPr>
          <w:rFonts w:ascii="Book Antiqua" w:hAnsi="Book Antiqua"/>
          <w:color w:val="000000"/>
        </w:rPr>
        <w:t xml:space="preserve"> de </w:t>
      </w:r>
      <w:r w:rsidR="00BB2CD9">
        <w:rPr>
          <w:rFonts w:ascii="Book Antiqua" w:hAnsi="Book Antiqua"/>
          <w:color w:val="000000"/>
        </w:rPr>
        <w:t>42,6</w:t>
      </w:r>
      <w:r w:rsidR="00535117" w:rsidRPr="0098451B">
        <w:rPr>
          <w:rFonts w:ascii="Book Antiqua" w:hAnsi="Book Antiqua"/>
          <w:bCs/>
        </w:rPr>
        <w:t>%</w:t>
      </w:r>
      <w:r w:rsidR="00E54F12" w:rsidRPr="0098451B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 w:rsidR="000A7B11">
        <w:rPr>
          <w:rFonts w:ascii="Book Antiqua" w:hAnsi="Book Antiqua"/>
          <w:color w:val="000000"/>
        </w:rPr>
        <w:t>Ce</w:t>
      </w:r>
      <w:r w:rsidR="00BB2CD9">
        <w:rPr>
          <w:rFonts w:ascii="Book Antiqua" w:hAnsi="Book Antiqua"/>
          <w:color w:val="000000"/>
        </w:rPr>
        <w:t xml:space="preserve">tte </w:t>
      </w:r>
      <w:r>
        <w:rPr>
          <w:rFonts w:ascii="Book Antiqua" w:hAnsi="Book Antiqua"/>
          <w:color w:val="000000"/>
        </w:rPr>
        <w:t xml:space="preserve">hausse </w:t>
      </w:r>
      <w:r w:rsidR="001502B5">
        <w:rPr>
          <w:rFonts w:ascii="Book Antiqua" w:hAnsi="Book Antiqua"/>
          <w:color w:val="000000"/>
        </w:rPr>
        <w:t>résulte</w:t>
      </w:r>
      <w:r w:rsidR="001502B5" w:rsidRPr="00313AA8">
        <w:rPr>
          <w:rFonts w:ascii="Book Antiqua" w:hAnsi="Book Antiqua"/>
          <w:color w:val="000000"/>
        </w:rPr>
        <w:t> :</w:t>
      </w:r>
    </w:p>
    <w:p w:rsidR="00D326B6" w:rsidRPr="0098451B" w:rsidRDefault="001502B5" w:rsidP="001502B5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>d</w:t>
      </w:r>
      <w:r w:rsidR="00C20E03" w:rsidRPr="00C20E03">
        <w:rPr>
          <w:rFonts w:ascii="Book Antiqua" w:hAnsi="Book Antiqua"/>
          <w:bCs/>
          <w:color w:val="000000"/>
        </w:rPr>
        <w:t>’une augmentation</w:t>
      </w:r>
      <w:r w:rsidR="00C20E03">
        <w:rPr>
          <w:rFonts w:ascii="Book Antiqua" w:hAnsi="Book Antiqua"/>
          <w:b/>
          <w:color w:val="000000"/>
        </w:rPr>
        <w:t xml:space="preserve"> </w:t>
      </w:r>
      <w:r w:rsidR="00C20E03" w:rsidRPr="00313AA8">
        <w:rPr>
          <w:rFonts w:ascii="Book Antiqua" w:hAnsi="Book Antiqua"/>
          <w:color w:val="000000"/>
        </w:rPr>
        <w:t xml:space="preserve">de </w:t>
      </w:r>
      <w:r w:rsidR="00C20E03">
        <w:rPr>
          <w:rFonts w:ascii="Book Antiqua" w:hAnsi="Book Antiqua"/>
          <w:color w:val="000000"/>
        </w:rPr>
        <w:t>46,8</w:t>
      </w:r>
      <w:r w:rsidR="00C20E03" w:rsidRPr="00313AA8">
        <w:rPr>
          <w:rFonts w:ascii="Book Antiqua" w:hAnsi="Book Antiqua"/>
          <w:bCs/>
        </w:rPr>
        <w:t>%</w:t>
      </w:r>
      <w:r w:rsidR="00C20E03">
        <w:rPr>
          <w:rFonts w:ascii="Book Antiqua" w:hAnsi="Book Antiqua"/>
        </w:rPr>
        <w:t xml:space="preserve"> </w:t>
      </w:r>
      <w:r w:rsidR="00C20E03">
        <w:rPr>
          <w:rFonts w:ascii="Book Antiqua" w:hAnsi="Book Antiqua"/>
          <w:b/>
          <w:color w:val="000000"/>
        </w:rPr>
        <w:t xml:space="preserve">de la consommation du </w:t>
      </w:r>
      <w:r w:rsidR="00DC1A97" w:rsidRPr="00313AA8">
        <w:rPr>
          <w:rFonts w:ascii="Book Antiqua" w:hAnsi="Book Antiqua"/>
          <w:b/>
          <w:color w:val="000000"/>
        </w:rPr>
        <w:t>tourisme récepteu</w:t>
      </w:r>
      <w:r w:rsidR="00DC1A97" w:rsidRPr="00313AA8">
        <w:rPr>
          <w:rFonts w:ascii="Book Antiqua" w:hAnsi="Book Antiqua"/>
          <w:bCs/>
          <w:color w:val="000000"/>
        </w:rPr>
        <w:t>r</w:t>
      </w:r>
      <w:r w:rsidR="00A90B77">
        <w:rPr>
          <w:rFonts w:ascii="Book Antiqua" w:hAnsi="Book Antiqua"/>
          <w:bCs/>
          <w:color w:val="000000"/>
        </w:rPr>
        <w:t xml:space="preserve"> </w:t>
      </w:r>
      <w:r w:rsidR="00EC60F0" w:rsidRPr="00313AA8">
        <w:rPr>
          <w:rFonts w:ascii="Book Antiqua" w:hAnsi="Book Antiqua"/>
          <w:color w:val="000000"/>
        </w:rPr>
        <w:t xml:space="preserve">passant </w:t>
      </w:r>
      <w:r w:rsidR="00DC1A97" w:rsidRPr="00313AA8">
        <w:rPr>
          <w:rFonts w:ascii="Book Antiqua" w:hAnsi="Book Antiqua"/>
          <w:color w:val="000000"/>
        </w:rPr>
        <w:t>de</w:t>
      </w:r>
      <w:r w:rsidR="00B75AFF">
        <w:rPr>
          <w:rFonts w:ascii="Book Antiqua" w:hAnsi="Book Antiqua"/>
          <w:color w:val="000000"/>
        </w:rPr>
        <w:t xml:space="preserve"> </w:t>
      </w:r>
      <w:r w:rsidR="000A7B11">
        <w:rPr>
          <w:rFonts w:ascii="Book Antiqua" w:hAnsi="Book Antiqua"/>
        </w:rPr>
        <w:t>93,2</w:t>
      </w:r>
      <w:r w:rsidR="00B75AFF">
        <w:rPr>
          <w:rFonts w:ascii="Book Antiqua" w:hAnsi="Book Antiqua"/>
        </w:rPr>
        <w:t xml:space="preserve"> </w:t>
      </w:r>
      <w:r w:rsidR="00DC1A97" w:rsidRPr="00313AA8">
        <w:rPr>
          <w:rFonts w:ascii="Book Antiqua" w:hAnsi="Book Antiqua"/>
        </w:rPr>
        <w:t>milliards</w:t>
      </w:r>
      <w:r w:rsidR="00C20E03">
        <w:rPr>
          <w:rFonts w:ascii="Book Antiqua" w:hAnsi="Book Antiqua"/>
        </w:rPr>
        <w:t xml:space="preserve"> </w:t>
      </w:r>
      <w:r w:rsidR="00984CEE" w:rsidRPr="0098451B">
        <w:rPr>
          <w:rFonts w:ascii="Book Antiqua" w:hAnsi="Book Antiqua"/>
        </w:rPr>
        <w:t xml:space="preserve">de dirhams </w:t>
      </w:r>
      <w:r w:rsidR="0027672E" w:rsidRPr="0098451B">
        <w:rPr>
          <w:rFonts w:ascii="Book Antiqua" w:hAnsi="Book Antiqua"/>
        </w:rPr>
        <w:t xml:space="preserve">en </w:t>
      </w:r>
      <w:r w:rsidR="00535117" w:rsidRPr="0098451B">
        <w:rPr>
          <w:rFonts w:ascii="Book Antiqua" w:hAnsi="Book Antiqua"/>
        </w:rPr>
        <w:t>201</w:t>
      </w:r>
      <w:r w:rsidR="000A7B11">
        <w:rPr>
          <w:rFonts w:ascii="Book Antiqua" w:hAnsi="Book Antiqua"/>
        </w:rPr>
        <w:t>9</w:t>
      </w:r>
      <w:r w:rsidR="0027672E" w:rsidRPr="0098451B">
        <w:rPr>
          <w:rFonts w:ascii="Book Antiqua" w:hAnsi="Book Antiqua"/>
        </w:rPr>
        <w:t xml:space="preserve"> à </w:t>
      </w:r>
      <w:r w:rsidR="00BB2CD9">
        <w:rPr>
          <w:rFonts w:ascii="Book Antiqua" w:hAnsi="Book Antiqua"/>
        </w:rPr>
        <w:t>136,9</w:t>
      </w:r>
      <w:r w:rsidR="00DC1A97" w:rsidRPr="0098451B">
        <w:rPr>
          <w:rFonts w:ascii="Book Antiqua" w:hAnsi="Book Antiqua"/>
        </w:rPr>
        <w:t xml:space="preserve"> milliards en </w:t>
      </w:r>
      <w:r w:rsidR="000A7B11">
        <w:rPr>
          <w:rFonts w:ascii="Book Antiqua" w:hAnsi="Book Antiqua"/>
        </w:rPr>
        <w:t>202</w:t>
      </w:r>
      <w:r w:rsidR="00BB2CD9">
        <w:rPr>
          <w:rFonts w:ascii="Book Antiqua" w:hAnsi="Book Antiqua"/>
        </w:rPr>
        <w:t>4</w:t>
      </w:r>
      <w:r w:rsidR="006046B0" w:rsidRPr="0098451B">
        <w:rPr>
          <w:rFonts w:ascii="Book Antiqua" w:hAnsi="Book Antiqua"/>
        </w:rPr>
        <w:t>;</w:t>
      </w:r>
    </w:p>
    <w:p w:rsidR="00582271" w:rsidRPr="0098451B" w:rsidRDefault="001502B5" w:rsidP="001502B5">
      <w:pPr>
        <w:pStyle w:val="Paragraphedeliste"/>
        <w:numPr>
          <w:ilvl w:val="0"/>
          <w:numId w:val="6"/>
        </w:numPr>
        <w:spacing w:after="120" w:line="360" w:lineRule="auto"/>
        <w:ind w:left="714" w:hanging="357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>d</w:t>
      </w:r>
      <w:r w:rsidR="00C20E03" w:rsidRPr="00C20E03">
        <w:rPr>
          <w:rFonts w:ascii="Book Antiqua" w:hAnsi="Book Antiqua"/>
          <w:bCs/>
          <w:color w:val="000000"/>
        </w:rPr>
        <w:t xml:space="preserve">’une progression </w:t>
      </w:r>
      <w:r w:rsidR="00C20E03" w:rsidRPr="00C20E03">
        <w:rPr>
          <w:rFonts w:ascii="Book Antiqua" w:hAnsi="Book Antiqua"/>
          <w:bCs/>
        </w:rPr>
        <w:t>de</w:t>
      </w:r>
      <w:r w:rsidR="00C20E03" w:rsidRPr="0098451B">
        <w:rPr>
          <w:rFonts w:ascii="Book Antiqua" w:hAnsi="Book Antiqua"/>
        </w:rPr>
        <w:t xml:space="preserve"> </w:t>
      </w:r>
      <w:r w:rsidR="00C20E03">
        <w:rPr>
          <w:rFonts w:ascii="Book Antiqua" w:hAnsi="Book Antiqua"/>
          <w:bCs/>
        </w:rPr>
        <w:t>34,6</w:t>
      </w:r>
      <w:r w:rsidR="00C20E03" w:rsidRPr="0098451B">
        <w:rPr>
          <w:rFonts w:ascii="Book Antiqua" w:hAnsi="Book Antiqua"/>
          <w:bCs/>
        </w:rPr>
        <w:t>%</w:t>
      </w:r>
      <w:r w:rsidR="00C20E03">
        <w:rPr>
          <w:rFonts w:ascii="Book Antiqua" w:hAnsi="Book Antiqua"/>
        </w:rPr>
        <w:t xml:space="preserve"> de la consommation liée au</w:t>
      </w:r>
      <w:r w:rsidR="00C20E03">
        <w:rPr>
          <w:rFonts w:ascii="Book Antiqua" w:hAnsi="Book Antiqua"/>
          <w:b/>
          <w:color w:val="000000"/>
        </w:rPr>
        <w:t xml:space="preserve"> </w:t>
      </w:r>
      <w:r w:rsidR="00DC1A97" w:rsidRPr="0098451B">
        <w:rPr>
          <w:rFonts w:ascii="Book Antiqua" w:hAnsi="Book Antiqua"/>
          <w:b/>
          <w:color w:val="000000"/>
        </w:rPr>
        <w:t>tourisme interne et émetteur</w:t>
      </w:r>
      <w:r w:rsidR="00A90B77">
        <w:rPr>
          <w:rStyle w:val="Appelnotedebasdep"/>
          <w:rFonts w:ascii="Book Antiqua" w:hAnsi="Book Antiqua"/>
          <w:b/>
          <w:color w:val="000000"/>
        </w:rPr>
        <w:footnoteReference w:id="3"/>
      </w:r>
      <w:r w:rsidR="00A90B77">
        <w:rPr>
          <w:rFonts w:ascii="Book Antiqua" w:hAnsi="Book Antiqua"/>
          <w:b/>
          <w:color w:val="000000"/>
        </w:rPr>
        <w:t xml:space="preserve"> </w:t>
      </w:r>
      <w:r w:rsidR="00EC60F0" w:rsidRPr="0098451B">
        <w:rPr>
          <w:rFonts w:ascii="Book Antiqua" w:hAnsi="Book Antiqua"/>
        </w:rPr>
        <w:t>passant</w:t>
      </w:r>
      <w:r w:rsidR="00DC1A97" w:rsidRPr="0098451B">
        <w:rPr>
          <w:rFonts w:ascii="Book Antiqua" w:hAnsi="Book Antiqua"/>
        </w:rPr>
        <w:t xml:space="preserve"> de </w:t>
      </w:r>
      <w:r w:rsidR="00BF5C47">
        <w:rPr>
          <w:rFonts w:ascii="Book Antiqua" w:hAnsi="Book Antiqua"/>
        </w:rPr>
        <w:t>4</w:t>
      </w:r>
      <w:r w:rsidR="000A7B11">
        <w:rPr>
          <w:rFonts w:ascii="Book Antiqua" w:hAnsi="Book Antiqua"/>
        </w:rPr>
        <w:t>8,2</w:t>
      </w:r>
      <w:r w:rsidR="00C20E03">
        <w:rPr>
          <w:rFonts w:ascii="Book Antiqua" w:hAnsi="Book Antiqua"/>
        </w:rPr>
        <w:t xml:space="preserve"> </w:t>
      </w:r>
      <w:r w:rsidR="00DC1A97" w:rsidRPr="0098451B">
        <w:rPr>
          <w:rFonts w:ascii="Book Antiqua" w:hAnsi="Book Antiqua"/>
        </w:rPr>
        <w:t xml:space="preserve">milliards </w:t>
      </w:r>
      <w:r w:rsidR="00984CEE" w:rsidRPr="0098451B">
        <w:rPr>
          <w:rFonts w:ascii="Book Antiqua" w:hAnsi="Book Antiqua"/>
        </w:rPr>
        <w:t xml:space="preserve">de dirhams </w:t>
      </w:r>
      <w:r w:rsidR="00DC1A97" w:rsidRPr="0098451B">
        <w:rPr>
          <w:rFonts w:ascii="Book Antiqua" w:hAnsi="Book Antiqua"/>
        </w:rPr>
        <w:t xml:space="preserve">en </w:t>
      </w:r>
      <w:r w:rsidR="00535117" w:rsidRPr="0098451B">
        <w:rPr>
          <w:rFonts w:ascii="Book Antiqua" w:hAnsi="Book Antiqua"/>
        </w:rPr>
        <w:t>201</w:t>
      </w:r>
      <w:r w:rsidR="000A7B11">
        <w:rPr>
          <w:rFonts w:ascii="Book Antiqua" w:hAnsi="Book Antiqua"/>
        </w:rPr>
        <w:t>9</w:t>
      </w:r>
      <w:r w:rsidR="00DC1A97" w:rsidRPr="0098451B">
        <w:rPr>
          <w:rFonts w:ascii="Book Antiqua" w:hAnsi="Book Antiqua"/>
        </w:rPr>
        <w:t xml:space="preserve"> à </w:t>
      </w:r>
      <w:r w:rsidR="00BB2CD9">
        <w:rPr>
          <w:rFonts w:ascii="Book Antiqua" w:hAnsi="Book Antiqua"/>
        </w:rPr>
        <w:t>64,8</w:t>
      </w:r>
      <w:r w:rsidR="00C20E03">
        <w:rPr>
          <w:rFonts w:ascii="Book Antiqua" w:hAnsi="Book Antiqua"/>
        </w:rPr>
        <w:t xml:space="preserve"> </w:t>
      </w:r>
      <w:r w:rsidR="0027672E" w:rsidRPr="0098451B">
        <w:rPr>
          <w:rFonts w:ascii="Book Antiqua" w:hAnsi="Book Antiqua"/>
        </w:rPr>
        <w:t xml:space="preserve">milliards en </w:t>
      </w:r>
      <w:r w:rsidR="00535117" w:rsidRPr="0098451B">
        <w:rPr>
          <w:rFonts w:ascii="Book Antiqua" w:hAnsi="Book Antiqua"/>
        </w:rPr>
        <w:t>20</w:t>
      </w:r>
      <w:r w:rsidR="000A7B11">
        <w:rPr>
          <w:rFonts w:ascii="Book Antiqua" w:hAnsi="Book Antiqua"/>
        </w:rPr>
        <w:t>2</w:t>
      </w:r>
      <w:r w:rsidR="00BB2CD9">
        <w:rPr>
          <w:rFonts w:ascii="Book Antiqua" w:hAnsi="Book Antiqua"/>
        </w:rPr>
        <w:t>4</w:t>
      </w:r>
      <w:r w:rsidR="00DC1A97" w:rsidRPr="0098451B">
        <w:rPr>
          <w:rFonts w:ascii="Book Antiqua" w:hAnsi="Book Antiqua"/>
        </w:rPr>
        <w:t>.</w:t>
      </w:r>
    </w:p>
    <w:p w:rsidR="00A90B77" w:rsidRDefault="00A90B77" w:rsidP="00593098">
      <w:pPr>
        <w:spacing w:line="480" w:lineRule="auto"/>
        <w:jc w:val="both"/>
        <w:rPr>
          <w:rFonts w:ascii="Book Antiqua" w:hAnsi="Book Antiqua"/>
        </w:rPr>
      </w:pPr>
    </w:p>
    <w:p w:rsidR="00A90B77" w:rsidRDefault="00A90B77" w:rsidP="00593098">
      <w:pPr>
        <w:spacing w:line="480" w:lineRule="auto"/>
        <w:jc w:val="both"/>
        <w:rPr>
          <w:rFonts w:ascii="Book Antiqua" w:hAnsi="Book Antiqua"/>
        </w:rPr>
      </w:pPr>
    </w:p>
    <w:p w:rsidR="00582271" w:rsidRPr="0011049E" w:rsidRDefault="00582271" w:rsidP="00593098">
      <w:pPr>
        <w:spacing w:line="48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lastRenderedPageBreak/>
        <w:t>Dans ce cadre :</w:t>
      </w:r>
    </w:p>
    <w:p w:rsidR="00390C67" w:rsidRPr="0011049E" w:rsidRDefault="00582271" w:rsidP="00204E37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>l</w:t>
      </w:r>
      <w:r w:rsidR="006F0A43" w:rsidRPr="0011049E">
        <w:rPr>
          <w:rFonts w:ascii="Book Antiqua" w:hAnsi="Book Antiqua"/>
        </w:rPr>
        <w:t xml:space="preserve">a part du tourisme récepteur </w:t>
      </w:r>
      <w:r w:rsidR="002F6F50" w:rsidRPr="0011049E">
        <w:rPr>
          <w:rFonts w:ascii="Book Antiqua" w:hAnsi="Book Antiqua"/>
        </w:rPr>
        <w:t xml:space="preserve">dans </w:t>
      </w:r>
      <w:r w:rsidR="00A3593F" w:rsidRPr="0011049E">
        <w:rPr>
          <w:rFonts w:ascii="Book Antiqua" w:hAnsi="Book Antiqua"/>
        </w:rPr>
        <w:t xml:space="preserve">la consommation intérieure </w:t>
      </w:r>
      <w:r w:rsidR="001502B5">
        <w:rPr>
          <w:rFonts w:ascii="Book Antiqua" w:hAnsi="Book Antiqua"/>
        </w:rPr>
        <w:t>a atteint</w:t>
      </w:r>
      <w:r w:rsidR="00735250" w:rsidRPr="0011049E">
        <w:rPr>
          <w:rFonts w:ascii="Book Antiqua" w:hAnsi="Book Antiqua"/>
        </w:rPr>
        <w:t xml:space="preserve"> </w:t>
      </w:r>
      <w:r w:rsidR="001502B5" w:rsidRPr="0011049E">
        <w:rPr>
          <w:rFonts w:ascii="Book Antiqua" w:hAnsi="Book Antiqua"/>
        </w:rPr>
        <w:t>67,9</w:t>
      </w:r>
      <w:r w:rsidR="001502B5" w:rsidRPr="0011049E">
        <w:rPr>
          <w:rFonts w:ascii="Book Antiqua" w:hAnsi="Book Antiqua"/>
          <w:bCs/>
        </w:rPr>
        <w:t>%</w:t>
      </w:r>
      <w:r w:rsidR="001502B5">
        <w:rPr>
          <w:rFonts w:ascii="Book Antiqua" w:hAnsi="Book Antiqua"/>
          <w:bCs/>
        </w:rPr>
        <w:t xml:space="preserve"> </w:t>
      </w:r>
      <w:r w:rsidR="001502B5">
        <w:rPr>
          <w:rFonts w:ascii="Book Antiqua" w:hAnsi="Book Antiqua"/>
        </w:rPr>
        <w:t>au lieu de</w:t>
      </w:r>
      <w:r w:rsidR="00B75AFF">
        <w:rPr>
          <w:rFonts w:ascii="Book Antiqua" w:hAnsi="Book Antiqua"/>
        </w:rPr>
        <w:t xml:space="preserve"> </w:t>
      </w:r>
      <w:r w:rsidR="00735250" w:rsidRPr="00313AA8">
        <w:rPr>
          <w:rFonts w:ascii="Book Antiqua" w:hAnsi="Book Antiqua"/>
          <w:bCs/>
        </w:rPr>
        <w:t>6</w:t>
      </w:r>
      <w:r w:rsidR="000A7B11">
        <w:rPr>
          <w:rFonts w:ascii="Book Antiqua" w:hAnsi="Book Antiqua"/>
          <w:bCs/>
        </w:rPr>
        <w:t>5,9</w:t>
      </w:r>
      <w:r w:rsidR="00535117" w:rsidRPr="0011049E">
        <w:rPr>
          <w:rFonts w:ascii="Book Antiqua" w:hAnsi="Book Antiqua"/>
          <w:bCs/>
        </w:rPr>
        <w:t xml:space="preserve">% </w:t>
      </w:r>
      <w:r w:rsidR="00781C5F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</w:t>
      </w:r>
      <w:r w:rsidR="000A7B11">
        <w:rPr>
          <w:rFonts w:ascii="Book Antiqua" w:hAnsi="Book Antiqua"/>
        </w:rPr>
        <w:t>9</w:t>
      </w:r>
      <w:r w:rsidR="00C20E03">
        <w:rPr>
          <w:rFonts w:ascii="Book Antiqua" w:hAnsi="Book Antiqua"/>
        </w:rPr>
        <w:t>, tandis</w:t>
      </w:r>
      <w:r w:rsidR="00392200">
        <w:rPr>
          <w:rFonts w:ascii="Book Antiqua" w:hAnsi="Book Antiqua"/>
        </w:rPr>
        <w:t xml:space="preserve"> que</w:t>
      </w:r>
      <w:r w:rsidR="00390C67" w:rsidRPr="0011049E">
        <w:rPr>
          <w:rFonts w:ascii="Book Antiqua" w:hAnsi="Book Antiqua"/>
        </w:rPr>
        <w:t xml:space="preserve"> c</w:t>
      </w:r>
      <w:r w:rsidR="00097844" w:rsidRPr="0011049E">
        <w:rPr>
          <w:rFonts w:ascii="Book Antiqua" w:hAnsi="Book Antiqua"/>
        </w:rPr>
        <w:t xml:space="preserve">elle </w:t>
      </w:r>
      <w:r w:rsidR="006F0A43" w:rsidRPr="0011049E">
        <w:rPr>
          <w:rFonts w:ascii="Book Antiqua" w:hAnsi="Book Antiqua"/>
        </w:rPr>
        <w:t xml:space="preserve">du tourisme interne et émetteur </w:t>
      </w:r>
      <w:r w:rsidR="00C20E03">
        <w:rPr>
          <w:rFonts w:ascii="Book Antiqua" w:hAnsi="Book Antiqua"/>
        </w:rPr>
        <w:t>a diminué</w:t>
      </w:r>
      <w:r w:rsidR="00735250" w:rsidRPr="0011049E">
        <w:rPr>
          <w:rFonts w:ascii="Book Antiqua" w:hAnsi="Book Antiqua"/>
        </w:rPr>
        <w:t xml:space="preserve"> de</w:t>
      </w:r>
      <w:r w:rsidR="00C20E03">
        <w:rPr>
          <w:rFonts w:ascii="Book Antiqua" w:hAnsi="Book Antiqua"/>
        </w:rPr>
        <w:t xml:space="preserve"> </w:t>
      </w:r>
      <w:r w:rsidR="00735250" w:rsidRPr="00313AA8">
        <w:rPr>
          <w:rFonts w:ascii="Book Antiqua" w:hAnsi="Book Antiqua"/>
          <w:bCs/>
        </w:rPr>
        <w:t>3</w:t>
      </w:r>
      <w:r w:rsidR="000A7B11">
        <w:rPr>
          <w:rFonts w:ascii="Book Antiqua" w:hAnsi="Book Antiqua"/>
          <w:bCs/>
        </w:rPr>
        <w:t>4,1</w:t>
      </w:r>
      <w:r w:rsidR="00535117" w:rsidRPr="0011049E">
        <w:rPr>
          <w:rFonts w:ascii="Book Antiqua" w:hAnsi="Book Antiqua"/>
          <w:bCs/>
        </w:rPr>
        <w:t xml:space="preserve">% </w:t>
      </w:r>
      <w:r w:rsidR="00C03588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</w:t>
      </w:r>
      <w:r w:rsidR="000A7B11">
        <w:rPr>
          <w:rFonts w:ascii="Book Antiqua" w:hAnsi="Book Antiqua"/>
        </w:rPr>
        <w:t>9</w:t>
      </w:r>
      <w:r w:rsidR="00C20E03">
        <w:rPr>
          <w:rFonts w:ascii="Book Antiqua" w:hAnsi="Book Antiqua"/>
        </w:rPr>
        <w:t xml:space="preserve"> </w:t>
      </w:r>
      <w:r w:rsidR="00390C67" w:rsidRPr="0011049E">
        <w:rPr>
          <w:rFonts w:ascii="Book Antiqua" w:hAnsi="Book Antiqua"/>
        </w:rPr>
        <w:t>à</w:t>
      </w:r>
      <w:r w:rsidR="00C20E03">
        <w:rPr>
          <w:rFonts w:ascii="Book Antiqua" w:hAnsi="Book Antiqua"/>
        </w:rPr>
        <w:t xml:space="preserve"> </w:t>
      </w:r>
      <w:r w:rsidR="00BB2CD9">
        <w:rPr>
          <w:rFonts w:ascii="Book Antiqua" w:hAnsi="Book Antiqua"/>
        </w:rPr>
        <w:t>32,1</w:t>
      </w:r>
      <w:r w:rsidR="00535117" w:rsidRPr="0011049E">
        <w:rPr>
          <w:rFonts w:ascii="Book Antiqua" w:hAnsi="Book Antiqua"/>
          <w:bCs/>
        </w:rPr>
        <w:t xml:space="preserve">% </w:t>
      </w:r>
      <w:r w:rsidR="00C20E03">
        <w:rPr>
          <w:rFonts w:ascii="Book Antiqua" w:hAnsi="Book Antiqua"/>
        </w:rPr>
        <w:t>sur la même période</w:t>
      </w:r>
      <w:r w:rsidR="006F0A43" w:rsidRPr="0011049E">
        <w:rPr>
          <w:rFonts w:ascii="Book Antiqua" w:hAnsi="Book Antiqua"/>
        </w:rPr>
        <w:t>.</w:t>
      </w:r>
    </w:p>
    <w:p w:rsidR="00582271" w:rsidRPr="0011049E" w:rsidRDefault="00582271" w:rsidP="00204E37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>l</w:t>
      </w:r>
      <w:r w:rsidR="00850013" w:rsidRPr="0011049E">
        <w:rPr>
          <w:rFonts w:ascii="Book Antiqua" w:hAnsi="Book Antiqua"/>
        </w:rPr>
        <w:t>a production du secteu</w:t>
      </w:r>
      <w:r w:rsidR="00902233" w:rsidRPr="0011049E">
        <w:rPr>
          <w:rFonts w:ascii="Book Antiqua" w:hAnsi="Book Antiqua"/>
        </w:rPr>
        <w:t xml:space="preserve">r </w:t>
      </w:r>
      <w:r w:rsidR="001502B5" w:rsidRPr="0011049E">
        <w:rPr>
          <w:rFonts w:ascii="Book Antiqua" w:hAnsi="Book Antiqua"/>
        </w:rPr>
        <w:t>d</w:t>
      </w:r>
      <w:r w:rsidR="001502B5">
        <w:rPr>
          <w:rFonts w:ascii="Book Antiqua" w:hAnsi="Book Antiqua"/>
        </w:rPr>
        <w:t>u tourisme</w:t>
      </w:r>
      <w:r w:rsidR="00A61257">
        <w:rPr>
          <w:rFonts w:ascii="Book Antiqua" w:hAnsi="Book Antiqua"/>
        </w:rPr>
        <w:t xml:space="preserve"> </w:t>
      </w:r>
      <w:r w:rsidR="001502B5">
        <w:rPr>
          <w:rFonts w:ascii="Book Antiqua" w:hAnsi="Book Antiqua"/>
        </w:rPr>
        <w:t>s’est établie à</w:t>
      </w:r>
      <w:r w:rsidR="00C20E03">
        <w:rPr>
          <w:rFonts w:ascii="Book Antiqua" w:hAnsi="Book Antiqua"/>
        </w:rPr>
        <w:t xml:space="preserve"> </w:t>
      </w:r>
      <w:r w:rsidR="00AD5CC1">
        <w:rPr>
          <w:rFonts w:ascii="Book Antiqua" w:hAnsi="Book Antiqua"/>
        </w:rPr>
        <w:t>181,9</w:t>
      </w:r>
      <w:r w:rsidR="00850013" w:rsidRPr="0011049E">
        <w:rPr>
          <w:rFonts w:ascii="Book Antiqua" w:hAnsi="Book Antiqua"/>
        </w:rPr>
        <w:t xml:space="preserve"> milliards de dirhams en </w:t>
      </w:r>
      <w:r w:rsidR="00535117" w:rsidRPr="0011049E">
        <w:rPr>
          <w:rFonts w:ascii="Book Antiqua" w:hAnsi="Book Antiqua"/>
        </w:rPr>
        <w:t>20</w:t>
      </w:r>
      <w:r w:rsidR="000A7B11">
        <w:rPr>
          <w:rFonts w:ascii="Book Antiqua" w:hAnsi="Book Antiqua"/>
        </w:rPr>
        <w:t>2</w:t>
      </w:r>
      <w:r w:rsidR="00AD5CC1">
        <w:rPr>
          <w:rFonts w:ascii="Book Antiqua" w:hAnsi="Book Antiqua"/>
        </w:rPr>
        <w:t>4</w:t>
      </w:r>
      <w:r w:rsidR="00850013" w:rsidRPr="0011049E">
        <w:rPr>
          <w:rFonts w:ascii="Book Antiqua" w:hAnsi="Book Antiqua"/>
        </w:rPr>
        <w:t xml:space="preserve"> </w:t>
      </w:r>
      <w:r w:rsidR="00C20E03">
        <w:rPr>
          <w:rFonts w:ascii="Book Antiqua" w:hAnsi="Book Antiqua"/>
        </w:rPr>
        <w:t>contre</w:t>
      </w:r>
      <w:r w:rsidR="00850013" w:rsidRPr="0011049E">
        <w:rPr>
          <w:rFonts w:ascii="Book Antiqua" w:hAnsi="Book Antiqua"/>
        </w:rPr>
        <w:t xml:space="preserve"> </w:t>
      </w:r>
      <w:r w:rsidR="000A7B11">
        <w:rPr>
          <w:rFonts w:ascii="Book Antiqua" w:hAnsi="Book Antiqua"/>
        </w:rPr>
        <w:t>12</w:t>
      </w:r>
      <w:r w:rsidR="00AD5CC1">
        <w:rPr>
          <w:rFonts w:ascii="Book Antiqua" w:hAnsi="Book Antiqua"/>
        </w:rPr>
        <w:t>7,8</w:t>
      </w:r>
      <w:r w:rsidR="001502B5">
        <w:rPr>
          <w:rFonts w:ascii="Book Antiqua" w:hAnsi="Book Antiqua"/>
        </w:rPr>
        <w:t xml:space="preserve"> </w:t>
      </w:r>
      <w:r w:rsidR="00850013" w:rsidRPr="0011049E">
        <w:rPr>
          <w:rFonts w:ascii="Book Antiqua" w:hAnsi="Book Antiqua"/>
        </w:rPr>
        <w:t xml:space="preserve">milliards en </w:t>
      </w:r>
      <w:r w:rsidR="00535117" w:rsidRPr="0011049E">
        <w:rPr>
          <w:rFonts w:ascii="Book Antiqua" w:hAnsi="Book Antiqua"/>
        </w:rPr>
        <w:t>20</w:t>
      </w:r>
      <w:r w:rsidR="000A7B11">
        <w:rPr>
          <w:rFonts w:ascii="Book Antiqua" w:hAnsi="Book Antiqua"/>
        </w:rPr>
        <w:t>19</w:t>
      </w:r>
      <w:r w:rsidRPr="0011049E">
        <w:rPr>
          <w:rFonts w:ascii="Book Antiqua" w:hAnsi="Book Antiqua"/>
        </w:rPr>
        <w:t xml:space="preserve">, </w:t>
      </w:r>
      <w:r w:rsidR="00C20E03">
        <w:rPr>
          <w:rFonts w:ascii="Book Antiqua" w:hAnsi="Book Antiqua"/>
        </w:rPr>
        <w:t>soit une hausse</w:t>
      </w:r>
      <w:r w:rsidR="00850013" w:rsidRPr="0011049E">
        <w:rPr>
          <w:rFonts w:ascii="Book Antiqua" w:hAnsi="Book Antiqua"/>
        </w:rPr>
        <w:t xml:space="preserve"> de </w:t>
      </w:r>
      <w:r w:rsidR="00AD5CC1">
        <w:rPr>
          <w:rFonts w:ascii="Book Antiqua" w:hAnsi="Book Antiqua"/>
        </w:rPr>
        <w:t>42,3</w:t>
      </w:r>
      <w:r w:rsidR="00535117" w:rsidRPr="0011049E">
        <w:rPr>
          <w:rFonts w:ascii="Book Antiqua" w:hAnsi="Book Antiqua"/>
          <w:bCs/>
        </w:rPr>
        <w:t>%.</w:t>
      </w:r>
    </w:p>
    <w:p w:rsidR="00045E46" w:rsidRPr="0011049E" w:rsidRDefault="00582271" w:rsidP="00204E37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 xml:space="preserve">La </w:t>
      </w:r>
      <w:r w:rsidR="00045E46" w:rsidRPr="0011049E">
        <w:rPr>
          <w:rFonts w:ascii="Book Antiqua" w:hAnsi="Book Antiqua"/>
        </w:rPr>
        <w:t xml:space="preserve">valeur ajoutée </w:t>
      </w:r>
      <w:r w:rsidR="00C20E03">
        <w:rPr>
          <w:rFonts w:ascii="Book Antiqua" w:hAnsi="Book Antiqua"/>
        </w:rPr>
        <w:t>s’est élevée à 96,4</w:t>
      </w:r>
      <w:r w:rsidR="00C20E03" w:rsidRPr="0011049E">
        <w:rPr>
          <w:rFonts w:ascii="Book Antiqua" w:hAnsi="Book Antiqua"/>
        </w:rPr>
        <w:t xml:space="preserve"> milliards en 20</w:t>
      </w:r>
      <w:r w:rsidR="00C20E03">
        <w:rPr>
          <w:rFonts w:ascii="Book Antiqua" w:hAnsi="Book Antiqua"/>
        </w:rPr>
        <w:t xml:space="preserve">24, contre </w:t>
      </w:r>
      <w:r w:rsidR="00AD5CC1">
        <w:rPr>
          <w:rFonts w:ascii="Book Antiqua" w:hAnsi="Book Antiqua"/>
        </w:rPr>
        <w:t>70,4</w:t>
      </w:r>
      <w:r w:rsidR="00902233" w:rsidRPr="0011049E">
        <w:rPr>
          <w:rFonts w:ascii="Book Antiqua" w:hAnsi="Book Antiqua"/>
        </w:rPr>
        <w:t xml:space="preserve"> milliards </w:t>
      </w:r>
      <w:r w:rsidR="006819A9" w:rsidRPr="0011049E">
        <w:rPr>
          <w:rFonts w:ascii="Book Antiqua" w:hAnsi="Book Antiqua"/>
        </w:rPr>
        <w:t xml:space="preserve">de dirhams </w:t>
      </w:r>
      <w:r w:rsidR="00902233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</w:t>
      </w:r>
      <w:r w:rsidR="00540CA2">
        <w:rPr>
          <w:rFonts w:ascii="Book Antiqua" w:hAnsi="Book Antiqua"/>
        </w:rPr>
        <w:t>9</w:t>
      </w:r>
      <w:r w:rsidR="00045E46" w:rsidRPr="0011049E">
        <w:rPr>
          <w:rFonts w:ascii="Book Antiqua" w:hAnsi="Book Antiqua"/>
        </w:rPr>
        <w:t xml:space="preserve"> enregistrant une </w:t>
      </w:r>
      <w:r w:rsidR="00C20E03">
        <w:rPr>
          <w:rFonts w:ascii="Book Antiqua" w:hAnsi="Book Antiqua"/>
        </w:rPr>
        <w:t>progression</w:t>
      </w:r>
      <w:r w:rsidR="00540CA2">
        <w:rPr>
          <w:rFonts w:ascii="Book Antiqua" w:hAnsi="Book Antiqua"/>
        </w:rPr>
        <w:t xml:space="preserve"> d</w:t>
      </w:r>
      <w:r w:rsidR="00045E46" w:rsidRPr="0011049E">
        <w:rPr>
          <w:rFonts w:ascii="Book Antiqua" w:hAnsi="Book Antiqua"/>
        </w:rPr>
        <w:t>e</w:t>
      </w:r>
      <w:r w:rsidR="00C20E03">
        <w:rPr>
          <w:rFonts w:ascii="Book Antiqua" w:hAnsi="Book Antiqua"/>
        </w:rPr>
        <w:t xml:space="preserve"> </w:t>
      </w:r>
      <w:r w:rsidR="00AD5CC1">
        <w:rPr>
          <w:rFonts w:ascii="Book Antiqua" w:hAnsi="Book Antiqua"/>
        </w:rPr>
        <w:t>3</w:t>
      </w:r>
      <w:r w:rsidR="00C20E03">
        <w:rPr>
          <w:rFonts w:ascii="Book Antiqua" w:hAnsi="Book Antiqua"/>
        </w:rPr>
        <w:t>7</w:t>
      </w:r>
      <w:r w:rsidR="00535117" w:rsidRPr="0011049E">
        <w:rPr>
          <w:rFonts w:ascii="Book Antiqua" w:hAnsi="Book Antiqua"/>
          <w:bCs/>
        </w:rPr>
        <w:t>%</w:t>
      </w:r>
      <w:r w:rsidR="00540CA2">
        <w:rPr>
          <w:rFonts w:ascii="Book Antiqua" w:hAnsi="Book Antiqua"/>
          <w:bCs/>
        </w:rPr>
        <w:t>.</w:t>
      </w:r>
    </w:p>
    <w:p w:rsidR="00AF3B45" w:rsidRPr="0011049E" w:rsidRDefault="00AF3B45" w:rsidP="00BA3249">
      <w:pPr>
        <w:spacing w:line="360" w:lineRule="auto"/>
        <w:jc w:val="both"/>
        <w:rPr>
          <w:rFonts w:ascii="Book Antiqua" w:hAnsi="Book Antiqua"/>
        </w:rPr>
      </w:pPr>
    </w:p>
    <w:p w:rsidR="00721870" w:rsidRPr="0011049E" w:rsidRDefault="001D47A4" w:rsidP="00204E37">
      <w:p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 xml:space="preserve">Compte </w:t>
      </w:r>
      <w:r w:rsidR="00E26377" w:rsidRPr="00E03FF0">
        <w:rPr>
          <w:rFonts w:ascii="Book Antiqua" w:hAnsi="Book Antiqua"/>
          <w:lang w:val="fr-MA"/>
        </w:rPr>
        <w:t>tenu</w:t>
      </w:r>
      <w:r w:rsidR="00E03FF0" w:rsidRPr="00E03FF0">
        <w:rPr>
          <w:rFonts w:ascii="Book Antiqua" w:hAnsi="Book Antiqua"/>
          <w:lang w:val="fr-MA"/>
        </w:rPr>
        <w:t>e</w:t>
      </w:r>
      <w:r w:rsidRPr="0011049E">
        <w:rPr>
          <w:rFonts w:ascii="Book Antiqua" w:hAnsi="Book Antiqua"/>
        </w:rPr>
        <w:t xml:space="preserve"> de</w:t>
      </w:r>
      <w:r w:rsidR="00C20E03">
        <w:rPr>
          <w:rFonts w:ascii="Book Antiqua" w:hAnsi="Book Antiqua"/>
        </w:rPr>
        <w:t xml:space="preserve"> </w:t>
      </w:r>
      <w:r w:rsidR="00540CA2">
        <w:rPr>
          <w:rFonts w:ascii="Book Antiqua" w:hAnsi="Book Antiqua"/>
        </w:rPr>
        <w:t xml:space="preserve">la </w:t>
      </w:r>
      <w:r w:rsidR="00AD5CC1">
        <w:rPr>
          <w:rFonts w:ascii="Book Antiqua" w:hAnsi="Book Antiqua"/>
        </w:rPr>
        <w:t>hausse</w:t>
      </w:r>
      <w:r w:rsidR="00097844" w:rsidRPr="0011049E">
        <w:rPr>
          <w:rFonts w:ascii="Book Antiqua" w:hAnsi="Book Antiqua"/>
        </w:rPr>
        <w:t xml:space="preserve"> de </w:t>
      </w:r>
      <w:r w:rsidR="00AD5CC1">
        <w:rPr>
          <w:rFonts w:ascii="Book Antiqua" w:hAnsi="Book Antiqua"/>
        </w:rPr>
        <w:t>46</w:t>
      </w:r>
      <w:r w:rsidR="00535117" w:rsidRPr="0011049E">
        <w:rPr>
          <w:rFonts w:ascii="Book Antiqua" w:hAnsi="Book Antiqua"/>
          <w:bCs/>
        </w:rPr>
        <w:t xml:space="preserve">% </w:t>
      </w:r>
      <w:r w:rsidR="00097844" w:rsidRPr="0011049E">
        <w:rPr>
          <w:rFonts w:ascii="Book Antiqua" w:hAnsi="Book Antiqua"/>
        </w:rPr>
        <w:t xml:space="preserve">des impôts nets de subventions sur les produits </w:t>
      </w:r>
      <w:bookmarkStart w:id="0" w:name="_GoBack"/>
      <w:bookmarkEnd w:id="0"/>
      <w:r w:rsidR="00097844" w:rsidRPr="0011049E">
        <w:rPr>
          <w:rFonts w:ascii="Book Antiqua" w:hAnsi="Book Antiqua"/>
        </w:rPr>
        <w:t>touristiques</w:t>
      </w:r>
      <w:r w:rsidR="00427ABE" w:rsidRPr="0011049E">
        <w:rPr>
          <w:rFonts w:ascii="Book Antiqua" w:hAnsi="Book Antiqua"/>
        </w:rPr>
        <w:t>,</w:t>
      </w:r>
      <w:r w:rsidR="00C20E03">
        <w:rPr>
          <w:rFonts w:ascii="Book Antiqua" w:hAnsi="Book Antiqua"/>
        </w:rPr>
        <w:t xml:space="preserve"> </w:t>
      </w:r>
      <w:r w:rsidR="00427ABE" w:rsidRPr="0011049E">
        <w:rPr>
          <w:rFonts w:ascii="Book Antiqua" w:hAnsi="Book Antiqua"/>
        </w:rPr>
        <w:t xml:space="preserve">le PIB du tourisme </w:t>
      </w:r>
      <w:r w:rsidR="00C20E03">
        <w:rPr>
          <w:rFonts w:ascii="Book Antiqua" w:hAnsi="Book Antiqua"/>
        </w:rPr>
        <w:t>a progressé</w:t>
      </w:r>
      <w:r w:rsidR="00427ABE" w:rsidRPr="0011049E">
        <w:rPr>
          <w:rFonts w:ascii="Book Antiqua" w:hAnsi="Book Antiqua"/>
        </w:rPr>
        <w:t xml:space="preserve"> de</w:t>
      </w:r>
      <w:r w:rsidR="00AD5CC1">
        <w:rPr>
          <w:rFonts w:ascii="Book Antiqua" w:hAnsi="Book Antiqua"/>
        </w:rPr>
        <w:t xml:space="preserve"> 38,4</w:t>
      </w:r>
      <w:r w:rsidR="00535117" w:rsidRPr="0011049E">
        <w:rPr>
          <w:rFonts w:ascii="Book Antiqua" w:hAnsi="Book Antiqua"/>
          <w:bCs/>
        </w:rPr>
        <w:t>%</w:t>
      </w:r>
      <w:r w:rsidR="00593098">
        <w:rPr>
          <w:rFonts w:ascii="Book Antiqua" w:hAnsi="Book Antiqua"/>
          <w:bCs/>
        </w:rPr>
        <w:t xml:space="preserve"> </w:t>
      </w:r>
      <w:r w:rsidR="007B03AD">
        <w:rPr>
          <w:rFonts w:ascii="Book Antiqua" w:hAnsi="Book Antiqua"/>
          <w:bCs/>
        </w:rPr>
        <w:t>pour atteindre</w:t>
      </w:r>
      <w:r w:rsidR="00C20E03">
        <w:rPr>
          <w:rFonts w:ascii="Book Antiqua" w:hAnsi="Book Antiqua"/>
          <w:bCs/>
        </w:rPr>
        <w:t xml:space="preserve"> </w:t>
      </w:r>
      <w:r w:rsidR="00AD5CC1">
        <w:rPr>
          <w:rFonts w:ascii="Book Antiqua" w:hAnsi="Book Antiqua"/>
        </w:rPr>
        <w:t>116,2</w:t>
      </w:r>
      <w:r w:rsidR="00C20E03">
        <w:rPr>
          <w:rFonts w:ascii="Book Antiqua" w:hAnsi="Book Antiqua"/>
        </w:rPr>
        <w:t xml:space="preserve"> </w:t>
      </w:r>
      <w:r w:rsidR="002817C4" w:rsidRPr="0011049E">
        <w:rPr>
          <w:rFonts w:ascii="Book Antiqua" w:hAnsi="Book Antiqua"/>
        </w:rPr>
        <w:t xml:space="preserve">milliards de </w:t>
      </w:r>
      <w:r w:rsidR="0027672E" w:rsidRPr="0011049E">
        <w:rPr>
          <w:rFonts w:ascii="Book Antiqua" w:hAnsi="Book Antiqua"/>
        </w:rPr>
        <w:t xml:space="preserve">dirhams en </w:t>
      </w:r>
      <w:r w:rsidR="00535117" w:rsidRPr="0011049E">
        <w:rPr>
          <w:rFonts w:ascii="Book Antiqua" w:hAnsi="Book Antiqua"/>
        </w:rPr>
        <w:t>20</w:t>
      </w:r>
      <w:r w:rsidR="00540CA2">
        <w:rPr>
          <w:rFonts w:ascii="Book Antiqua" w:hAnsi="Book Antiqua"/>
        </w:rPr>
        <w:t>2</w:t>
      </w:r>
      <w:r w:rsidR="00AD5CC1">
        <w:rPr>
          <w:rFonts w:ascii="Book Antiqua" w:hAnsi="Book Antiqua"/>
        </w:rPr>
        <w:t>4</w:t>
      </w:r>
      <w:r w:rsidR="00C20E03">
        <w:rPr>
          <w:rFonts w:ascii="Book Antiqua" w:hAnsi="Book Antiqua"/>
        </w:rPr>
        <w:t xml:space="preserve"> </w:t>
      </w:r>
      <w:r w:rsidR="007B03AD">
        <w:rPr>
          <w:rFonts w:ascii="Book Antiqua" w:hAnsi="Book Antiqua"/>
        </w:rPr>
        <w:t>au lieu de</w:t>
      </w:r>
      <w:r w:rsidR="00390E7A" w:rsidRPr="0011049E">
        <w:rPr>
          <w:rFonts w:ascii="Book Antiqua" w:hAnsi="Book Antiqua"/>
        </w:rPr>
        <w:t xml:space="preserve"> </w:t>
      </w:r>
      <w:r w:rsidR="00540CA2">
        <w:rPr>
          <w:rFonts w:ascii="Book Antiqua" w:hAnsi="Book Antiqua"/>
        </w:rPr>
        <w:t>83</w:t>
      </w:r>
      <w:r w:rsidR="001266CC" w:rsidRPr="0011049E">
        <w:rPr>
          <w:rFonts w:ascii="Book Antiqua" w:hAnsi="Book Antiqua"/>
        </w:rPr>
        <w:t>,</w:t>
      </w:r>
      <w:r w:rsidR="00AD5CC1">
        <w:rPr>
          <w:rFonts w:ascii="Book Antiqua" w:hAnsi="Book Antiqua"/>
        </w:rPr>
        <w:t>9</w:t>
      </w:r>
      <w:r w:rsidR="00C20E03">
        <w:rPr>
          <w:rFonts w:ascii="Book Antiqua" w:hAnsi="Book Antiqua"/>
        </w:rPr>
        <w:t xml:space="preserve"> </w:t>
      </w:r>
      <w:r w:rsidR="002817C4" w:rsidRPr="0011049E">
        <w:rPr>
          <w:rFonts w:ascii="Book Antiqua" w:hAnsi="Book Antiqua"/>
        </w:rPr>
        <w:t xml:space="preserve">milliards en </w:t>
      </w:r>
      <w:r w:rsidR="00535117" w:rsidRPr="0011049E">
        <w:rPr>
          <w:rFonts w:ascii="Book Antiqua" w:hAnsi="Book Antiqua"/>
        </w:rPr>
        <w:t>20</w:t>
      </w:r>
      <w:r w:rsidR="00540CA2">
        <w:rPr>
          <w:rFonts w:ascii="Book Antiqua" w:hAnsi="Book Antiqua"/>
        </w:rPr>
        <w:t>19</w:t>
      </w:r>
      <w:r w:rsidR="000B32A1" w:rsidRPr="0011049E">
        <w:rPr>
          <w:rFonts w:ascii="Book Antiqua" w:hAnsi="Book Antiqua"/>
        </w:rPr>
        <w:t>. Sa contribution au PIB</w:t>
      </w:r>
      <w:r w:rsidR="006A58A3" w:rsidRPr="0011049E">
        <w:rPr>
          <w:rFonts w:ascii="Book Antiqua" w:hAnsi="Book Antiqua"/>
        </w:rPr>
        <w:t xml:space="preserve"> national</w:t>
      </w:r>
      <w:r w:rsidR="00AD5CC1">
        <w:rPr>
          <w:rFonts w:ascii="Book Antiqua" w:hAnsi="Book Antiqua"/>
        </w:rPr>
        <w:t xml:space="preserve"> s’est </w:t>
      </w:r>
      <w:r w:rsidR="00593098">
        <w:rPr>
          <w:rFonts w:ascii="Book Antiqua" w:hAnsi="Book Antiqua"/>
        </w:rPr>
        <w:t xml:space="preserve">ainsi </w:t>
      </w:r>
      <w:r w:rsidR="00AD5CC1">
        <w:rPr>
          <w:rFonts w:ascii="Book Antiqua" w:hAnsi="Book Antiqua"/>
        </w:rPr>
        <w:t>amélioré</w:t>
      </w:r>
      <w:r w:rsidR="00593098">
        <w:rPr>
          <w:rFonts w:ascii="Book Antiqua" w:hAnsi="Book Antiqua"/>
        </w:rPr>
        <w:t>e</w:t>
      </w:r>
      <w:r w:rsidR="00C20E03">
        <w:rPr>
          <w:rFonts w:ascii="Book Antiqua" w:hAnsi="Book Antiqua"/>
        </w:rPr>
        <w:t xml:space="preserve"> </w:t>
      </w:r>
      <w:r w:rsidR="006A58A3" w:rsidRPr="0011049E">
        <w:rPr>
          <w:rFonts w:ascii="Book Antiqua" w:hAnsi="Book Antiqua"/>
        </w:rPr>
        <w:t>pour se situer à</w:t>
      </w:r>
      <w:r w:rsidR="00C20E03">
        <w:rPr>
          <w:rFonts w:ascii="Book Antiqua" w:hAnsi="Book Antiqua"/>
        </w:rPr>
        <w:t xml:space="preserve"> </w:t>
      </w:r>
      <w:r w:rsidR="00AD5CC1">
        <w:rPr>
          <w:rFonts w:ascii="Book Antiqua" w:hAnsi="Book Antiqua"/>
        </w:rPr>
        <w:t>7</w:t>
      </w:r>
      <w:r w:rsidR="00540CA2">
        <w:rPr>
          <w:rFonts w:ascii="Book Antiqua" w:hAnsi="Book Antiqua"/>
          <w:bCs/>
        </w:rPr>
        <w:t>,3</w:t>
      </w:r>
      <w:r w:rsidR="00535117" w:rsidRPr="0011049E">
        <w:rPr>
          <w:rFonts w:ascii="Book Antiqua" w:hAnsi="Book Antiqua"/>
          <w:bCs/>
        </w:rPr>
        <w:t xml:space="preserve">% </w:t>
      </w:r>
      <w:r w:rsidR="006A58A3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</w:t>
      </w:r>
      <w:r w:rsidR="00540CA2">
        <w:rPr>
          <w:rFonts w:ascii="Book Antiqua" w:hAnsi="Book Antiqua"/>
        </w:rPr>
        <w:t>2</w:t>
      </w:r>
      <w:r w:rsidR="00AD5CC1">
        <w:rPr>
          <w:rFonts w:ascii="Book Antiqua" w:hAnsi="Book Antiqua"/>
        </w:rPr>
        <w:t>4</w:t>
      </w:r>
      <w:r w:rsidR="009B18B9">
        <w:rPr>
          <w:rFonts w:ascii="Book Antiqua" w:hAnsi="Book Antiqua"/>
        </w:rPr>
        <w:t xml:space="preserve"> contre</w:t>
      </w:r>
      <w:r w:rsidR="00C20E03">
        <w:rPr>
          <w:rFonts w:ascii="Book Antiqua" w:hAnsi="Book Antiqua"/>
        </w:rPr>
        <w:t xml:space="preserve"> </w:t>
      </w:r>
      <w:r w:rsidR="009923D1" w:rsidRPr="0011049E">
        <w:rPr>
          <w:rFonts w:ascii="Book Antiqua" w:hAnsi="Book Antiqua"/>
          <w:bCs/>
        </w:rPr>
        <w:t>6,</w:t>
      </w:r>
      <w:r w:rsidR="00AD5CC1">
        <w:rPr>
          <w:rFonts w:ascii="Book Antiqua" w:hAnsi="Book Antiqua"/>
          <w:bCs/>
        </w:rPr>
        <w:t>8</w:t>
      </w:r>
      <w:r w:rsidR="001B121E">
        <w:rPr>
          <w:rFonts w:ascii="Book Antiqua" w:hAnsi="Book Antiqua"/>
          <w:bCs/>
        </w:rPr>
        <w:t xml:space="preserve">% </w:t>
      </w:r>
      <w:r w:rsidR="00540CA2">
        <w:rPr>
          <w:rFonts w:ascii="Book Antiqua" w:hAnsi="Book Antiqua"/>
          <w:bCs/>
        </w:rPr>
        <w:t>en 2019</w:t>
      </w:r>
      <w:r w:rsidR="006A58A3" w:rsidRPr="0011049E">
        <w:rPr>
          <w:rFonts w:ascii="Book Antiqua" w:hAnsi="Book Antiqua"/>
        </w:rPr>
        <w:t>.</w:t>
      </w:r>
    </w:p>
    <w:p w:rsidR="00905C15" w:rsidRDefault="00905C15" w:rsidP="004900B2">
      <w:pPr>
        <w:jc w:val="both"/>
      </w:pPr>
    </w:p>
    <w:p w:rsidR="00A90B77" w:rsidRDefault="00A90B77" w:rsidP="004900B2">
      <w:pPr>
        <w:jc w:val="both"/>
      </w:pPr>
    </w:p>
    <w:p w:rsidR="00A90B77" w:rsidRDefault="00A90B77" w:rsidP="004900B2">
      <w:pPr>
        <w:jc w:val="both"/>
      </w:pPr>
    </w:p>
    <w:p w:rsidR="00A90B77" w:rsidRDefault="00A90B77" w:rsidP="004900B2">
      <w:pPr>
        <w:jc w:val="both"/>
      </w:pPr>
    </w:p>
    <w:p w:rsidR="00905C15" w:rsidRDefault="00905C15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392200" w:rsidRDefault="00392200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C525B8" w:rsidRDefault="00C525B8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204E37" w:rsidRDefault="00204E37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204E37" w:rsidRDefault="00204E37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204E37" w:rsidRDefault="00204E37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204E37" w:rsidRDefault="00204E37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204E37" w:rsidRDefault="00204E37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204E37" w:rsidRDefault="00204E37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392200" w:rsidRDefault="00392200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BA3249" w:rsidRDefault="00BA3249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392200" w:rsidRDefault="00392200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392200" w:rsidRDefault="00392200" w:rsidP="00AD5CC1">
      <w:pPr>
        <w:ind w:right="-375" w:firstLine="426"/>
        <w:jc w:val="right"/>
        <w:rPr>
          <w:i/>
          <w:iCs/>
          <w:sz w:val="20"/>
          <w:szCs w:val="20"/>
        </w:rPr>
      </w:pPr>
    </w:p>
    <w:p w:rsidR="009A0476" w:rsidRDefault="009A0476" w:rsidP="00AD5CC1">
      <w:pPr>
        <w:ind w:right="-375" w:firstLine="426"/>
        <w:jc w:val="right"/>
        <w:rPr>
          <w:i/>
          <w:iCs/>
          <w:sz w:val="20"/>
          <w:szCs w:val="20"/>
        </w:rPr>
      </w:pPr>
      <w:r w:rsidRPr="00A6364D">
        <w:rPr>
          <w:i/>
          <w:iCs/>
          <w:sz w:val="20"/>
          <w:szCs w:val="20"/>
        </w:rPr>
        <w:t xml:space="preserve">En annexe les tableaux présentant les résultats du </w:t>
      </w:r>
      <w:r w:rsidR="00902233">
        <w:rPr>
          <w:i/>
          <w:iCs/>
          <w:sz w:val="20"/>
          <w:szCs w:val="20"/>
        </w:rPr>
        <w:t xml:space="preserve">compte satellite du tourisme </w:t>
      </w:r>
      <w:r w:rsidR="00535117">
        <w:rPr>
          <w:i/>
          <w:iCs/>
          <w:sz w:val="20"/>
          <w:szCs w:val="20"/>
        </w:rPr>
        <w:t>20</w:t>
      </w:r>
      <w:r w:rsidR="00540CA2">
        <w:rPr>
          <w:i/>
          <w:iCs/>
          <w:sz w:val="20"/>
          <w:szCs w:val="20"/>
        </w:rPr>
        <w:t>2</w:t>
      </w:r>
      <w:r w:rsidR="00AD5CC1">
        <w:rPr>
          <w:i/>
          <w:iCs/>
          <w:sz w:val="20"/>
          <w:szCs w:val="20"/>
        </w:rPr>
        <w:t>4</w:t>
      </w:r>
      <w:r w:rsidRPr="00A6364D">
        <w:rPr>
          <w:i/>
          <w:iCs/>
          <w:sz w:val="20"/>
          <w:szCs w:val="20"/>
        </w:rPr>
        <w:t>.</w:t>
      </w:r>
    </w:p>
    <w:p w:rsidR="00E26377" w:rsidRPr="00A6364D" w:rsidRDefault="00E26377" w:rsidP="00902233">
      <w:pPr>
        <w:ind w:right="-375" w:firstLine="426"/>
        <w:jc w:val="right"/>
        <w:rPr>
          <w:i/>
          <w:iCs/>
          <w:sz w:val="20"/>
          <w:szCs w:val="20"/>
        </w:rPr>
      </w:pPr>
    </w:p>
    <w:p w:rsidR="00AA6A4E" w:rsidRDefault="00AA6A4E" w:rsidP="00AA6A4E"/>
    <w:p w:rsidR="00313AA8" w:rsidRPr="00AA6A4E" w:rsidRDefault="00313AA8" w:rsidP="00AA6A4E"/>
    <w:p w:rsidR="003E6F0A" w:rsidRPr="00B03C7E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bookmarkStart w:id="1" w:name="OLE_LINK1"/>
      <w:bookmarkStart w:id="2" w:name="OLE_LINK2"/>
      <w:r w:rsidRPr="00B03C7E">
        <w:rPr>
          <w:rFonts w:asciiTheme="minorBidi" w:hAnsiTheme="minorBidi" w:cstheme="minorBidi"/>
          <w:color w:val="984806" w:themeColor="accent6" w:themeShade="80"/>
          <w:sz w:val="28"/>
          <w:szCs w:val="28"/>
        </w:rPr>
        <w:lastRenderedPageBreak/>
        <w:t xml:space="preserve">Consommation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233"/>
        <w:gridCol w:w="1043"/>
        <w:gridCol w:w="160"/>
        <w:gridCol w:w="974"/>
        <w:gridCol w:w="160"/>
        <w:gridCol w:w="1682"/>
      </w:tblGrid>
      <w:tr w:rsidR="001A74B3" w:rsidRPr="00A01735" w:rsidTr="00AA558D">
        <w:trPr>
          <w:trHeight w:val="315"/>
        </w:trPr>
        <w:tc>
          <w:tcPr>
            <w:tcW w:w="426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2254E6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Types de consommation touristique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1A74B3" w:rsidRPr="00A01735" w:rsidRDefault="001A74B3" w:rsidP="002254E6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76412D" w:rsidP="002254E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2254E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76412D" w:rsidP="004D4B3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202</w:t>
            </w:r>
            <w:r w:rsidR="004D4B3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2254E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2254E6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0F1C12" w:rsidRPr="00734AE5" w:rsidTr="002254E6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F1C12" w:rsidRDefault="000F1C12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  <w:p w:rsidR="000F1C12" w:rsidRPr="003E6F0A" w:rsidRDefault="00824501" w:rsidP="002254E6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Consommation intérieure</w:t>
            </w:r>
            <w:r w:rsidR="000F1C12"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du tourisme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F1C12" w:rsidRPr="00B03C7E" w:rsidRDefault="000F1C12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0F1C12" w:rsidP="000F1C12">
            <w:pP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141 409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F1C12" w:rsidRPr="00AA558D" w:rsidRDefault="000F1C12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4D4B31">
            <w:pPr>
              <w:jc w:val="center"/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>201712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F1C12" w:rsidRPr="00B03C7E" w:rsidRDefault="000F1C12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4D4B31">
            <w:pPr>
              <w:jc w:val="center"/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42,6</w:t>
            </w:r>
          </w:p>
        </w:tc>
      </w:tr>
      <w:tr w:rsidR="000F1C12" w:rsidRPr="00B04857" w:rsidTr="002254E6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C12" w:rsidRPr="00AA558D" w:rsidRDefault="000F1C12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récepteur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F1C12" w:rsidRPr="00AA558D" w:rsidRDefault="000F1C12" w:rsidP="002254E6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0F1C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93 237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C12" w:rsidRPr="00AA558D" w:rsidRDefault="000F1C12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4D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136878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C12" w:rsidRPr="00AA558D" w:rsidRDefault="000F1C12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C12" w:rsidRPr="00824501" w:rsidRDefault="004D4B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24501">
              <w:rPr>
                <w:rFonts w:ascii="Calibri" w:hAnsi="Calibri" w:cs="Calibri"/>
                <w:sz w:val="22"/>
                <w:szCs w:val="22"/>
              </w:rPr>
              <w:t>46,8</w:t>
            </w:r>
          </w:p>
        </w:tc>
      </w:tr>
      <w:tr w:rsidR="000F1C12" w:rsidRPr="00936ACA" w:rsidTr="002254E6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C12" w:rsidRPr="00AA558D" w:rsidRDefault="000F1C12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interne et émetteur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F1C12" w:rsidRPr="00AA558D" w:rsidRDefault="000F1C12" w:rsidP="002254E6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0F1C1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C12" w:rsidRPr="00AA558D" w:rsidRDefault="000F1C12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C12" w:rsidRDefault="004D4B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C12" w:rsidRPr="00AA558D" w:rsidRDefault="000F1C12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C12" w:rsidRPr="00824501" w:rsidRDefault="004D4B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24501">
              <w:rPr>
                <w:rFonts w:ascii="Calibri" w:hAnsi="Calibri"/>
                <w:sz w:val="22"/>
                <w:szCs w:val="22"/>
              </w:rPr>
              <w:t>34,6</w:t>
            </w:r>
          </w:p>
        </w:tc>
      </w:tr>
      <w:tr w:rsidR="00B03C7E" w:rsidRPr="0051217F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3C7E" w:rsidRPr="008F776F" w:rsidRDefault="00B03C7E" w:rsidP="002254E6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Default="00B03C7E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2254E6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3E6F0A" w:rsidRDefault="003E6F0A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B9325F" w:rsidRDefault="00B9325F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3E6F0A" w:rsidRPr="003E6F0A" w:rsidRDefault="003E6F0A" w:rsidP="003E6F0A">
      <w:pPr>
        <w:rPr>
          <w:rFonts w:asciiTheme="minorBidi" w:hAnsiTheme="minorBidi" w:cstheme="minorBidi"/>
        </w:rPr>
      </w:pPr>
    </w:p>
    <w:p w:rsidR="00721870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Valeur ajoutée et PIB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406"/>
        <w:gridCol w:w="160"/>
        <w:gridCol w:w="974"/>
        <w:gridCol w:w="160"/>
        <w:gridCol w:w="974"/>
        <w:gridCol w:w="160"/>
        <w:gridCol w:w="1682"/>
      </w:tblGrid>
      <w:tr w:rsidR="0037258B" w:rsidRPr="00A01735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2254E6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2254E6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2254E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 w:rsidR="002112C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2254E6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Pr="00AA558D" w:rsidRDefault="00535117" w:rsidP="004D4B3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  <w:r w:rsidR="002112C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  <w:r w:rsidR="004D4B3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2254E6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ind w:right="-211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2112CB" w:rsidRPr="00734AE5" w:rsidTr="0037258B">
        <w:trPr>
          <w:trHeight w:val="454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Pr="00AA558D" w:rsidRDefault="002112CB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127843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2112CB" w:rsidRPr="00AA558D" w:rsidRDefault="002112C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4D4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181907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Pr="00824501" w:rsidRDefault="00AD6740">
            <w:pPr>
              <w:jc w:val="center"/>
              <w:rPr>
                <w:rFonts w:ascii="Calibri" w:hAnsi="Calibri" w:cs="Calibri"/>
                <w:i/>
                <w:iCs/>
                <w:color w:val="800080"/>
                <w:sz w:val="22"/>
                <w:szCs w:val="22"/>
              </w:rPr>
            </w:pPr>
            <w:r w:rsidRPr="00824501">
              <w:rPr>
                <w:rFonts w:ascii="Calibri" w:hAnsi="Calibri" w:cs="Calibri"/>
                <w:color w:val="000000"/>
                <w:sz w:val="22"/>
                <w:szCs w:val="22"/>
              </w:rPr>
              <w:t>42,3</w:t>
            </w:r>
          </w:p>
        </w:tc>
      </w:tr>
      <w:tr w:rsidR="002112CB" w:rsidRPr="00B04857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Pr="00AA558D" w:rsidRDefault="002112CB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(VAT)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AA558D" w:rsidRDefault="002112C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7A7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  <w:tr w:rsidR="002112C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2CB" w:rsidRPr="00AA558D" w:rsidRDefault="002112CB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Impôts nets de subventions sur les produits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AA558D" w:rsidRDefault="002112C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7A74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46,0</w:t>
            </w:r>
          </w:p>
        </w:tc>
      </w:tr>
      <w:tr w:rsidR="002112C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Pr="00B03C7E" w:rsidRDefault="002112CB" w:rsidP="002254E6">
            <w:pPr>
              <w:rPr>
                <w:rFonts w:ascii="Calibri" w:hAnsi="Calibri" w:cs="Calibri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(PIBT)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2112CB" w:rsidP="00AD674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83 </w:t>
            </w:r>
            <w:r w:rsidR="00AD6740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2112CB" w:rsidRPr="00AA558D" w:rsidRDefault="002112CB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7A747E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116188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2112CB" w:rsidRPr="00AA558D" w:rsidRDefault="002112CB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38,4</w:t>
            </w:r>
          </w:p>
        </w:tc>
      </w:tr>
      <w:tr w:rsidR="0037258B" w:rsidRPr="0051217F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2254E6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2929A8" w:rsidRDefault="002929A8" w:rsidP="002929A8"/>
    <w:p w:rsidR="007F139C" w:rsidRDefault="007F139C" w:rsidP="002929A8"/>
    <w:p w:rsidR="00AA558D" w:rsidRDefault="00AA558D" w:rsidP="002929A8"/>
    <w:p w:rsidR="003E6F0A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Part du tourisme dans l’économie nationale</w:t>
      </w:r>
      <w:r w:rsid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(en %)</w:t>
      </w:r>
    </w:p>
    <w:tbl>
      <w:tblPr>
        <w:tblW w:w="86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823"/>
        <w:gridCol w:w="233"/>
        <w:gridCol w:w="1061"/>
        <w:gridCol w:w="160"/>
        <w:gridCol w:w="1239"/>
        <w:gridCol w:w="160"/>
      </w:tblGrid>
      <w:tr w:rsidR="0037258B" w:rsidRPr="00A01735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2254E6">
            <w:pPr>
              <w:ind w:right="-211"/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2254E6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2254E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 w:rsidR="002112C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2254E6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7A747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  <w:r w:rsidR="002112C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  <w:r w:rsidR="007A747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2254E6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</w:tr>
      <w:tr w:rsidR="002112CB" w:rsidRPr="00734AE5" w:rsidTr="002254E6">
        <w:trPr>
          <w:trHeight w:val="454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112CB" w:rsidRPr="00AA558D" w:rsidRDefault="002112CB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tourisme/ Production nationale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2112CB" w:rsidP="001C0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</w:t>
            </w:r>
            <w:r w:rsidR="001C05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2112CB" w:rsidRPr="00AA558D" w:rsidRDefault="002112CB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2112CB" w:rsidRPr="00B04857" w:rsidTr="002254E6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2CB" w:rsidRPr="00AA558D" w:rsidRDefault="002112CB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 valeur ajoutée de l’économie nationale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2112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AA558D" w:rsidRDefault="002112CB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12CB" w:rsidRPr="00936ACA" w:rsidTr="002254E6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2CB" w:rsidRPr="00AA558D" w:rsidRDefault="002112CB" w:rsidP="002254E6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/PIB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2112CB" w:rsidP="001C0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</w:t>
            </w:r>
            <w:r w:rsidR="001C05D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AA558D" w:rsidRDefault="002112CB" w:rsidP="002254E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AD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12CB" w:rsidRPr="00936ACA" w:rsidTr="002254E6">
        <w:trPr>
          <w:trHeight w:val="454"/>
        </w:trPr>
        <w:tc>
          <w:tcPr>
            <w:tcW w:w="58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112CB" w:rsidRPr="00532366" w:rsidRDefault="002112CB" w:rsidP="002254E6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532366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/ PIB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2112CB" w:rsidRPr="00B03C7E" w:rsidRDefault="002112CB" w:rsidP="002254E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2112CB" w:rsidP="007A747E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6,</w:t>
            </w:r>
            <w:r w:rsidR="007A74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2112CB" w:rsidRPr="00AA558D" w:rsidRDefault="002112CB" w:rsidP="002254E6">
            <w:pP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2CB" w:rsidRDefault="007A747E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</w:t>
            </w:r>
            <w:r w:rsidR="002112CB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,3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2112CB" w:rsidRPr="00B03C7E" w:rsidRDefault="002112CB" w:rsidP="002254E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51217F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2254E6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2254E6">
            <w:pPr>
              <w:jc w:val="right"/>
              <w:rPr>
                <w:rFonts w:ascii="Calibri" w:hAnsi="Calibri" w:cs="Arial"/>
              </w:rPr>
            </w:pPr>
          </w:p>
        </w:tc>
      </w:tr>
      <w:bookmarkEnd w:id="1"/>
      <w:bookmarkEnd w:id="2"/>
    </w:tbl>
    <w:p w:rsidR="00E03309" w:rsidRPr="003E6F0A" w:rsidRDefault="00E03309" w:rsidP="003E6F0A">
      <w:pPr>
        <w:pStyle w:val="Titre1"/>
        <w:jc w:val="center"/>
        <w:rPr>
          <w:rFonts w:asciiTheme="minorBidi" w:hAnsiTheme="minorBidi" w:cstheme="minorBidi"/>
        </w:rPr>
      </w:pPr>
    </w:p>
    <w:sectPr w:rsidR="00E03309" w:rsidRPr="003E6F0A" w:rsidSect="00A9791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6A" w:rsidRDefault="00AB7D6A">
      <w:r>
        <w:separator/>
      </w:r>
    </w:p>
  </w:endnote>
  <w:endnote w:type="continuationSeparator" w:id="0">
    <w:p w:rsidR="00AB7D6A" w:rsidRDefault="00AB7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86466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86466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a9ggIAAA8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" stroked="f">
          <v:textbox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6A" w:rsidRDefault="00AB7D6A">
      <w:r>
        <w:separator/>
      </w:r>
    </w:p>
  </w:footnote>
  <w:footnote w:type="continuationSeparator" w:id="0">
    <w:p w:rsidR="00AB7D6A" w:rsidRDefault="00AB7D6A">
      <w:r>
        <w:continuationSeparator/>
      </w:r>
    </w:p>
  </w:footnote>
  <w:footnote w:id="1">
    <w:p w:rsidR="00A90B77" w:rsidRDefault="00A90B77" w:rsidP="00C20E03">
      <w:pPr>
        <w:jc w:val="both"/>
      </w:pPr>
      <w:r w:rsidRPr="00A90B77">
        <w:rPr>
          <w:rStyle w:val="Appelnotedebasdep"/>
          <w:sz w:val="20"/>
          <w:szCs w:val="20"/>
        </w:rPr>
        <w:footnoteRef/>
      </w:r>
      <w:r>
        <w:t xml:space="preserve">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En base 2014, le PIB touristique de l’année 2019 a été réévalué de </w:t>
      </w:r>
      <w:r w:rsidR="00C20E03">
        <w:rPr>
          <w:rFonts w:ascii="Arial" w:eastAsia="Calibri" w:hAnsi="Arial" w:cs="Arial"/>
          <w:i/>
          <w:iCs/>
          <w:sz w:val="16"/>
          <w:szCs w:val="16"/>
          <w:lang w:eastAsia="en-US"/>
        </w:rPr>
        <w:t>3% s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uite au changement de l’année de base des comptes nationaux de 2007 à 2014 dont le PIB National a été réévalué de 8,2%.</w:t>
      </w:r>
    </w:p>
  </w:footnote>
  <w:footnote w:id="2">
    <w:p w:rsidR="00A90B77" w:rsidRDefault="00A90B77" w:rsidP="00A90B77">
      <w:pPr>
        <w:pStyle w:val="Notedebasdepage"/>
        <w:spacing w:after="0" w:line="240" w:lineRule="auto"/>
      </w:pPr>
      <w:r w:rsidRPr="00A90B77">
        <w:rPr>
          <w:rStyle w:val="Appelnotedebasdep"/>
        </w:rPr>
        <w:footnoteRef/>
      </w:r>
      <w:r w:rsidRPr="00A90B77">
        <w:t xml:space="preserve"> </w:t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3">
    <w:p w:rsidR="00A90B77" w:rsidRDefault="00A90B77" w:rsidP="00A90B77">
      <w:pPr>
        <w:pStyle w:val="Notedebasdepage"/>
        <w:spacing w:line="240" w:lineRule="auto"/>
      </w:pPr>
      <w:r>
        <w:rPr>
          <w:rStyle w:val="Appelnotedebasdep"/>
        </w:rPr>
        <w:footnoteRef/>
      </w:r>
      <w:r>
        <w:t xml:space="preserve"> </w:t>
      </w:r>
      <w:r w:rsidRPr="00B94234">
        <w:rPr>
          <w:rFonts w:ascii="Arial" w:hAnsi="Arial"/>
          <w:i/>
          <w:iCs/>
          <w:sz w:val="16"/>
          <w:szCs w:val="16"/>
        </w:rPr>
        <w:t>Les dépenses touristiques prises en compte sont celles réalisées au Maroc.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-1376045</wp:posOffset>
          </wp:positionH>
          <wp:positionV relativeFrom="paragraph">
            <wp:posOffset>-459740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6F1"/>
    <w:multiLevelType w:val="hybridMultilevel"/>
    <w:tmpl w:val="6E763DE4"/>
    <w:lvl w:ilvl="0" w:tplc="83608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1666E"/>
    <w:multiLevelType w:val="hybridMultilevel"/>
    <w:tmpl w:val="7FCC1C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90079"/>
    <w:multiLevelType w:val="hybridMultilevel"/>
    <w:tmpl w:val="EB7CA184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F641C"/>
    <w:multiLevelType w:val="multilevel"/>
    <w:tmpl w:val="C68C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443"/>
    <w:rsid w:val="000014C2"/>
    <w:rsid w:val="000025B3"/>
    <w:rsid w:val="00003A61"/>
    <w:rsid w:val="00005F85"/>
    <w:rsid w:val="0001344E"/>
    <w:rsid w:val="0001390E"/>
    <w:rsid w:val="00013A7F"/>
    <w:rsid w:val="00013C22"/>
    <w:rsid w:val="000152BC"/>
    <w:rsid w:val="00015C79"/>
    <w:rsid w:val="00016517"/>
    <w:rsid w:val="00016A17"/>
    <w:rsid w:val="000205FA"/>
    <w:rsid w:val="00024095"/>
    <w:rsid w:val="0002581F"/>
    <w:rsid w:val="00027643"/>
    <w:rsid w:val="0002783F"/>
    <w:rsid w:val="00027850"/>
    <w:rsid w:val="000308D3"/>
    <w:rsid w:val="00040202"/>
    <w:rsid w:val="00040F0F"/>
    <w:rsid w:val="0004288A"/>
    <w:rsid w:val="00045E46"/>
    <w:rsid w:val="000503F7"/>
    <w:rsid w:val="00050A6E"/>
    <w:rsid w:val="000554EE"/>
    <w:rsid w:val="0005571A"/>
    <w:rsid w:val="00060321"/>
    <w:rsid w:val="00063606"/>
    <w:rsid w:val="00063C51"/>
    <w:rsid w:val="00064386"/>
    <w:rsid w:val="0006553F"/>
    <w:rsid w:val="00065BC7"/>
    <w:rsid w:val="00070037"/>
    <w:rsid w:val="00077F02"/>
    <w:rsid w:val="00081BE5"/>
    <w:rsid w:val="00082A28"/>
    <w:rsid w:val="00085E86"/>
    <w:rsid w:val="00093022"/>
    <w:rsid w:val="00097844"/>
    <w:rsid w:val="000A3BE9"/>
    <w:rsid w:val="000A46DE"/>
    <w:rsid w:val="000A4F68"/>
    <w:rsid w:val="000A7B11"/>
    <w:rsid w:val="000B2A3E"/>
    <w:rsid w:val="000B32A1"/>
    <w:rsid w:val="000B3D51"/>
    <w:rsid w:val="000C13D7"/>
    <w:rsid w:val="000C18AF"/>
    <w:rsid w:val="000C5E54"/>
    <w:rsid w:val="000C73D9"/>
    <w:rsid w:val="000C7682"/>
    <w:rsid w:val="000D25AF"/>
    <w:rsid w:val="000D38E4"/>
    <w:rsid w:val="000D4F73"/>
    <w:rsid w:val="000D7016"/>
    <w:rsid w:val="000D7544"/>
    <w:rsid w:val="000E1BE1"/>
    <w:rsid w:val="000E21D3"/>
    <w:rsid w:val="000E7503"/>
    <w:rsid w:val="000F1C12"/>
    <w:rsid w:val="000F6A29"/>
    <w:rsid w:val="00100AF5"/>
    <w:rsid w:val="00102905"/>
    <w:rsid w:val="0010618B"/>
    <w:rsid w:val="001063C7"/>
    <w:rsid w:val="00107113"/>
    <w:rsid w:val="0011049E"/>
    <w:rsid w:val="00110E92"/>
    <w:rsid w:val="00114C7E"/>
    <w:rsid w:val="00115CF8"/>
    <w:rsid w:val="00116A79"/>
    <w:rsid w:val="00116B4A"/>
    <w:rsid w:val="00120AF1"/>
    <w:rsid w:val="0012265F"/>
    <w:rsid w:val="00125DFC"/>
    <w:rsid w:val="001266CC"/>
    <w:rsid w:val="00137652"/>
    <w:rsid w:val="001379C2"/>
    <w:rsid w:val="001437B0"/>
    <w:rsid w:val="00143964"/>
    <w:rsid w:val="001465EA"/>
    <w:rsid w:val="00147C70"/>
    <w:rsid w:val="001502B5"/>
    <w:rsid w:val="0015391F"/>
    <w:rsid w:val="00153DC3"/>
    <w:rsid w:val="001547C9"/>
    <w:rsid w:val="00155095"/>
    <w:rsid w:val="00155272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61C"/>
    <w:rsid w:val="00181EFF"/>
    <w:rsid w:val="0018347F"/>
    <w:rsid w:val="00190301"/>
    <w:rsid w:val="001A0BC6"/>
    <w:rsid w:val="001A116A"/>
    <w:rsid w:val="001A1A9C"/>
    <w:rsid w:val="001A51EF"/>
    <w:rsid w:val="001A54C0"/>
    <w:rsid w:val="001A7093"/>
    <w:rsid w:val="001A74B3"/>
    <w:rsid w:val="001B121E"/>
    <w:rsid w:val="001B1D20"/>
    <w:rsid w:val="001B3A93"/>
    <w:rsid w:val="001B5762"/>
    <w:rsid w:val="001C05DB"/>
    <w:rsid w:val="001C3920"/>
    <w:rsid w:val="001C4BE1"/>
    <w:rsid w:val="001C4E4B"/>
    <w:rsid w:val="001D07F7"/>
    <w:rsid w:val="001D0B13"/>
    <w:rsid w:val="001D1874"/>
    <w:rsid w:val="001D34E6"/>
    <w:rsid w:val="001D47A4"/>
    <w:rsid w:val="001D57E1"/>
    <w:rsid w:val="001D5DE3"/>
    <w:rsid w:val="001E05D5"/>
    <w:rsid w:val="001E110E"/>
    <w:rsid w:val="001E712B"/>
    <w:rsid w:val="001F1343"/>
    <w:rsid w:val="001F230E"/>
    <w:rsid w:val="001F3482"/>
    <w:rsid w:val="001F3C88"/>
    <w:rsid w:val="001F4836"/>
    <w:rsid w:val="001F6AD9"/>
    <w:rsid w:val="00201A8E"/>
    <w:rsid w:val="00204E37"/>
    <w:rsid w:val="00205A6A"/>
    <w:rsid w:val="00206659"/>
    <w:rsid w:val="002069F4"/>
    <w:rsid w:val="0021074D"/>
    <w:rsid w:val="002112CB"/>
    <w:rsid w:val="002139B6"/>
    <w:rsid w:val="00220DF6"/>
    <w:rsid w:val="0022299E"/>
    <w:rsid w:val="00224F98"/>
    <w:rsid w:val="002254E6"/>
    <w:rsid w:val="0022597E"/>
    <w:rsid w:val="00226E5D"/>
    <w:rsid w:val="0023043F"/>
    <w:rsid w:val="00232ABC"/>
    <w:rsid w:val="00242C76"/>
    <w:rsid w:val="00242CBE"/>
    <w:rsid w:val="00243363"/>
    <w:rsid w:val="002433A7"/>
    <w:rsid w:val="002443AA"/>
    <w:rsid w:val="0024548D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7672E"/>
    <w:rsid w:val="002817C4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533"/>
    <w:rsid w:val="002A688F"/>
    <w:rsid w:val="002A739B"/>
    <w:rsid w:val="002B5535"/>
    <w:rsid w:val="002B729A"/>
    <w:rsid w:val="002C02CC"/>
    <w:rsid w:val="002C09B2"/>
    <w:rsid w:val="002C4812"/>
    <w:rsid w:val="002C6433"/>
    <w:rsid w:val="002C7A97"/>
    <w:rsid w:val="002D022C"/>
    <w:rsid w:val="002D0518"/>
    <w:rsid w:val="002D0832"/>
    <w:rsid w:val="002D3BD2"/>
    <w:rsid w:val="002D49EF"/>
    <w:rsid w:val="002D5C16"/>
    <w:rsid w:val="002D5D41"/>
    <w:rsid w:val="002D7578"/>
    <w:rsid w:val="002E1AE0"/>
    <w:rsid w:val="002E7DC6"/>
    <w:rsid w:val="002F1C4E"/>
    <w:rsid w:val="002F3B72"/>
    <w:rsid w:val="002F6F50"/>
    <w:rsid w:val="002F719D"/>
    <w:rsid w:val="0030605C"/>
    <w:rsid w:val="003121A0"/>
    <w:rsid w:val="00313AA8"/>
    <w:rsid w:val="00314191"/>
    <w:rsid w:val="00316A57"/>
    <w:rsid w:val="0031735D"/>
    <w:rsid w:val="003178AB"/>
    <w:rsid w:val="00321B38"/>
    <w:rsid w:val="003243B5"/>
    <w:rsid w:val="003249B8"/>
    <w:rsid w:val="00324EA1"/>
    <w:rsid w:val="003261F3"/>
    <w:rsid w:val="0032647E"/>
    <w:rsid w:val="00326824"/>
    <w:rsid w:val="00327972"/>
    <w:rsid w:val="00332765"/>
    <w:rsid w:val="003347C0"/>
    <w:rsid w:val="0033724B"/>
    <w:rsid w:val="00341BE6"/>
    <w:rsid w:val="00346F33"/>
    <w:rsid w:val="00351D4C"/>
    <w:rsid w:val="003557D2"/>
    <w:rsid w:val="00355CDB"/>
    <w:rsid w:val="00357DF4"/>
    <w:rsid w:val="00361BB7"/>
    <w:rsid w:val="00365219"/>
    <w:rsid w:val="003671BE"/>
    <w:rsid w:val="0037258B"/>
    <w:rsid w:val="00374572"/>
    <w:rsid w:val="00376C2C"/>
    <w:rsid w:val="00376C4A"/>
    <w:rsid w:val="00381F76"/>
    <w:rsid w:val="00385013"/>
    <w:rsid w:val="00386E90"/>
    <w:rsid w:val="0039063A"/>
    <w:rsid w:val="00390C67"/>
    <w:rsid w:val="00390E7A"/>
    <w:rsid w:val="00392200"/>
    <w:rsid w:val="00392F88"/>
    <w:rsid w:val="00393237"/>
    <w:rsid w:val="00393B90"/>
    <w:rsid w:val="00393EF8"/>
    <w:rsid w:val="003943E9"/>
    <w:rsid w:val="003961C2"/>
    <w:rsid w:val="003A14B5"/>
    <w:rsid w:val="003A5CB2"/>
    <w:rsid w:val="003B7C9A"/>
    <w:rsid w:val="003C2BEC"/>
    <w:rsid w:val="003C357A"/>
    <w:rsid w:val="003D129B"/>
    <w:rsid w:val="003D5077"/>
    <w:rsid w:val="003D5ED4"/>
    <w:rsid w:val="003E5335"/>
    <w:rsid w:val="003E5DDB"/>
    <w:rsid w:val="003E6F0A"/>
    <w:rsid w:val="003E70BE"/>
    <w:rsid w:val="003F28EA"/>
    <w:rsid w:val="003F445E"/>
    <w:rsid w:val="00401D3E"/>
    <w:rsid w:val="0040201B"/>
    <w:rsid w:val="00403A20"/>
    <w:rsid w:val="00407B06"/>
    <w:rsid w:val="00411697"/>
    <w:rsid w:val="00415408"/>
    <w:rsid w:val="00416E5B"/>
    <w:rsid w:val="004202B8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7A41"/>
    <w:rsid w:val="00460388"/>
    <w:rsid w:val="004609FC"/>
    <w:rsid w:val="00462676"/>
    <w:rsid w:val="0046268D"/>
    <w:rsid w:val="00464561"/>
    <w:rsid w:val="00466581"/>
    <w:rsid w:val="00467F88"/>
    <w:rsid w:val="004744FF"/>
    <w:rsid w:val="00475BA5"/>
    <w:rsid w:val="00481E24"/>
    <w:rsid w:val="00484E8D"/>
    <w:rsid w:val="004900B2"/>
    <w:rsid w:val="004A0209"/>
    <w:rsid w:val="004A09A1"/>
    <w:rsid w:val="004A1173"/>
    <w:rsid w:val="004A225B"/>
    <w:rsid w:val="004A2E6B"/>
    <w:rsid w:val="004A73C5"/>
    <w:rsid w:val="004A7FCB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D423A"/>
    <w:rsid w:val="004D4B31"/>
    <w:rsid w:val="004D7CE2"/>
    <w:rsid w:val="004E0373"/>
    <w:rsid w:val="004E17D0"/>
    <w:rsid w:val="004E1EAB"/>
    <w:rsid w:val="004E3167"/>
    <w:rsid w:val="004E36E2"/>
    <w:rsid w:val="004E67F8"/>
    <w:rsid w:val="004F505B"/>
    <w:rsid w:val="004F5172"/>
    <w:rsid w:val="004F572F"/>
    <w:rsid w:val="004F57F8"/>
    <w:rsid w:val="004F756F"/>
    <w:rsid w:val="0050028E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38B"/>
    <w:rsid w:val="005256D9"/>
    <w:rsid w:val="0052635A"/>
    <w:rsid w:val="00531787"/>
    <w:rsid w:val="00532366"/>
    <w:rsid w:val="00533844"/>
    <w:rsid w:val="00534DC4"/>
    <w:rsid w:val="00535117"/>
    <w:rsid w:val="00537897"/>
    <w:rsid w:val="00540CA2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76891"/>
    <w:rsid w:val="005814DE"/>
    <w:rsid w:val="00581A3B"/>
    <w:rsid w:val="00582271"/>
    <w:rsid w:val="00582403"/>
    <w:rsid w:val="00585A9E"/>
    <w:rsid w:val="00586213"/>
    <w:rsid w:val="00587B62"/>
    <w:rsid w:val="00590E1B"/>
    <w:rsid w:val="00593098"/>
    <w:rsid w:val="00594250"/>
    <w:rsid w:val="00594D60"/>
    <w:rsid w:val="00595235"/>
    <w:rsid w:val="005B0675"/>
    <w:rsid w:val="005B0A04"/>
    <w:rsid w:val="005B2989"/>
    <w:rsid w:val="005B2E51"/>
    <w:rsid w:val="005B3582"/>
    <w:rsid w:val="005B48EA"/>
    <w:rsid w:val="005C28E5"/>
    <w:rsid w:val="005C3582"/>
    <w:rsid w:val="005C6717"/>
    <w:rsid w:val="005C707A"/>
    <w:rsid w:val="005C7D21"/>
    <w:rsid w:val="005D02AC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2AC2"/>
    <w:rsid w:val="005F4D57"/>
    <w:rsid w:val="006046B0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2ADE"/>
    <w:rsid w:val="00656BFF"/>
    <w:rsid w:val="00656EDF"/>
    <w:rsid w:val="00661B0F"/>
    <w:rsid w:val="00665592"/>
    <w:rsid w:val="00667E75"/>
    <w:rsid w:val="00667ECC"/>
    <w:rsid w:val="006707C0"/>
    <w:rsid w:val="006728E5"/>
    <w:rsid w:val="006732B3"/>
    <w:rsid w:val="0067457A"/>
    <w:rsid w:val="00680347"/>
    <w:rsid w:val="006819A9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2D48"/>
    <w:rsid w:val="006A3883"/>
    <w:rsid w:val="006A4A25"/>
    <w:rsid w:val="006A57FB"/>
    <w:rsid w:val="006A58A3"/>
    <w:rsid w:val="006B2B90"/>
    <w:rsid w:val="006B4CD8"/>
    <w:rsid w:val="006B5F68"/>
    <w:rsid w:val="006C21ED"/>
    <w:rsid w:val="006D0F8B"/>
    <w:rsid w:val="006D1FBD"/>
    <w:rsid w:val="006D22BC"/>
    <w:rsid w:val="006D4F49"/>
    <w:rsid w:val="006D5BB8"/>
    <w:rsid w:val="006D7AEF"/>
    <w:rsid w:val="006D7BF3"/>
    <w:rsid w:val="006D7FA4"/>
    <w:rsid w:val="006E2219"/>
    <w:rsid w:val="006E2C7A"/>
    <w:rsid w:val="006E4229"/>
    <w:rsid w:val="006E456F"/>
    <w:rsid w:val="006E5679"/>
    <w:rsid w:val="006E7909"/>
    <w:rsid w:val="006F0531"/>
    <w:rsid w:val="006F0A43"/>
    <w:rsid w:val="006F6D7E"/>
    <w:rsid w:val="006F6E1A"/>
    <w:rsid w:val="00700E75"/>
    <w:rsid w:val="007117DB"/>
    <w:rsid w:val="00712AEF"/>
    <w:rsid w:val="007206D4"/>
    <w:rsid w:val="00721870"/>
    <w:rsid w:val="00725188"/>
    <w:rsid w:val="007264CF"/>
    <w:rsid w:val="007273F0"/>
    <w:rsid w:val="00730CFE"/>
    <w:rsid w:val="007320F2"/>
    <w:rsid w:val="00735250"/>
    <w:rsid w:val="00737C16"/>
    <w:rsid w:val="00737D26"/>
    <w:rsid w:val="007418E0"/>
    <w:rsid w:val="007503E9"/>
    <w:rsid w:val="00751E02"/>
    <w:rsid w:val="00752E15"/>
    <w:rsid w:val="00753565"/>
    <w:rsid w:val="00755863"/>
    <w:rsid w:val="00757F5A"/>
    <w:rsid w:val="00762728"/>
    <w:rsid w:val="00763262"/>
    <w:rsid w:val="0076370A"/>
    <w:rsid w:val="0076412D"/>
    <w:rsid w:val="00765F4E"/>
    <w:rsid w:val="00772673"/>
    <w:rsid w:val="00773F09"/>
    <w:rsid w:val="00774608"/>
    <w:rsid w:val="007760AE"/>
    <w:rsid w:val="00776F26"/>
    <w:rsid w:val="00781C5F"/>
    <w:rsid w:val="00782073"/>
    <w:rsid w:val="00785179"/>
    <w:rsid w:val="00786244"/>
    <w:rsid w:val="00787290"/>
    <w:rsid w:val="00790B01"/>
    <w:rsid w:val="00791486"/>
    <w:rsid w:val="00791A3A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A747E"/>
    <w:rsid w:val="007B03AD"/>
    <w:rsid w:val="007B0E89"/>
    <w:rsid w:val="007B68AF"/>
    <w:rsid w:val="007C23FE"/>
    <w:rsid w:val="007C2982"/>
    <w:rsid w:val="007C6380"/>
    <w:rsid w:val="007D3B83"/>
    <w:rsid w:val="007D6070"/>
    <w:rsid w:val="007D73A9"/>
    <w:rsid w:val="007D7F9B"/>
    <w:rsid w:val="007E1420"/>
    <w:rsid w:val="007E19D1"/>
    <w:rsid w:val="007E1CA4"/>
    <w:rsid w:val="007E2D18"/>
    <w:rsid w:val="007E474D"/>
    <w:rsid w:val="007E47FC"/>
    <w:rsid w:val="007E7493"/>
    <w:rsid w:val="007F0328"/>
    <w:rsid w:val="007F0C11"/>
    <w:rsid w:val="007F139C"/>
    <w:rsid w:val="007F4010"/>
    <w:rsid w:val="007F475F"/>
    <w:rsid w:val="007F478E"/>
    <w:rsid w:val="007F4A8D"/>
    <w:rsid w:val="007F5748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4501"/>
    <w:rsid w:val="00827C7E"/>
    <w:rsid w:val="00827D77"/>
    <w:rsid w:val="008349EF"/>
    <w:rsid w:val="008373A3"/>
    <w:rsid w:val="0084269C"/>
    <w:rsid w:val="0084549E"/>
    <w:rsid w:val="00850013"/>
    <w:rsid w:val="00852402"/>
    <w:rsid w:val="00852D95"/>
    <w:rsid w:val="00853857"/>
    <w:rsid w:val="0086177A"/>
    <w:rsid w:val="00861B29"/>
    <w:rsid w:val="00863E70"/>
    <w:rsid w:val="00864666"/>
    <w:rsid w:val="00866410"/>
    <w:rsid w:val="00870018"/>
    <w:rsid w:val="0087042E"/>
    <w:rsid w:val="008712A1"/>
    <w:rsid w:val="0087409F"/>
    <w:rsid w:val="00877E3C"/>
    <w:rsid w:val="0088015C"/>
    <w:rsid w:val="0088199E"/>
    <w:rsid w:val="0088413A"/>
    <w:rsid w:val="00884C20"/>
    <w:rsid w:val="00890AA1"/>
    <w:rsid w:val="008938AA"/>
    <w:rsid w:val="008946E5"/>
    <w:rsid w:val="00894A15"/>
    <w:rsid w:val="00894C3A"/>
    <w:rsid w:val="008951BF"/>
    <w:rsid w:val="0089579A"/>
    <w:rsid w:val="008A0F66"/>
    <w:rsid w:val="008A2CAA"/>
    <w:rsid w:val="008A4CF7"/>
    <w:rsid w:val="008A5D50"/>
    <w:rsid w:val="008A6A9C"/>
    <w:rsid w:val="008B071A"/>
    <w:rsid w:val="008B32BE"/>
    <w:rsid w:val="008B3DBA"/>
    <w:rsid w:val="008B41EC"/>
    <w:rsid w:val="008B4A5F"/>
    <w:rsid w:val="008C08F2"/>
    <w:rsid w:val="008C170C"/>
    <w:rsid w:val="008C2B3E"/>
    <w:rsid w:val="008C2C3C"/>
    <w:rsid w:val="008C54CD"/>
    <w:rsid w:val="008C699D"/>
    <w:rsid w:val="008C79BB"/>
    <w:rsid w:val="008D1587"/>
    <w:rsid w:val="008D244F"/>
    <w:rsid w:val="008D38D9"/>
    <w:rsid w:val="008D693E"/>
    <w:rsid w:val="008D767F"/>
    <w:rsid w:val="008E279E"/>
    <w:rsid w:val="008E513B"/>
    <w:rsid w:val="008E57C2"/>
    <w:rsid w:val="008F416D"/>
    <w:rsid w:val="008F6D54"/>
    <w:rsid w:val="00900744"/>
    <w:rsid w:val="00900B2E"/>
    <w:rsid w:val="00900C72"/>
    <w:rsid w:val="00902233"/>
    <w:rsid w:val="00905C15"/>
    <w:rsid w:val="00911933"/>
    <w:rsid w:val="00911D8D"/>
    <w:rsid w:val="00916CEF"/>
    <w:rsid w:val="0092264F"/>
    <w:rsid w:val="009278D4"/>
    <w:rsid w:val="00930BC1"/>
    <w:rsid w:val="00931126"/>
    <w:rsid w:val="00937ACE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219C"/>
    <w:rsid w:val="009744EE"/>
    <w:rsid w:val="009750B7"/>
    <w:rsid w:val="009801E4"/>
    <w:rsid w:val="0098451B"/>
    <w:rsid w:val="00984C53"/>
    <w:rsid w:val="00984CEE"/>
    <w:rsid w:val="00990C6F"/>
    <w:rsid w:val="009923D1"/>
    <w:rsid w:val="00996F92"/>
    <w:rsid w:val="009A0476"/>
    <w:rsid w:val="009A049E"/>
    <w:rsid w:val="009A205F"/>
    <w:rsid w:val="009A3A8A"/>
    <w:rsid w:val="009A62AA"/>
    <w:rsid w:val="009B18B9"/>
    <w:rsid w:val="009B2B2B"/>
    <w:rsid w:val="009B2BE5"/>
    <w:rsid w:val="009B3D02"/>
    <w:rsid w:val="009B42C1"/>
    <w:rsid w:val="009B68BD"/>
    <w:rsid w:val="009C0E61"/>
    <w:rsid w:val="009C322A"/>
    <w:rsid w:val="009C4940"/>
    <w:rsid w:val="009C64F3"/>
    <w:rsid w:val="009C74B7"/>
    <w:rsid w:val="009D0EEB"/>
    <w:rsid w:val="009D1867"/>
    <w:rsid w:val="009D2419"/>
    <w:rsid w:val="009D3F74"/>
    <w:rsid w:val="009D664A"/>
    <w:rsid w:val="009E1925"/>
    <w:rsid w:val="009E23E8"/>
    <w:rsid w:val="009E3005"/>
    <w:rsid w:val="009E4032"/>
    <w:rsid w:val="009E4BD5"/>
    <w:rsid w:val="009E4BF4"/>
    <w:rsid w:val="009E7417"/>
    <w:rsid w:val="009F161A"/>
    <w:rsid w:val="009F5937"/>
    <w:rsid w:val="009F5A4C"/>
    <w:rsid w:val="00A021DE"/>
    <w:rsid w:val="00A028B9"/>
    <w:rsid w:val="00A03537"/>
    <w:rsid w:val="00A03BBB"/>
    <w:rsid w:val="00A06843"/>
    <w:rsid w:val="00A068C3"/>
    <w:rsid w:val="00A07A35"/>
    <w:rsid w:val="00A07E32"/>
    <w:rsid w:val="00A11972"/>
    <w:rsid w:val="00A1335E"/>
    <w:rsid w:val="00A16299"/>
    <w:rsid w:val="00A17CEA"/>
    <w:rsid w:val="00A17FBE"/>
    <w:rsid w:val="00A20BD8"/>
    <w:rsid w:val="00A250DB"/>
    <w:rsid w:val="00A25AF0"/>
    <w:rsid w:val="00A30D62"/>
    <w:rsid w:val="00A322D1"/>
    <w:rsid w:val="00A3315F"/>
    <w:rsid w:val="00A3434A"/>
    <w:rsid w:val="00A35131"/>
    <w:rsid w:val="00A3593F"/>
    <w:rsid w:val="00A37370"/>
    <w:rsid w:val="00A37E02"/>
    <w:rsid w:val="00A37E64"/>
    <w:rsid w:val="00A37F6E"/>
    <w:rsid w:val="00A44584"/>
    <w:rsid w:val="00A52C23"/>
    <w:rsid w:val="00A5496C"/>
    <w:rsid w:val="00A55F75"/>
    <w:rsid w:val="00A610E0"/>
    <w:rsid w:val="00A61257"/>
    <w:rsid w:val="00A6210F"/>
    <w:rsid w:val="00A6364D"/>
    <w:rsid w:val="00A638E4"/>
    <w:rsid w:val="00A65992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0B77"/>
    <w:rsid w:val="00A90CA3"/>
    <w:rsid w:val="00A90F5D"/>
    <w:rsid w:val="00A91F22"/>
    <w:rsid w:val="00A925A2"/>
    <w:rsid w:val="00A9304B"/>
    <w:rsid w:val="00A93774"/>
    <w:rsid w:val="00A97914"/>
    <w:rsid w:val="00A97AE8"/>
    <w:rsid w:val="00AA3E6A"/>
    <w:rsid w:val="00AA48F7"/>
    <w:rsid w:val="00AA508B"/>
    <w:rsid w:val="00AA558D"/>
    <w:rsid w:val="00AA6A4E"/>
    <w:rsid w:val="00AA723E"/>
    <w:rsid w:val="00AB16AA"/>
    <w:rsid w:val="00AB1FB1"/>
    <w:rsid w:val="00AB4E07"/>
    <w:rsid w:val="00AB50F5"/>
    <w:rsid w:val="00AB6A95"/>
    <w:rsid w:val="00AB7D6A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5CC1"/>
    <w:rsid w:val="00AD6740"/>
    <w:rsid w:val="00AD7D28"/>
    <w:rsid w:val="00AE05A7"/>
    <w:rsid w:val="00AE0E44"/>
    <w:rsid w:val="00AE3BF1"/>
    <w:rsid w:val="00AE4320"/>
    <w:rsid w:val="00AE59AF"/>
    <w:rsid w:val="00AE61E0"/>
    <w:rsid w:val="00AE6795"/>
    <w:rsid w:val="00AF3B45"/>
    <w:rsid w:val="00AF442C"/>
    <w:rsid w:val="00AF56D7"/>
    <w:rsid w:val="00AF74CA"/>
    <w:rsid w:val="00B016BA"/>
    <w:rsid w:val="00B03647"/>
    <w:rsid w:val="00B03879"/>
    <w:rsid w:val="00B03C7E"/>
    <w:rsid w:val="00B065DA"/>
    <w:rsid w:val="00B10250"/>
    <w:rsid w:val="00B12082"/>
    <w:rsid w:val="00B13710"/>
    <w:rsid w:val="00B16415"/>
    <w:rsid w:val="00B20C66"/>
    <w:rsid w:val="00B23149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3FC6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AFF"/>
    <w:rsid w:val="00B75EF5"/>
    <w:rsid w:val="00B76B20"/>
    <w:rsid w:val="00B800D1"/>
    <w:rsid w:val="00B806DE"/>
    <w:rsid w:val="00B80FCF"/>
    <w:rsid w:val="00B837EA"/>
    <w:rsid w:val="00B8450C"/>
    <w:rsid w:val="00B8462E"/>
    <w:rsid w:val="00B84D1B"/>
    <w:rsid w:val="00B84E51"/>
    <w:rsid w:val="00B855EA"/>
    <w:rsid w:val="00B9325F"/>
    <w:rsid w:val="00B94234"/>
    <w:rsid w:val="00B95D75"/>
    <w:rsid w:val="00BA3249"/>
    <w:rsid w:val="00BA5F9D"/>
    <w:rsid w:val="00BB27CA"/>
    <w:rsid w:val="00BB2CD9"/>
    <w:rsid w:val="00BC2E39"/>
    <w:rsid w:val="00BC2EE7"/>
    <w:rsid w:val="00BC49B4"/>
    <w:rsid w:val="00BC4C58"/>
    <w:rsid w:val="00BC615B"/>
    <w:rsid w:val="00BC6BF1"/>
    <w:rsid w:val="00BD05AA"/>
    <w:rsid w:val="00BD3618"/>
    <w:rsid w:val="00BD5FC7"/>
    <w:rsid w:val="00BD611F"/>
    <w:rsid w:val="00BD7B29"/>
    <w:rsid w:val="00BE0266"/>
    <w:rsid w:val="00BE0751"/>
    <w:rsid w:val="00BE12C8"/>
    <w:rsid w:val="00BE673C"/>
    <w:rsid w:val="00BF5C47"/>
    <w:rsid w:val="00BF5EE8"/>
    <w:rsid w:val="00C005F2"/>
    <w:rsid w:val="00C02BDF"/>
    <w:rsid w:val="00C03277"/>
    <w:rsid w:val="00C03588"/>
    <w:rsid w:val="00C03E14"/>
    <w:rsid w:val="00C049E9"/>
    <w:rsid w:val="00C0580C"/>
    <w:rsid w:val="00C10731"/>
    <w:rsid w:val="00C10BDD"/>
    <w:rsid w:val="00C14DCE"/>
    <w:rsid w:val="00C16026"/>
    <w:rsid w:val="00C20E03"/>
    <w:rsid w:val="00C2225D"/>
    <w:rsid w:val="00C26145"/>
    <w:rsid w:val="00C272F8"/>
    <w:rsid w:val="00C31EF5"/>
    <w:rsid w:val="00C36CAE"/>
    <w:rsid w:val="00C36D1C"/>
    <w:rsid w:val="00C3713A"/>
    <w:rsid w:val="00C455CF"/>
    <w:rsid w:val="00C45E08"/>
    <w:rsid w:val="00C46235"/>
    <w:rsid w:val="00C5042A"/>
    <w:rsid w:val="00C50547"/>
    <w:rsid w:val="00C509B9"/>
    <w:rsid w:val="00C51588"/>
    <w:rsid w:val="00C52463"/>
    <w:rsid w:val="00C525B8"/>
    <w:rsid w:val="00C5584A"/>
    <w:rsid w:val="00C569B9"/>
    <w:rsid w:val="00C57DE2"/>
    <w:rsid w:val="00C6558A"/>
    <w:rsid w:val="00C66078"/>
    <w:rsid w:val="00C67C5D"/>
    <w:rsid w:val="00C700B7"/>
    <w:rsid w:val="00C7289A"/>
    <w:rsid w:val="00C746AA"/>
    <w:rsid w:val="00C77AA4"/>
    <w:rsid w:val="00C8273F"/>
    <w:rsid w:val="00C83E7A"/>
    <w:rsid w:val="00C84722"/>
    <w:rsid w:val="00C91B81"/>
    <w:rsid w:val="00C92504"/>
    <w:rsid w:val="00C92E38"/>
    <w:rsid w:val="00CA2232"/>
    <w:rsid w:val="00CA5D85"/>
    <w:rsid w:val="00CA75DE"/>
    <w:rsid w:val="00CA7AEC"/>
    <w:rsid w:val="00CB05C8"/>
    <w:rsid w:val="00CB3A44"/>
    <w:rsid w:val="00CB3F6C"/>
    <w:rsid w:val="00CB58B1"/>
    <w:rsid w:val="00CC289A"/>
    <w:rsid w:val="00CC5A17"/>
    <w:rsid w:val="00CC5EB3"/>
    <w:rsid w:val="00CC5F3B"/>
    <w:rsid w:val="00CD2A96"/>
    <w:rsid w:val="00CD31ED"/>
    <w:rsid w:val="00CD6E99"/>
    <w:rsid w:val="00CD7C5C"/>
    <w:rsid w:val="00CE0767"/>
    <w:rsid w:val="00CE08CE"/>
    <w:rsid w:val="00CE55B7"/>
    <w:rsid w:val="00CE718A"/>
    <w:rsid w:val="00CE7BB5"/>
    <w:rsid w:val="00CF3217"/>
    <w:rsid w:val="00D0012D"/>
    <w:rsid w:val="00D01031"/>
    <w:rsid w:val="00D047B2"/>
    <w:rsid w:val="00D07E75"/>
    <w:rsid w:val="00D12FA1"/>
    <w:rsid w:val="00D14C8B"/>
    <w:rsid w:val="00D15C80"/>
    <w:rsid w:val="00D15EC7"/>
    <w:rsid w:val="00D209C1"/>
    <w:rsid w:val="00D224CC"/>
    <w:rsid w:val="00D30672"/>
    <w:rsid w:val="00D30B74"/>
    <w:rsid w:val="00D326B6"/>
    <w:rsid w:val="00D333C5"/>
    <w:rsid w:val="00D37C0F"/>
    <w:rsid w:val="00D40AE4"/>
    <w:rsid w:val="00D4135D"/>
    <w:rsid w:val="00D46A93"/>
    <w:rsid w:val="00D4763E"/>
    <w:rsid w:val="00D50955"/>
    <w:rsid w:val="00D50BE6"/>
    <w:rsid w:val="00D57029"/>
    <w:rsid w:val="00D60382"/>
    <w:rsid w:val="00D71FF6"/>
    <w:rsid w:val="00D820EB"/>
    <w:rsid w:val="00D82174"/>
    <w:rsid w:val="00D82E00"/>
    <w:rsid w:val="00D83F3B"/>
    <w:rsid w:val="00DA3A4B"/>
    <w:rsid w:val="00DA5F6D"/>
    <w:rsid w:val="00DA6123"/>
    <w:rsid w:val="00DB273C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D6D81"/>
    <w:rsid w:val="00DE1986"/>
    <w:rsid w:val="00DE635A"/>
    <w:rsid w:val="00DF59C4"/>
    <w:rsid w:val="00DF6C0C"/>
    <w:rsid w:val="00DF7F46"/>
    <w:rsid w:val="00E00298"/>
    <w:rsid w:val="00E022E3"/>
    <w:rsid w:val="00E03309"/>
    <w:rsid w:val="00E03659"/>
    <w:rsid w:val="00E03B7C"/>
    <w:rsid w:val="00E03FF0"/>
    <w:rsid w:val="00E052C6"/>
    <w:rsid w:val="00E10773"/>
    <w:rsid w:val="00E1478F"/>
    <w:rsid w:val="00E158C8"/>
    <w:rsid w:val="00E2111D"/>
    <w:rsid w:val="00E21DF5"/>
    <w:rsid w:val="00E2252B"/>
    <w:rsid w:val="00E225AC"/>
    <w:rsid w:val="00E24DC2"/>
    <w:rsid w:val="00E26377"/>
    <w:rsid w:val="00E30992"/>
    <w:rsid w:val="00E32678"/>
    <w:rsid w:val="00E32D1F"/>
    <w:rsid w:val="00E33256"/>
    <w:rsid w:val="00E343C3"/>
    <w:rsid w:val="00E365DE"/>
    <w:rsid w:val="00E40104"/>
    <w:rsid w:val="00E41A5C"/>
    <w:rsid w:val="00E46A42"/>
    <w:rsid w:val="00E47B61"/>
    <w:rsid w:val="00E52A17"/>
    <w:rsid w:val="00E5449E"/>
    <w:rsid w:val="00E54E88"/>
    <w:rsid w:val="00E54F12"/>
    <w:rsid w:val="00E62E93"/>
    <w:rsid w:val="00E643D8"/>
    <w:rsid w:val="00E644BD"/>
    <w:rsid w:val="00E64E39"/>
    <w:rsid w:val="00E65927"/>
    <w:rsid w:val="00E6596F"/>
    <w:rsid w:val="00E7014F"/>
    <w:rsid w:val="00E709F4"/>
    <w:rsid w:val="00E74B66"/>
    <w:rsid w:val="00E81203"/>
    <w:rsid w:val="00E81537"/>
    <w:rsid w:val="00E82E2E"/>
    <w:rsid w:val="00E84243"/>
    <w:rsid w:val="00E84D02"/>
    <w:rsid w:val="00E85B18"/>
    <w:rsid w:val="00E86900"/>
    <w:rsid w:val="00E947A6"/>
    <w:rsid w:val="00E94BF3"/>
    <w:rsid w:val="00E9733C"/>
    <w:rsid w:val="00E978E1"/>
    <w:rsid w:val="00EA5644"/>
    <w:rsid w:val="00EA59C9"/>
    <w:rsid w:val="00EA7B80"/>
    <w:rsid w:val="00EB2784"/>
    <w:rsid w:val="00EB40D1"/>
    <w:rsid w:val="00EB537F"/>
    <w:rsid w:val="00EB5AC5"/>
    <w:rsid w:val="00EB7741"/>
    <w:rsid w:val="00EC60F0"/>
    <w:rsid w:val="00EC6140"/>
    <w:rsid w:val="00EC6D42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065AA"/>
    <w:rsid w:val="00F1016F"/>
    <w:rsid w:val="00F11331"/>
    <w:rsid w:val="00F13493"/>
    <w:rsid w:val="00F14900"/>
    <w:rsid w:val="00F15891"/>
    <w:rsid w:val="00F16832"/>
    <w:rsid w:val="00F16A3A"/>
    <w:rsid w:val="00F20F2F"/>
    <w:rsid w:val="00F24784"/>
    <w:rsid w:val="00F2657B"/>
    <w:rsid w:val="00F26DFE"/>
    <w:rsid w:val="00F30486"/>
    <w:rsid w:val="00F30675"/>
    <w:rsid w:val="00F317B3"/>
    <w:rsid w:val="00F358EB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249E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53C3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phe">
    <w:name w:val="paragraphe"/>
    <w:basedOn w:val="Normal"/>
    <w:rsid w:val="008C54CD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8C54C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C54CD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9744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44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44E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4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44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793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3646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2C7F-4BC4-4265-993D-69123C30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2025-11-25T12:52:00Z</cp:lastPrinted>
  <dcterms:created xsi:type="dcterms:W3CDTF">2025-11-26T13:39:00Z</dcterms:created>
  <dcterms:modified xsi:type="dcterms:W3CDTF">2025-11-30T18:07:00Z</dcterms:modified>
</cp:coreProperties>
</file>