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057B22" w:rsidP="0038218E">
      <w:pPr>
        <w:ind w:right="48"/>
      </w:pPr>
      <w:r>
        <w:rPr>
          <w:noProof/>
        </w:rPr>
        <w:pict>
          <v:rect id="_x0000_s1026" style="position:absolute;margin-left:-99.9pt;margin-top:-78.9pt;width:685.55pt;height:431.4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828620907" r:id="rId8"/>
        </w:pict>
      </w:r>
      <w:r w:rsidR="00AC644C">
        <w:t xml:space="preserve">  </w: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D53C9F" w:rsidRPr="009B6B54" w:rsidRDefault="00914269" w:rsidP="002F4FB6">
      <w:pPr>
        <w:pStyle w:val="Titre"/>
        <w:spacing w:line="312" w:lineRule="auto"/>
        <w:ind w:right="48"/>
        <w:rPr>
          <w:rFonts w:asciiTheme="majorHAnsi" w:hAnsiTheme="majorHAnsi" w:cs="Times"/>
          <w:color w:val="660033"/>
          <w:sz w:val="32"/>
          <w:szCs w:val="32"/>
        </w:rPr>
      </w:pPr>
      <w:r w:rsidRPr="009B6B54">
        <w:rPr>
          <w:rFonts w:asciiTheme="majorHAnsi" w:hAnsiTheme="majorHAnsi" w:cs="Times"/>
          <w:color w:val="660033"/>
          <w:sz w:val="32"/>
          <w:szCs w:val="32"/>
        </w:rPr>
        <w:t>Note d’information</w:t>
      </w:r>
    </w:p>
    <w:p w:rsidR="00B3317B" w:rsidRPr="009B6B54" w:rsidRDefault="00D53C9F" w:rsidP="004B6308">
      <w:pPr>
        <w:pStyle w:val="Titre"/>
        <w:spacing w:line="312" w:lineRule="auto"/>
        <w:ind w:right="48"/>
        <w:rPr>
          <w:rFonts w:ascii="Times" w:hAnsi="Times" w:cs="Times"/>
          <w:color w:val="660033"/>
          <w:sz w:val="32"/>
          <w:szCs w:val="32"/>
        </w:rPr>
      </w:pPr>
      <w:r w:rsidRPr="009B6B54">
        <w:rPr>
          <w:rFonts w:asciiTheme="majorHAnsi" w:hAnsiTheme="majorHAnsi" w:cs="Times"/>
          <w:color w:val="660033"/>
          <w:sz w:val="32"/>
          <w:szCs w:val="32"/>
        </w:rPr>
        <w:t>S</w:t>
      </w:r>
      <w:r w:rsidR="00914269" w:rsidRPr="009B6B54">
        <w:rPr>
          <w:rFonts w:asciiTheme="majorHAnsi" w:hAnsiTheme="majorHAnsi" w:cs="Times"/>
          <w:color w:val="660033"/>
          <w:sz w:val="32"/>
          <w:szCs w:val="32"/>
        </w:rPr>
        <w:t>ituation économique</w:t>
      </w:r>
      <w:r w:rsidR="00322ADA" w:rsidRPr="009B6B54">
        <w:rPr>
          <w:rFonts w:asciiTheme="majorHAnsi" w:hAnsiTheme="majorHAnsi" w:cs="Times"/>
          <w:color w:val="660033"/>
          <w:sz w:val="32"/>
          <w:szCs w:val="32"/>
        </w:rPr>
        <w:t xml:space="preserve"> nationale</w:t>
      </w:r>
      <w:r w:rsidRPr="009B6B54">
        <w:rPr>
          <w:rFonts w:asciiTheme="majorHAnsi" w:hAnsiTheme="majorHAnsi" w:cs="Times"/>
          <w:color w:val="660033"/>
          <w:sz w:val="32"/>
          <w:szCs w:val="32"/>
        </w:rPr>
        <w:t xml:space="preserve"> </w:t>
      </w:r>
      <w:r w:rsidR="00914269" w:rsidRPr="009B6B54">
        <w:rPr>
          <w:rFonts w:asciiTheme="majorHAnsi" w:hAnsiTheme="majorHAnsi" w:cs="Times"/>
          <w:color w:val="660033"/>
          <w:sz w:val="32"/>
          <w:szCs w:val="32"/>
        </w:rPr>
        <w:t xml:space="preserve">au </w:t>
      </w:r>
      <w:r w:rsidR="00462D39" w:rsidRPr="009B6B54">
        <w:rPr>
          <w:rFonts w:asciiTheme="majorHAnsi" w:hAnsiTheme="majorHAnsi" w:cs="Times"/>
          <w:color w:val="660033"/>
          <w:sz w:val="32"/>
          <w:szCs w:val="32"/>
        </w:rPr>
        <w:t>troisième</w:t>
      </w:r>
      <w:r w:rsidR="001C59CA" w:rsidRPr="009B6B54">
        <w:rPr>
          <w:rFonts w:asciiTheme="majorHAnsi" w:hAnsiTheme="majorHAnsi" w:cs="Times"/>
          <w:color w:val="660033"/>
          <w:sz w:val="32"/>
          <w:szCs w:val="32"/>
        </w:rPr>
        <w:t xml:space="preserve"> </w:t>
      </w:r>
      <w:r w:rsidR="00EA65D1" w:rsidRPr="009B6B54">
        <w:rPr>
          <w:rFonts w:asciiTheme="majorHAnsi" w:hAnsiTheme="majorHAnsi" w:cs="Times"/>
          <w:color w:val="660033"/>
          <w:sz w:val="32"/>
          <w:szCs w:val="32"/>
        </w:rPr>
        <w:t>trimestre 202</w:t>
      </w:r>
      <w:r w:rsidR="00245A95" w:rsidRPr="009B6B54">
        <w:rPr>
          <w:rFonts w:asciiTheme="majorHAnsi" w:hAnsiTheme="majorHAnsi" w:cs="Times"/>
          <w:color w:val="660033"/>
          <w:sz w:val="32"/>
          <w:szCs w:val="32"/>
        </w:rPr>
        <w:t>5</w:t>
      </w:r>
    </w:p>
    <w:p w:rsidR="009021E0" w:rsidRPr="004B6308" w:rsidRDefault="00B3317B" w:rsidP="004B6308">
      <w:pPr>
        <w:pStyle w:val="NormalWeb"/>
        <w:jc w:val="both"/>
        <w:rPr>
          <w:rFonts w:asciiTheme="majorHAnsi" w:hAnsiTheme="majorHAnsi"/>
          <w:b/>
          <w:bCs/>
          <w:sz w:val="28"/>
          <w:szCs w:val="28"/>
        </w:rPr>
      </w:pPr>
      <w:r w:rsidRPr="004B6308">
        <w:rPr>
          <w:rFonts w:asciiTheme="majorHAnsi" w:hAnsiTheme="majorHAnsi"/>
          <w:b/>
          <w:bCs/>
          <w:sz w:val="28"/>
          <w:szCs w:val="28"/>
        </w:rPr>
        <w:t>L’arrêté des comptes nationaux du troisième trimestre 2025 fait ressortir une décélération de la croissance économique nat</w:t>
      </w:r>
      <w:r w:rsidR="00EB1450">
        <w:rPr>
          <w:rFonts w:asciiTheme="majorHAnsi" w:hAnsiTheme="majorHAnsi"/>
          <w:b/>
          <w:bCs/>
          <w:sz w:val="28"/>
          <w:szCs w:val="28"/>
        </w:rPr>
        <w:t>ionale, qui s’est établie à 4</w:t>
      </w:r>
      <w:r w:rsidR="004B6308">
        <w:rPr>
          <w:rFonts w:asciiTheme="majorHAnsi" w:hAnsiTheme="majorHAnsi"/>
          <w:b/>
          <w:bCs/>
          <w:sz w:val="28"/>
          <w:szCs w:val="28"/>
        </w:rPr>
        <w:t>%</w:t>
      </w:r>
      <w:r w:rsidR="00EB1450">
        <w:rPr>
          <w:rFonts w:asciiTheme="majorHAnsi" w:hAnsiTheme="majorHAnsi"/>
          <w:b/>
          <w:bCs/>
          <w:sz w:val="28"/>
          <w:szCs w:val="28"/>
        </w:rPr>
        <w:t xml:space="preserve"> contre 5</w:t>
      </w:r>
      <w:r w:rsidRPr="004B6308">
        <w:rPr>
          <w:rFonts w:asciiTheme="majorHAnsi" w:hAnsiTheme="majorHAnsi"/>
          <w:b/>
          <w:bCs/>
          <w:sz w:val="28"/>
          <w:szCs w:val="28"/>
        </w:rPr>
        <w:t>% à la même période de l’année 2024. Les activités non agricoles ont enregistré un ralentissem</w:t>
      </w:r>
      <w:r w:rsidR="00EB1450">
        <w:rPr>
          <w:rFonts w:asciiTheme="majorHAnsi" w:hAnsiTheme="majorHAnsi"/>
          <w:b/>
          <w:bCs/>
          <w:sz w:val="28"/>
          <w:szCs w:val="28"/>
        </w:rPr>
        <w:t>ent, avec une croissance de 3,8% au lieu de 5,7</w:t>
      </w:r>
      <w:r w:rsidRPr="004B6308">
        <w:rPr>
          <w:rFonts w:asciiTheme="majorHAnsi" w:hAnsiTheme="majorHAnsi"/>
          <w:b/>
          <w:bCs/>
          <w:sz w:val="28"/>
          <w:szCs w:val="28"/>
        </w:rPr>
        <w:t>%, tandis que celles du secteur agric</w:t>
      </w:r>
      <w:r w:rsidR="00EB1450">
        <w:rPr>
          <w:rFonts w:asciiTheme="majorHAnsi" w:hAnsiTheme="majorHAnsi"/>
          <w:b/>
          <w:bCs/>
          <w:sz w:val="28"/>
          <w:szCs w:val="28"/>
        </w:rPr>
        <w:t>ole ont connu une hausse de 4,4%, après une baisse de 5,1</w:t>
      </w:r>
      <w:r w:rsidRPr="004B6308">
        <w:rPr>
          <w:rFonts w:asciiTheme="majorHAnsi" w:hAnsiTheme="majorHAnsi"/>
          <w:b/>
          <w:bCs/>
          <w:sz w:val="28"/>
          <w:szCs w:val="28"/>
        </w:rPr>
        <w:t>%.</w:t>
      </w:r>
    </w:p>
    <w:p w:rsidR="00415600" w:rsidRPr="00B3317B" w:rsidRDefault="00415600" w:rsidP="004B6308">
      <w:pPr>
        <w:pStyle w:val="NormalWeb"/>
        <w:jc w:val="both"/>
        <w:rPr>
          <w:rFonts w:asciiTheme="majorHAnsi" w:hAnsiTheme="majorHAnsi"/>
          <w:b/>
          <w:bCs/>
          <w:sz w:val="28"/>
          <w:szCs w:val="28"/>
        </w:rPr>
      </w:pPr>
      <w:r w:rsidRPr="00415600">
        <w:rPr>
          <w:rFonts w:asciiTheme="majorHAnsi" w:hAnsiTheme="majorHAnsi"/>
          <w:b/>
          <w:bCs/>
          <w:sz w:val="28"/>
          <w:szCs w:val="28"/>
        </w:rPr>
        <w:t>Cette croissance a été portée par la demande intérieure, dans un contexte marqué par une inflation maîtrisée et des besoins de financement accrus de l’économie nationale.</w:t>
      </w:r>
    </w:p>
    <w:p w:rsidR="00B3317B" w:rsidRDefault="00B3317B" w:rsidP="009021E0">
      <w:pPr>
        <w:pStyle w:val="Titre3"/>
        <w:shd w:val="clear" w:color="auto" w:fill="FFFFFF"/>
        <w:spacing w:before="0" w:beforeAutospacing="0" w:after="120" w:afterAutospacing="0"/>
        <w:ind w:right="49"/>
        <w:jc w:val="both"/>
      </w:pPr>
    </w:p>
    <w:p w:rsidR="00B3317B" w:rsidRPr="00E6649E" w:rsidRDefault="00B3317B" w:rsidP="009021E0">
      <w:pPr>
        <w:pStyle w:val="Titre3"/>
        <w:shd w:val="clear" w:color="auto" w:fill="FFFFFF"/>
        <w:spacing w:before="0" w:beforeAutospacing="0" w:after="120" w:afterAutospacing="0"/>
        <w:ind w:right="49"/>
        <w:jc w:val="both"/>
        <w:rPr>
          <w:rFonts w:asciiTheme="majorHAnsi" w:hAnsiTheme="majorHAnsi"/>
          <w:sz w:val="28"/>
          <w:szCs w:val="28"/>
        </w:rPr>
      </w:pPr>
    </w:p>
    <w:p w:rsidR="009021E0" w:rsidRPr="009021E0" w:rsidRDefault="004B6308" w:rsidP="006629E1">
      <w:pPr>
        <w:spacing w:after="240"/>
        <w:jc w:val="both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Ralentissement</w:t>
      </w:r>
      <w:r w:rsidR="009021E0" w:rsidRPr="009021E0">
        <w:rPr>
          <w:rFonts w:asciiTheme="majorHAnsi" w:hAnsiTheme="majorHAnsi"/>
          <w:b/>
          <w:bCs/>
          <w:sz w:val="28"/>
          <w:szCs w:val="28"/>
        </w:rPr>
        <w:t xml:space="preserve"> de la croissance économique</w:t>
      </w:r>
    </w:p>
    <w:p w:rsidR="00CC4E2D" w:rsidRDefault="00CC4E2D" w:rsidP="00415600">
      <w:pPr>
        <w:autoSpaceDE w:val="0"/>
        <w:autoSpaceDN w:val="0"/>
        <w:adjustRightInd w:val="0"/>
        <w:spacing w:after="120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  <w:b/>
          <w:bCs/>
        </w:rPr>
        <w:t>La valeur</w:t>
      </w:r>
      <w:r w:rsidR="004B6308">
        <w:rPr>
          <w:rFonts w:asciiTheme="majorHAnsi" w:hAnsiTheme="majorHAnsi"/>
          <w:b/>
          <w:bCs/>
        </w:rPr>
        <w:t xml:space="preserve"> ajoutée du </w:t>
      </w:r>
      <w:r w:rsidR="009E2C63">
        <w:rPr>
          <w:rFonts w:asciiTheme="majorHAnsi" w:hAnsiTheme="majorHAnsi"/>
          <w:b/>
          <w:bCs/>
        </w:rPr>
        <w:t>secteur secondaire</w:t>
      </w:r>
      <w:r w:rsidRPr="00D45CA2">
        <w:rPr>
          <w:rFonts w:asciiTheme="majorHAnsi" w:hAnsiTheme="majorHAnsi"/>
          <w:b/>
          <w:bCs/>
        </w:rPr>
        <w:t xml:space="preserve"> </w:t>
      </w:r>
      <w:r w:rsidR="009E2C63" w:rsidRPr="00D45CA2">
        <w:rPr>
          <w:rFonts w:asciiTheme="majorHAnsi" w:hAnsiTheme="majorHAnsi"/>
        </w:rPr>
        <w:t>en volume, corrigée des variations saisonnières (cvs)</w:t>
      </w:r>
      <w:r w:rsidR="00CF029C">
        <w:rPr>
          <w:rFonts w:asciiTheme="majorHAnsi" w:hAnsiTheme="majorHAnsi"/>
        </w:rPr>
        <w:t>,</w:t>
      </w:r>
      <w:r w:rsidR="009E2C63" w:rsidRPr="00D45CA2">
        <w:rPr>
          <w:rFonts w:asciiTheme="majorHAnsi" w:hAnsiTheme="majorHAnsi"/>
          <w:b/>
          <w:bCs/>
        </w:rPr>
        <w:t xml:space="preserve"> </w:t>
      </w:r>
      <w:r w:rsidR="004B6308">
        <w:t xml:space="preserve">a </w:t>
      </w:r>
      <w:r w:rsidR="00A070AD">
        <w:t>enregistré</w:t>
      </w:r>
      <w:r w:rsidR="004B6308">
        <w:t xml:space="preserve"> un ralentissement de </w:t>
      </w:r>
      <w:r w:rsidR="00A070AD" w:rsidRPr="00A070AD">
        <w:rPr>
          <w:rFonts w:asciiTheme="majorHAnsi" w:hAnsiTheme="majorHAnsi"/>
        </w:rPr>
        <w:t>son rythme de croissance</w:t>
      </w:r>
      <w:r w:rsidR="00A070AD">
        <w:t xml:space="preserve"> </w:t>
      </w:r>
      <w:r w:rsidR="004B6308">
        <w:t xml:space="preserve">passant de </w:t>
      </w:r>
      <w:r w:rsidR="00A070AD">
        <w:t>6,9</w:t>
      </w:r>
      <w:r w:rsidR="004B6308" w:rsidRPr="008E08EE">
        <w:t>%</w:t>
      </w:r>
      <w:r w:rsidR="004B6308">
        <w:t xml:space="preserve"> </w:t>
      </w:r>
      <w:r w:rsidR="00415600">
        <w:t>au</w:t>
      </w:r>
      <w:r w:rsidR="004B6308">
        <w:t xml:space="preserve"> même trimestre de l’année </w:t>
      </w:r>
      <w:r w:rsidR="00CF029C">
        <w:t>2024</w:t>
      </w:r>
      <w:r w:rsidR="004B6308">
        <w:t xml:space="preserve"> à </w:t>
      </w:r>
      <w:r w:rsidR="00A070AD">
        <w:t>3,8</w:t>
      </w:r>
      <w:r w:rsidR="004B6308" w:rsidRPr="008E08EE">
        <w:t>%</w:t>
      </w:r>
      <w:r w:rsidR="004B6308">
        <w:t xml:space="preserve">. </w:t>
      </w:r>
      <w:r w:rsidR="00A070AD">
        <w:t xml:space="preserve">Cette évolution </w:t>
      </w:r>
      <w:r w:rsidR="00415600">
        <w:t>est due</w:t>
      </w:r>
      <w:r w:rsidR="00A070AD">
        <w:t xml:space="preserve"> </w:t>
      </w:r>
      <w:r w:rsidR="00415600">
        <w:t>à</w:t>
      </w:r>
      <w:r w:rsidR="00A070AD">
        <w:t xml:space="preserve"> la décélération des taux de croissance des valeurs ajoutées</w:t>
      </w:r>
      <w:r w:rsidR="00EB1450">
        <w:t xml:space="preserve"> des activités</w:t>
      </w:r>
      <w:r w:rsidR="00EB1450" w:rsidRPr="00D45CA2">
        <w:rPr>
          <w:rFonts w:asciiTheme="majorHAnsi" w:hAnsiTheme="majorHAnsi"/>
        </w:rPr>
        <w:t> :</w:t>
      </w:r>
    </w:p>
    <w:p w:rsidR="003245F1" w:rsidRDefault="003245F1" w:rsidP="00CF029C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before="120"/>
        <w:ind w:left="425" w:right="-374" w:hanging="68"/>
        <w:contextualSpacing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 xml:space="preserve">du bâtiment et travaux publics </w:t>
      </w:r>
      <w:r w:rsidR="00CF029C">
        <w:rPr>
          <w:rFonts w:asciiTheme="majorHAnsi" w:eastAsia="Calibri" w:hAnsiTheme="majorHAnsi"/>
          <w:lang w:eastAsia="en-US"/>
        </w:rPr>
        <w:t>à</w:t>
      </w:r>
      <w:r w:rsidRPr="00D45CA2">
        <w:rPr>
          <w:rFonts w:asciiTheme="majorHAnsi" w:eastAsia="Calibri" w:hAnsiTheme="majorHAnsi"/>
          <w:lang w:eastAsia="en-US"/>
        </w:rPr>
        <w:t xml:space="preserve"> </w:t>
      </w:r>
      <w:r w:rsidR="00CF029C">
        <w:rPr>
          <w:rFonts w:asciiTheme="majorHAnsi" w:eastAsia="Calibri" w:hAnsiTheme="majorHAnsi"/>
          <w:lang w:eastAsia="en-US"/>
        </w:rPr>
        <w:t>5,6</w:t>
      </w:r>
      <w:r w:rsidRPr="00D45CA2">
        <w:rPr>
          <w:rFonts w:asciiTheme="majorHAnsi" w:eastAsia="Calibri" w:hAnsiTheme="majorHAnsi"/>
          <w:lang w:eastAsia="en-US"/>
        </w:rPr>
        <w:t xml:space="preserve">% au lieu de </w:t>
      </w:r>
      <w:r w:rsidR="00CF029C">
        <w:rPr>
          <w:rFonts w:asciiTheme="majorHAnsi" w:eastAsia="Calibri" w:hAnsiTheme="majorHAnsi"/>
          <w:lang w:eastAsia="en-US"/>
        </w:rPr>
        <w:t>6,8</w:t>
      </w:r>
      <w:r w:rsidRPr="00D45CA2">
        <w:rPr>
          <w:rFonts w:asciiTheme="majorHAnsi" w:eastAsia="Calibri" w:hAnsiTheme="majorHAnsi"/>
          <w:lang w:eastAsia="en-US"/>
        </w:rPr>
        <w:t>%</w:t>
      </w:r>
      <w:r>
        <w:rPr>
          <w:rFonts w:asciiTheme="majorHAnsi" w:eastAsia="Calibri" w:hAnsiTheme="majorHAnsi"/>
          <w:lang w:eastAsia="en-US"/>
        </w:rPr>
        <w:t> ;</w:t>
      </w:r>
      <w:r w:rsidRPr="00D45CA2">
        <w:rPr>
          <w:rFonts w:asciiTheme="majorHAnsi" w:eastAsia="Calibri" w:hAnsiTheme="majorHAnsi"/>
          <w:lang w:eastAsia="en-US"/>
        </w:rPr>
        <w:t> </w:t>
      </w:r>
    </w:p>
    <w:p w:rsidR="00CF029C" w:rsidRDefault="00CF029C" w:rsidP="00CF029C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before="120"/>
        <w:ind w:left="425" w:right="-374" w:hanging="68"/>
        <w:contextualSpacing/>
        <w:jc w:val="both"/>
        <w:rPr>
          <w:rFonts w:asciiTheme="majorHAnsi" w:eastAsia="Calibri" w:hAnsiTheme="majorHAnsi"/>
          <w:lang w:eastAsia="en-US"/>
        </w:rPr>
      </w:pPr>
      <w:r>
        <w:rPr>
          <w:rFonts w:asciiTheme="majorHAnsi" w:eastAsia="Calibri" w:hAnsiTheme="majorHAnsi"/>
          <w:lang w:eastAsia="en-US"/>
        </w:rPr>
        <w:t>des activités de l’industrie d’extraction à 5,2</w:t>
      </w:r>
      <w:r w:rsidRPr="00D45CA2">
        <w:rPr>
          <w:rFonts w:asciiTheme="majorHAnsi" w:eastAsia="Calibri" w:hAnsiTheme="majorHAnsi"/>
          <w:lang w:eastAsia="en-US"/>
        </w:rPr>
        <w:t xml:space="preserve">% au lieu de </w:t>
      </w:r>
      <w:r>
        <w:rPr>
          <w:rFonts w:asciiTheme="majorHAnsi" w:eastAsia="Calibri" w:hAnsiTheme="majorHAnsi"/>
          <w:lang w:eastAsia="en-US"/>
        </w:rPr>
        <w:t>14%</w:t>
      </w:r>
      <w:r w:rsidR="00F645D9">
        <w:rPr>
          <w:rFonts w:asciiTheme="majorHAnsi" w:eastAsia="Calibri" w:hAnsiTheme="majorHAnsi"/>
          <w:lang w:eastAsia="en-US"/>
        </w:rPr>
        <w:t> ;</w:t>
      </w:r>
    </w:p>
    <w:p w:rsidR="001254C7" w:rsidRDefault="001254C7" w:rsidP="00A070AD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after="120"/>
        <w:ind w:left="432" w:right="-374" w:hanging="72"/>
        <w:jc w:val="both"/>
        <w:rPr>
          <w:rFonts w:asciiTheme="majorHAnsi" w:eastAsia="Calibri" w:hAnsiTheme="majorHAnsi"/>
          <w:lang w:eastAsia="en-US"/>
        </w:rPr>
      </w:pPr>
      <w:r>
        <w:rPr>
          <w:rFonts w:asciiTheme="majorHAnsi" w:eastAsia="Calibri" w:hAnsiTheme="majorHAnsi"/>
          <w:lang w:eastAsia="en-US"/>
        </w:rPr>
        <w:t>des</w:t>
      </w:r>
      <w:r w:rsidRPr="00D45CA2">
        <w:rPr>
          <w:rFonts w:asciiTheme="majorHAnsi" w:eastAsia="Calibri" w:hAnsiTheme="majorHAnsi"/>
          <w:lang w:eastAsia="en-US"/>
        </w:rPr>
        <w:t xml:space="preserve"> in</w:t>
      </w:r>
      <w:r w:rsidR="00AB3285">
        <w:rPr>
          <w:rFonts w:asciiTheme="majorHAnsi" w:eastAsia="Calibri" w:hAnsiTheme="majorHAnsi"/>
          <w:lang w:eastAsia="en-US"/>
        </w:rPr>
        <w:t xml:space="preserve">dustries de transformation </w:t>
      </w:r>
      <w:r w:rsidR="00CF029C">
        <w:rPr>
          <w:rFonts w:asciiTheme="majorHAnsi" w:eastAsia="Calibri" w:hAnsiTheme="majorHAnsi"/>
          <w:lang w:eastAsia="en-US"/>
        </w:rPr>
        <w:t>à 2,6</w:t>
      </w:r>
      <w:r>
        <w:rPr>
          <w:rFonts w:asciiTheme="majorHAnsi" w:eastAsia="Calibri" w:hAnsiTheme="majorHAnsi"/>
          <w:lang w:eastAsia="en-US"/>
        </w:rPr>
        <w:t xml:space="preserve">% au lieu </w:t>
      </w:r>
      <w:r w:rsidRPr="00D45CA2">
        <w:rPr>
          <w:rFonts w:asciiTheme="majorHAnsi" w:eastAsia="Calibri" w:hAnsiTheme="majorHAnsi"/>
          <w:lang w:eastAsia="en-US"/>
        </w:rPr>
        <w:t xml:space="preserve">de </w:t>
      </w:r>
      <w:r w:rsidR="00CF029C">
        <w:rPr>
          <w:rFonts w:asciiTheme="majorHAnsi" w:eastAsia="Calibri" w:hAnsiTheme="majorHAnsi"/>
          <w:lang w:eastAsia="en-US"/>
        </w:rPr>
        <w:t>6,6</w:t>
      </w:r>
      <w:r>
        <w:rPr>
          <w:rFonts w:asciiTheme="majorHAnsi" w:eastAsia="Calibri" w:hAnsiTheme="majorHAnsi"/>
          <w:lang w:eastAsia="en-US"/>
        </w:rPr>
        <w:t>%</w:t>
      </w:r>
      <w:r w:rsidR="003F3BA7" w:rsidRPr="00D45CA2">
        <w:rPr>
          <w:rFonts w:asciiTheme="majorHAnsi" w:eastAsia="Calibri" w:hAnsiTheme="majorHAnsi"/>
          <w:lang w:eastAsia="en-US"/>
        </w:rPr>
        <w:t>;</w:t>
      </w:r>
    </w:p>
    <w:p w:rsidR="00CF029C" w:rsidRPr="001F039B" w:rsidRDefault="001F039B" w:rsidP="001F039B">
      <w:pPr>
        <w:pStyle w:val="ListParagraph1"/>
        <w:autoSpaceDE w:val="0"/>
        <w:autoSpaceDN w:val="0"/>
        <w:adjustRightInd w:val="0"/>
        <w:spacing w:after="240"/>
        <w:ind w:left="0" w:right="44"/>
        <w:jc w:val="both"/>
        <w:rPr>
          <w:rFonts w:asciiTheme="majorHAnsi" w:hAnsiTheme="majorHAnsi"/>
        </w:rPr>
      </w:pPr>
      <w:r w:rsidRPr="001F039B">
        <w:rPr>
          <w:rFonts w:asciiTheme="majorHAnsi" w:hAnsiTheme="majorHAnsi"/>
        </w:rPr>
        <w:t>en dépit de l’accélération enregistrée par les activités de l’électricité et de l’eau, dont la croissance est passée de 4,6 % à 5,9 %</w:t>
      </w:r>
      <w:r>
        <w:rPr>
          <w:rFonts w:asciiTheme="majorHAnsi" w:hAnsiTheme="majorHAnsi"/>
        </w:rPr>
        <w:t>.</w:t>
      </w:r>
    </w:p>
    <w:p w:rsidR="002572FE" w:rsidRPr="00F645D9" w:rsidRDefault="009259DF" w:rsidP="00EB1450">
      <w:pPr>
        <w:pStyle w:val="ListParagraph1"/>
        <w:autoSpaceDE w:val="0"/>
        <w:autoSpaceDN w:val="0"/>
        <w:adjustRightInd w:val="0"/>
        <w:spacing w:before="120" w:after="120"/>
        <w:ind w:left="0" w:right="44"/>
        <w:jc w:val="both"/>
        <w:rPr>
          <w:rFonts w:asciiTheme="majorHAnsi" w:eastAsia="Calibri" w:hAnsiTheme="majorHAnsi"/>
          <w:lang w:eastAsia="en-US"/>
        </w:rPr>
      </w:pPr>
      <w:r>
        <w:rPr>
          <w:rStyle w:val="lev"/>
          <w:rFonts w:asciiTheme="majorHAnsi" w:hAnsiTheme="majorHAnsi"/>
        </w:rPr>
        <w:t>L</w:t>
      </w:r>
      <w:r w:rsidR="002572FE" w:rsidRPr="00010F87">
        <w:rPr>
          <w:rStyle w:val="lev"/>
          <w:rFonts w:asciiTheme="majorHAnsi" w:hAnsiTheme="majorHAnsi"/>
        </w:rPr>
        <w:t xml:space="preserve">a valeur ajoutée du secteur tertiaire, </w:t>
      </w:r>
      <w:r w:rsidR="009E2C63" w:rsidRPr="00F645D9">
        <w:rPr>
          <w:rFonts w:eastAsia="Calibri"/>
          <w:lang w:eastAsia="en-US"/>
        </w:rPr>
        <w:t xml:space="preserve">de son côté, </w:t>
      </w:r>
      <w:r w:rsidR="002572FE" w:rsidRPr="00F645D9">
        <w:rPr>
          <w:rFonts w:asciiTheme="majorHAnsi" w:eastAsia="Calibri" w:hAnsiTheme="majorHAnsi"/>
          <w:lang w:eastAsia="en-US"/>
        </w:rPr>
        <w:t xml:space="preserve">a enregistré </w:t>
      </w:r>
      <w:r w:rsidR="0092163C" w:rsidRPr="00F645D9">
        <w:rPr>
          <w:rFonts w:asciiTheme="majorHAnsi" w:eastAsia="Calibri" w:hAnsiTheme="majorHAnsi"/>
          <w:lang w:eastAsia="en-US"/>
        </w:rPr>
        <w:t xml:space="preserve">une </w:t>
      </w:r>
      <w:r w:rsidR="00145108" w:rsidRPr="00F645D9">
        <w:rPr>
          <w:rFonts w:asciiTheme="majorHAnsi" w:eastAsia="Calibri" w:hAnsiTheme="majorHAnsi"/>
          <w:lang w:eastAsia="en-US"/>
        </w:rPr>
        <w:t>décélération</w:t>
      </w:r>
      <w:r w:rsidR="002572FE" w:rsidRPr="00F645D9">
        <w:rPr>
          <w:rFonts w:asciiTheme="majorHAnsi" w:eastAsia="Calibri" w:hAnsiTheme="majorHAnsi"/>
          <w:lang w:eastAsia="en-US"/>
        </w:rPr>
        <w:t xml:space="preserve"> de son taux </w:t>
      </w:r>
      <w:r w:rsidR="00EB1450">
        <w:rPr>
          <w:rFonts w:asciiTheme="majorHAnsi" w:eastAsia="Calibri" w:hAnsiTheme="majorHAnsi"/>
          <w:lang w:eastAsia="en-US"/>
        </w:rPr>
        <w:t xml:space="preserve">de </w:t>
      </w:r>
      <w:r w:rsidR="00F645D9" w:rsidRPr="00F645D9">
        <w:rPr>
          <w:rFonts w:asciiTheme="majorHAnsi" w:eastAsia="Calibri" w:hAnsiTheme="majorHAnsi"/>
          <w:lang w:eastAsia="en-US"/>
        </w:rPr>
        <w:t>croissance, passant de 5% au même trimestre de l’année 2024 à 4,2 % au cours de ce trimestre. Cette évolution a été marquée par le ralentissement des activités :</w:t>
      </w:r>
      <w:r w:rsidR="002572FE" w:rsidRPr="00F645D9">
        <w:rPr>
          <w:rFonts w:asciiTheme="majorHAnsi" w:eastAsia="Calibri" w:hAnsiTheme="majorHAnsi"/>
          <w:lang w:eastAsia="en-US"/>
        </w:rPr>
        <w:t xml:space="preserve"> </w:t>
      </w:r>
    </w:p>
    <w:p w:rsidR="002572FE" w:rsidRPr="00F645D9" w:rsidRDefault="002572FE" w:rsidP="00EB1450">
      <w:pPr>
        <w:numPr>
          <w:ilvl w:val="0"/>
          <w:numId w:val="8"/>
        </w:numPr>
        <w:shd w:val="clear" w:color="auto" w:fill="FFFFFF"/>
        <w:spacing w:line="276" w:lineRule="auto"/>
        <w:ind w:right="44"/>
        <w:jc w:val="both"/>
        <w:rPr>
          <w:rFonts w:asciiTheme="majorHAnsi" w:eastAsia="Calibri" w:hAnsiTheme="majorHAnsi"/>
          <w:lang w:eastAsia="en-US"/>
        </w:rPr>
      </w:pPr>
      <w:r w:rsidRPr="00F645D9">
        <w:rPr>
          <w:rFonts w:asciiTheme="majorHAnsi" w:eastAsia="Calibri" w:hAnsiTheme="majorHAnsi"/>
          <w:lang w:eastAsia="en-US"/>
        </w:rPr>
        <w:t xml:space="preserve">de l’hébergement et la </w:t>
      </w:r>
      <w:r w:rsidR="00691853" w:rsidRPr="00F645D9">
        <w:rPr>
          <w:rFonts w:asciiTheme="majorHAnsi" w:eastAsia="Calibri" w:hAnsiTheme="majorHAnsi"/>
          <w:lang w:eastAsia="en-US"/>
        </w:rPr>
        <w:t>restauration</w:t>
      </w:r>
      <w:r w:rsidR="00F645D9">
        <w:rPr>
          <w:rFonts w:asciiTheme="majorHAnsi" w:eastAsia="Calibri" w:hAnsiTheme="majorHAnsi"/>
          <w:lang w:eastAsia="en-US"/>
        </w:rPr>
        <w:t>,</w:t>
      </w:r>
      <w:r w:rsidR="00691853" w:rsidRPr="00F645D9">
        <w:rPr>
          <w:rFonts w:asciiTheme="majorHAnsi" w:eastAsia="Calibri" w:hAnsiTheme="majorHAnsi"/>
          <w:lang w:eastAsia="en-US"/>
        </w:rPr>
        <w:t xml:space="preserve"> à 7,4</w:t>
      </w:r>
      <w:r w:rsidRPr="00F645D9">
        <w:rPr>
          <w:rFonts w:asciiTheme="majorHAnsi" w:eastAsia="Calibri" w:hAnsiTheme="majorHAnsi"/>
          <w:lang w:eastAsia="en-US"/>
        </w:rPr>
        <w:t xml:space="preserve">% au lieu de </w:t>
      </w:r>
      <w:r w:rsidR="00691853" w:rsidRPr="00F645D9">
        <w:rPr>
          <w:rFonts w:asciiTheme="majorHAnsi" w:eastAsia="Calibri" w:hAnsiTheme="majorHAnsi"/>
          <w:lang w:eastAsia="en-US"/>
        </w:rPr>
        <w:t>12,3</w:t>
      </w:r>
      <w:r w:rsidRPr="00F645D9">
        <w:rPr>
          <w:rFonts w:asciiTheme="majorHAnsi" w:eastAsia="Calibri" w:hAnsiTheme="majorHAnsi"/>
          <w:lang w:eastAsia="en-US"/>
        </w:rPr>
        <w:t>%;</w:t>
      </w:r>
    </w:p>
    <w:p w:rsidR="00F645D9" w:rsidRPr="00F645D9" w:rsidRDefault="00EB1450" w:rsidP="00F645D9">
      <w:pPr>
        <w:numPr>
          <w:ilvl w:val="0"/>
          <w:numId w:val="8"/>
        </w:numPr>
        <w:shd w:val="clear" w:color="auto" w:fill="FFFFFF"/>
        <w:spacing w:line="276" w:lineRule="auto"/>
        <w:ind w:right="-70"/>
        <w:contextualSpacing/>
        <w:jc w:val="both"/>
        <w:rPr>
          <w:rFonts w:asciiTheme="majorHAnsi" w:eastAsia="Calibri" w:hAnsiTheme="majorHAnsi"/>
          <w:lang w:eastAsia="en-US"/>
        </w:rPr>
      </w:pPr>
      <w:r>
        <w:rPr>
          <w:rFonts w:asciiTheme="majorHAnsi" w:eastAsia="Calibri" w:hAnsiTheme="majorHAnsi"/>
          <w:lang w:eastAsia="en-US"/>
        </w:rPr>
        <w:t>des s</w:t>
      </w:r>
      <w:r w:rsidR="00F645D9" w:rsidRPr="00F645D9">
        <w:rPr>
          <w:rFonts w:asciiTheme="majorHAnsi" w:eastAsia="Calibri" w:hAnsiTheme="majorHAnsi"/>
          <w:lang w:eastAsia="en-US"/>
        </w:rPr>
        <w:t>ervices financiers et assurances</w:t>
      </w:r>
      <w:r w:rsidR="00F645D9">
        <w:rPr>
          <w:rFonts w:asciiTheme="majorHAnsi" w:eastAsia="Calibri" w:hAnsiTheme="majorHAnsi"/>
          <w:lang w:eastAsia="en-US"/>
        </w:rPr>
        <w:t>,</w:t>
      </w:r>
      <w:r w:rsidR="00F645D9" w:rsidRPr="00F645D9">
        <w:rPr>
          <w:rFonts w:asciiTheme="majorHAnsi" w:eastAsia="Calibri" w:hAnsiTheme="majorHAnsi"/>
          <w:lang w:eastAsia="en-US"/>
        </w:rPr>
        <w:t xml:space="preserve"> à 6,8% au lieu de 7,9%;</w:t>
      </w:r>
    </w:p>
    <w:p w:rsidR="00C24CDA" w:rsidRPr="00F645D9" w:rsidRDefault="00C24CDA" w:rsidP="00691853">
      <w:pPr>
        <w:numPr>
          <w:ilvl w:val="0"/>
          <w:numId w:val="8"/>
        </w:numPr>
        <w:shd w:val="clear" w:color="auto" w:fill="FFFFFF"/>
        <w:spacing w:line="276" w:lineRule="auto"/>
        <w:ind w:left="714" w:right="-68" w:hanging="357"/>
        <w:jc w:val="both"/>
        <w:rPr>
          <w:rFonts w:asciiTheme="majorHAnsi" w:eastAsia="Calibri" w:hAnsiTheme="majorHAnsi"/>
          <w:lang w:eastAsia="en-US"/>
        </w:rPr>
      </w:pPr>
      <w:r w:rsidRPr="00F645D9">
        <w:rPr>
          <w:rFonts w:asciiTheme="majorHAnsi" w:eastAsia="Calibri" w:hAnsiTheme="majorHAnsi"/>
          <w:lang w:eastAsia="en-US"/>
        </w:rPr>
        <w:lastRenderedPageBreak/>
        <w:t>des services d</w:t>
      </w:r>
      <w:r w:rsidR="009F6404" w:rsidRPr="00F645D9">
        <w:rPr>
          <w:rFonts w:asciiTheme="majorHAnsi" w:eastAsia="Calibri" w:hAnsiTheme="majorHAnsi"/>
          <w:lang w:eastAsia="en-US"/>
        </w:rPr>
        <w:t>e l’éducation, de la santé et des a</w:t>
      </w:r>
      <w:r w:rsidRPr="00F645D9">
        <w:rPr>
          <w:rFonts w:asciiTheme="majorHAnsi" w:eastAsia="Calibri" w:hAnsiTheme="majorHAnsi"/>
          <w:lang w:eastAsia="en-US"/>
        </w:rPr>
        <w:t>cti</w:t>
      </w:r>
      <w:r w:rsidR="009F6404" w:rsidRPr="00F645D9">
        <w:rPr>
          <w:rFonts w:asciiTheme="majorHAnsi" w:eastAsia="Calibri" w:hAnsiTheme="majorHAnsi"/>
          <w:lang w:eastAsia="en-US"/>
        </w:rPr>
        <w:t>vités d’action</w:t>
      </w:r>
      <w:r w:rsidR="00A14491" w:rsidRPr="00F645D9">
        <w:rPr>
          <w:rFonts w:asciiTheme="majorHAnsi" w:eastAsia="Calibri" w:hAnsiTheme="majorHAnsi"/>
          <w:lang w:eastAsia="en-US"/>
        </w:rPr>
        <w:t xml:space="preserve"> sociale</w:t>
      </w:r>
      <w:r w:rsidR="00583D75">
        <w:rPr>
          <w:rFonts w:asciiTheme="majorHAnsi" w:eastAsia="Calibri" w:hAnsiTheme="majorHAnsi"/>
          <w:lang w:eastAsia="en-US"/>
        </w:rPr>
        <w:t>,</w:t>
      </w:r>
      <w:r w:rsidR="00691853" w:rsidRPr="00F645D9">
        <w:rPr>
          <w:rFonts w:asciiTheme="majorHAnsi" w:eastAsia="Calibri" w:hAnsiTheme="majorHAnsi"/>
          <w:lang w:eastAsia="en-US"/>
        </w:rPr>
        <w:t xml:space="preserve"> à</w:t>
      </w:r>
      <w:r w:rsidR="003245F1" w:rsidRPr="00F645D9">
        <w:rPr>
          <w:rFonts w:asciiTheme="majorHAnsi" w:eastAsia="Calibri" w:hAnsiTheme="majorHAnsi"/>
          <w:lang w:eastAsia="en-US"/>
        </w:rPr>
        <w:t xml:space="preserve"> </w:t>
      </w:r>
      <w:r w:rsidR="00691853" w:rsidRPr="00F645D9">
        <w:rPr>
          <w:rFonts w:asciiTheme="majorHAnsi" w:eastAsia="Calibri" w:hAnsiTheme="majorHAnsi"/>
          <w:lang w:eastAsia="en-US"/>
        </w:rPr>
        <w:t>5,7</w:t>
      </w:r>
      <w:r w:rsidRPr="00F645D9">
        <w:rPr>
          <w:rFonts w:asciiTheme="majorHAnsi" w:eastAsia="Calibri" w:hAnsiTheme="majorHAnsi"/>
          <w:lang w:eastAsia="en-US"/>
        </w:rPr>
        <w:t xml:space="preserve">% au lieu de </w:t>
      </w:r>
      <w:r w:rsidR="00691853" w:rsidRPr="00F645D9">
        <w:rPr>
          <w:rFonts w:asciiTheme="majorHAnsi" w:eastAsia="Calibri" w:hAnsiTheme="majorHAnsi"/>
          <w:lang w:eastAsia="en-US"/>
        </w:rPr>
        <w:t>6,8</w:t>
      </w:r>
      <w:r w:rsidRPr="00F645D9">
        <w:rPr>
          <w:rFonts w:asciiTheme="majorHAnsi" w:eastAsia="Calibri" w:hAnsiTheme="majorHAnsi"/>
          <w:lang w:eastAsia="en-US"/>
        </w:rPr>
        <w:t>%;</w:t>
      </w:r>
    </w:p>
    <w:p w:rsidR="008F00B6" w:rsidRPr="00F645D9" w:rsidRDefault="008F00B6" w:rsidP="008F00B6">
      <w:pPr>
        <w:numPr>
          <w:ilvl w:val="0"/>
          <w:numId w:val="8"/>
        </w:numPr>
        <w:jc w:val="both"/>
        <w:rPr>
          <w:rFonts w:asciiTheme="majorHAnsi" w:eastAsia="Calibri" w:hAnsiTheme="majorHAnsi"/>
          <w:lang w:eastAsia="en-US"/>
        </w:rPr>
      </w:pPr>
      <w:r w:rsidRPr="00F645D9">
        <w:rPr>
          <w:rFonts w:asciiTheme="majorHAnsi" w:eastAsia="Calibri" w:hAnsiTheme="majorHAnsi"/>
          <w:lang w:eastAsia="en-US"/>
        </w:rPr>
        <w:t>du transport et entreposage</w:t>
      </w:r>
      <w:r w:rsidR="00583D75">
        <w:rPr>
          <w:rFonts w:asciiTheme="majorHAnsi" w:eastAsia="Calibri" w:hAnsiTheme="majorHAnsi"/>
          <w:lang w:eastAsia="en-US"/>
        </w:rPr>
        <w:t>,</w:t>
      </w:r>
      <w:r w:rsidRPr="00F645D9">
        <w:rPr>
          <w:rFonts w:asciiTheme="majorHAnsi" w:eastAsia="Calibri" w:hAnsiTheme="majorHAnsi"/>
          <w:lang w:eastAsia="en-US"/>
        </w:rPr>
        <w:t xml:space="preserve"> à 3,5% au lieu de 7,5%;</w:t>
      </w:r>
    </w:p>
    <w:p w:rsidR="005D71C8" w:rsidRPr="00F645D9" w:rsidRDefault="005D71C8" w:rsidP="00691853">
      <w:pPr>
        <w:numPr>
          <w:ilvl w:val="0"/>
          <w:numId w:val="8"/>
        </w:numPr>
        <w:shd w:val="clear" w:color="auto" w:fill="FFFFFF"/>
        <w:spacing w:line="276" w:lineRule="auto"/>
        <w:ind w:left="714" w:right="-68" w:hanging="357"/>
        <w:jc w:val="both"/>
        <w:rPr>
          <w:rFonts w:asciiTheme="majorHAnsi" w:eastAsia="Calibri" w:hAnsiTheme="majorHAnsi"/>
          <w:lang w:eastAsia="en-US"/>
        </w:rPr>
      </w:pPr>
      <w:r w:rsidRPr="00F645D9">
        <w:rPr>
          <w:rFonts w:asciiTheme="majorHAnsi" w:eastAsia="Calibri" w:hAnsiTheme="majorHAnsi"/>
          <w:lang w:eastAsia="en-US"/>
        </w:rPr>
        <w:t>du commerce et réparation de véhicules</w:t>
      </w:r>
      <w:r w:rsidR="00583D75">
        <w:rPr>
          <w:rFonts w:asciiTheme="majorHAnsi" w:eastAsia="Calibri" w:hAnsiTheme="majorHAnsi"/>
          <w:lang w:eastAsia="en-US"/>
        </w:rPr>
        <w:t>,</w:t>
      </w:r>
      <w:r w:rsidR="00691853" w:rsidRPr="00F645D9">
        <w:rPr>
          <w:rFonts w:asciiTheme="majorHAnsi" w:eastAsia="Calibri" w:hAnsiTheme="majorHAnsi"/>
          <w:lang w:eastAsia="en-US"/>
        </w:rPr>
        <w:t xml:space="preserve"> à 3,2</w:t>
      </w:r>
      <w:r w:rsidR="00EB1450">
        <w:rPr>
          <w:rFonts w:asciiTheme="majorHAnsi" w:eastAsia="Calibri" w:hAnsiTheme="majorHAnsi"/>
          <w:lang w:eastAsia="en-US"/>
        </w:rPr>
        <w:t>%</w:t>
      </w:r>
      <w:r w:rsidRPr="00F645D9">
        <w:rPr>
          <w:rFonts w:asciiTheme="majorHAnsi" w:eastAsia="Calibri" w:hAnsiTheme="majorHAnsi"/>
          <w:lang w:eastAsia="en-US"/>
        </w:rPr>
        <w:t xml:space="preserve"> au</w:t>
      </w:r>
      <w:r w:rsidR="004C709C" w:rsidRPr="00F645D9">
        <w:rPr>
          <w:rFonts w:asciiTheme="majorHAnsi" w:eastAsia="Calibri" w:hAnsiTheme="majorHAnsi"/>
          <w:lang w:eastAsia="en-US"/>
        </w:rPr>
        <w:t xml:space="preserve"> lieu de 4</w:t>
      </w:r>
      <w:r w:rsidR="00691853" w:rsidRPr="00F645D9">
        <w:rPr>
          <w:rFonts w:asciiTheme="majorHAnsi" w:eastAsia="Calibri" w:hAnsiTheme="majorHAnsi"/>
          <w:lang w:eastAsia="en-US"/>
        </w:rPr>
        <w:t>,7</w:t>
      </w:r>
      <w:r w:rsidR="004C709C" w:rsidRPr="00F645D9">
        <w:rPr>
          <w:rFonts w:asciiTheme="majorHAnsi" w:eastAsia="Calibri" w:hAnsiTheme="majorHAnsi"/>
          <w:lang w:eastAsia="en-US"/>
        </w:rPr>
        <w:t>% ;</w:t>
      </w:r>
    </w:p>
    <w:p w:rsidR="008F00B6" w:rsidRPr="00F645D9" w:rsidRDefault="008F00B6" w:rsidP="008F00B6">
      <w:pPr>
        <w:numPr>
          <w:ilvl w:val="0"/>
          <w:numId w:val="8"/>
        </w:numPr>
        <w:jc w:val="both"/>
        <w:rPr>
          <w:rFonts w:asciiTheme="majorHAnsi" w:eastAsia="Calibri" w:hAnsiTheme="majorHAnsi"/>
          <w:lang w:eastAsia="en-US"/>
        </w:rPr>
      </w:pPr>
      <w:r w:rsidRPr="00F645D9">
        <w:rPr>
          <w:rFonts w:asciiTheme="majorHAnsi" w:eastAsia="Calibri" w:hAnsiTheme="majorHAnsi"/>
          <w:lang w:eastAsia="en-US"/>
        </w:rPr>
        <w:t>de la recherche et développement et des services rendus aux entreprises</w:t>
      </w:r>
      <w:r w:rsidR="00583D75">
        <w:rPr>
          <w:rFonts w:asciiTheme="majorHAnsi" w:eastAsia="Calibri" w:hAnsiTheme="majorHAnsi"/>
          <w:lang w:eastAsia="en-US"/>
        </w:rPr>
        <w:t>,</w:t>
      </w:r>
      <w:r w:rsidRPr="00F645D9">
        <w:rPr>
          <w:rFonts w:asciiTheme="majorHAnsi" w:eastAsia="Calibri" w:hAnsiTheme="majorHAnsi"/>
          <w:lang w:eastAsia="en-US"/>
        </w:rPr>
        <w:t xml:space="preserve"> à 2,8% au lieu de 4,3%;</w:t>
      </w:r>
    </w:p>
    <w:p w:rsidR="008F00B6" w:rsidRDefault="008F00B6" w:rsidP="008F00B6">
      <w:pPr>
        <w:numPr>
          <w:ilvl w:val="0"/>
          <w:numId w:val="8"/>
        </w:numPr>
        <w:shd w:val="clear" w:color="auto" w:fill="FFFFFF"/>
        <w:spacing w:after="120" w:line="276" w:lineRule="auto"/>
        <w:ind w:right="-72"/>
        <w:jc w:val="both"/>
        <w:rPr>
          <w:rFonts w:asciiTheme="majorHAnsi" w:hAnsiTheme="majorHAnsi"/>
          <w:color w:val="222222"/>
        </w:rPr>
      </w:pPr>
      <w:r w:rsidRPr="00F645D9">
        <w:rPr>
          <w:rFonts w:asciiTheme="majorHAnsi" w:eastAsia="Calibri" w:hAnsiTheme="majorHAnsi"/>
          <w:lang w:eastAsia="en-US"/>
        </w:rPr>
        <w:t>de l’information et la communication</w:t>
      </w:r>
      <w:r w:rsidR="00583D75">
        <w:rPr>
          <w:rFonts w:asciiTheme="majorHAnsi" w:eastAsia="Calibri" w:hAnsiTheme="majorHAnsi"/>
          <w:lang w:eastAsia="en-US"/>
        </w:rPr>
        <w:t>,</w:t>
      </w:r>
      <w:r w:rsidRPr="00F645D9">
        <w:rPr>
          <w:rFonts w:asciiTheme="majorHAnsi" w:eastAsia="Calibri" w:hAnsiTheme="majorHAnsi"/>
          <w:lang w:eastAsia="en-US"/>
        </w:rPr>
        <w:t xml:space="preserve"> à 1,5%</w:t>
      </w:r>
      <w:r>
        <w:rPr>
          <w:rFonts w:asciiTheme="majorHAnsi" w:hAnsiTheme="majorHAnsi"/>
          <w:color w:val="222222"/>
        </w:rPr>
        <w:t xml:space="preserve"> au lieu de 2,2% ;</w:t>
      </w:r>
    </w:p>
    <w:p w:rsidR="00A14491" w:rsidRPr="00F645D9" w:rsidRDefault="00691853" w:rsidP="00F645D9">
      <w:pPr>
        <w:pStyle w:val="ListParagraph1"/>
        <w:autoSpaceDE w:val="0"/>
        <w:autoSpaceDN w:val="0"/>
        <w:adjustRightInd w:val="0"/>
        <w:spacing w:before="120" w:after="120"/>
        <w:ind w:left="0" w:right="-375"/>
        <w:rPr>
          <w:rFonts w:eastAsia="Calibri"/>
          <w:lang w:eastAsia="en-US"/>
        </w:rPr>
      </w:pPr>
      <w:r w:rsidRPr="00F645D9">
        <w:rPr>
          <w:rFonts w:eastAsia="Calibri"/>
          <w:lang w:eastAsia="en-US"/>
        </w:rPr>
        <w:t>et de</w:t>
      </w:r>
      <w:r w:rsidR="00A14491" w:rsidRPr="00F645D9">
        <w:rPr>
          <w:rFonts w:eastAsia="Calibri"/>
          <w:lang w:eastAsia="en-US"/>
        </w:rPr>
        <w:t xml:space="preserve"> </w:t>
      </w:r>
      <w:r w:rsidRPr="00F645D9">
        <w:rPr>
          <w:rFonts w:eastAsia="Calibri"/>
          <w:lang w:eastAsia="en-US"/>
        </w:rPr>
        <w:t>l’amélioration</w:t>
      </w:r>
      <w:r w:rsidR="00F645D9" w:rsidRPr="00F645D9">
        <w:rPr>
          <w:rFonts w:eastAsia="Calibri"/>
          <w:lang w:eastAsia="en-US"/>
        </w:rPr>
        <w:t xml:space="preserve"> des activités :</w:t>
      </w:r>
      <w:r w:rsidR="00A14491" w:rsidRPr="00F645D9">
        <w:rPr>
          <w:rFonts w:eastAsia="Calibri"/>
          <w:lang w:eastAsia="en-US"/>
        </w:rPr>
        <w:t xml:space="preserve"> </w:t>
      </w:r>
    </w:p>
    <w:p w:rsidR="00691853" w:rsidRPr="00F645D9" w:rsidRDefault="00691853" w:rsidP="00EB1450">
      <w:pPr>
        <w:pStyle w:val="ListParagraph1"/>
        <w:numPr>
          <w:ilvl w:val="0"/>
          <w:numId w:val="12"/>
        </w:numPr>
        <w:autoSpaceDE w:val="0"/>
        <w:autoSpaceDN w:val="0"/>
        <w:adjustRightInd w:val="0"/>
        <w:ind w:right="-46"/>
        <w:rPr>
          <w:rFonts w:eastAsia="Calibri"/>
          <w:lang w:eastAsia="en-US"/>
        </w:rPr>
      </w:pPr>
      <w:r w:rsidRPr="00F645D9">
        <w:rPr>
          <w:rFonts w:eastAsia="Calibri"/>
          <w:lang w:eastAsia="en-US"/>
        </w:rPr>
        <w:t xml:space="preserve">des services rendus par l’administration publique générale et la sécurité </w:t>
      </w:r>
      <w:r w:rsidR="00EB1450">
        <w:rPr>
          <w:rFonts w:eastAsia="Calibri"/>
          <w:lang w:eastAsia="en-US"/>
        </w:rPr>
        <w:t>sociale, avec 4,8% au lieu de 4</w:t>
      </w:r>
      <w:r w:rsidRPr="00F645D9">
        <w:rPr>
          <w:rFonts w:eastAsia="Calibri"/>
          <w:lang w:eastAsia="en-US"/>
        </w:rPr>
        <w:t xml:space="preserve">,3%; </w:t>
      </w:r>
    </w:p>
    <w:p w:rsidR="008F00B6" w:rsidRPr="00F645D9" w:rsidRDefault="008F00B6" w:rsidP="00583D75">
      <w:pPr>
        <w:pStyle w:val="ListParagraph1"/>
        <w:numPr>
          <w:ilvl w:val="0"/>
          <w:numId w:val="12"/>
        </w:numPr>
        <w:autoSpaceDE w:val="0"/>
        <w:autoSpaceDN w:val="0"/>
        <w:adjustRightInd w:val="0"/>
        <w:ind w:right="-374"/>
        <w:rPr>
          <w:rFonts w:eastAsia="Calibri"/>
          <w:lang w:eastAsia="en-US"/>
        </w:rPr>
      </w:pPr>
      <w:r w:rsidRPr="00F645D9">
        <w:rPr>
          <w:rFonts w:eastAsia="Calibri"/>
          <w:lang w:eastAsia="en-US"/>
        </w:rPr>
        <w:t>des services immobiliers, avec 0,9% au lieu d’une baisse de 1,7%</w:t>
      </w:r>
      <w:r w:rsidR="00F645D9" w:rsidRPr="00F645D9">
        <w:rPr>
          <w:rFonts w:eastAsia="Calibri"/>
          <w:lang w:eastAsia="en-US"/>
        </w:rPr>
        <w:t>.</w:t>
      </w:r>
    </w:p>
    <w:p w:rsidR="00C10F1A" w:rsidRPr="0053389B" w:rsidRDefault="00C10F1A" w:rsidP="00533747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  <w:rPr>
          <w:rFonts w:asciiTheme="majorHAnsi" w:eastAsia="Calibri" w:hAnsiTheme="majorHAnsi"/>
          <w:lang w:eastAsia="en-US"/>
        </w:rPr>
      </w:pPr>
      <w:r w:rsidRPr="0053389B">
        <w:rPr>
          <w:rFonts w:asciiTheme="majorHAnsi" w:eastAsia="Calibri" w:hAnsiTheme="majorHAnsi"/>
          <w:lang w:eastAsia="en-US"/>
        </w:rPr>
        <w:t xml:space="preserve">De ce fait, la valeur ajoutée du secteur non agricole a connu </w:t>
      </w:r>
      <w:r w:rsidR="00533747">
        <w:rPr>
          <w:rFonts w:asciiTheme="majorHAnsi" w:eastAsia="Calibri" w:hAnsiTheme="majorHAnsi"/>
          <w:lang w:eastAsia="en-US"/>
        </w:rPr>
        <w:t>un ralentissement</w:t>
      </w:r>
      <w:r w:rsidRPr="0053389B">
        <w:rPr>
          <w:rFonts w:asciiTheme="majorHAnsi" w:eastAsia="Calibri" w:hAnsiTheme="majorHAnsi"/>
          <w:lang w:eastAsia="en-US"/>
        </w:rPr>
        <w:t xml:space="preserve"> de </w:t>
      </w:r>
      <w:r w:rsidR="00533747">
        <w:rPr>
          <w:rFonts w:asciiTheme="majorHAnsi" w:eastAsia="Calibri" w:hAnsiTheme="majorHAnsi"/>
          <w:lang w:eastAsia="en-US"/>
        </w:rPr>
        <w:t>son taux de croissance passant de 5,7% au troisième trimestre de l’année 2024 à 3,8%</w:t>
      </w:r>
      <w:r w:rsidRPr="0053389B">
        <w:rPr>
          <w:rFonts w:asciiTheme="majorHAnsi" w:eastAsia="Calibri" w:hAnsiTheme="majorHAnsi"/>
          <w:lang w:eastAsia="en-US"/>
        </w:rPr>
        <w:t xml:space="preserve"> durant </w:t>
      </w:r>
      <w:r w:rsidR="00533747">
        <w:rPr>
          <w:rFonts w:asciiTheme="majorHAnsi" w:eastAsia="Calibri" w:hAnsiTheme="majorHAnsi"/>
          <w:lang w:eastAsia="en-US"/>
        </w:rPr>
        <w:t>ce</w:t>
      </w:r>
      <w:r w:rsidRPr="0053389B">
        <w:rPr>
          <w:rFonts w:asciiTheme="majorHAnsi" w:eastAsia="Calibri" w:hAnsiTheme="majorHAnsi"/>
          <w:lang w:eastAsia="en-US"/>
        </w:rPr>
        <w:t xml:space="preserve"> trimestre.</w:t>
      </w:r>
    </w:p>
    <w:p w:rsidR="009E2C63" w:rsidRDefault="009E2C63" w:rsidP="001F039B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/>
        </w:rPr>
      </w:pPr>
      <w:r>
        <w:rPr>
          <w:rStyle w:val="lev"/>
          <w:rFonts w:asciiTheme="majorHAnsi" w:hAnsiTheme="majorHAnsi"/>
          <w:b w:val="0"/>
          <w:bCs w:val="0"/>
        </w:rPr>
        <w:t>P</w:t>
      </w:r>
      <w:r w:rsidRPr="009502DD">
        <w:rPr>
          <w:rStyle w:val="lev"/>
          <w:rFonts w:asciiTheme="majorHAnsi" w:hAnsiTheme="majorHAnsi"/>
          <w:b w:val="0"/>
          <w:bCs w:val="0"/>
        </w:rPr>
        <w:t>ar ailleurs</w:t>
      </w:r>
      <w:r>
        <w:rPr>
          <w:rFonts w:asciiTheme="majorHAnsi" w:hAnsiTheme="majorHAnsi"/>
        </w:rPr>
        <w:t xml:space="preserve">, </w:t>
      </w:r>
      <w:r w:rsidRPr="00D45CA2">
        <w:rPr>
          <w:rFonts w:asciiTheme="majorHAnsi" w:hAnsiTheme="majorHAnsi"/>
        </w:rPr>
        <w:t xml:space="preserve">La </w:t>
      </w:r>
      <w:r w:rsidRPr="00D45CA2">
        <w:rPr>
          <w:rFonts w:asciiTheme="majorHAnsi" w:hAnsiTheme="majorHAnsi"/>
          <w:b/>
          <w:bCs/>
        </w:rPr>
        <w:t>valeur ajoutée du secteur primaire</w:t>
      </w:r>
      <w:r>
        <w:rPr>
          <w:rFonts w:asciiTheme="majorHAnsi" w:hAnsiTheme="majorHAnsi"/>
          <w:b/>
          <w:bCs/>
        </w:rPr>
        <w:t xml:space="preserve"> </w:t>
      </w:r>
      <w:r w:rsidRPr="00D45CA2">
        <w:rPr>
          <w:rFonts w:asciiTheme="majorHAnsi" w:hAnsiTheme="majorHAnsi"/>
        </w:rPr>
        <w:t xml:space="preserve">a enregistré une augmentation de </w:t>
      </w:r>
      <w:r w:rsidR="00533747">
        <w:rPr>
          <w:rFonts w:asciiTheme="majorHAnsi" w:hAnsiTheme="majorHAnsi"/>
        </w:rPr>
        <w:t>2,6</w:t>
      </w:r>
      <w:r w:rsidRPr="00D45CA2">
        <w:rPr>
          <w:rFonts w:asciiTheme="majorHAnsi" w:hAnsiTheme="majorHAnsi"/>
        </w:rPr>
        <w:t xml:space="preserve">% au </w:t>
      </w:r>
      <w:r w:rsidR="00533747">
        <w:rPr>
          <w:rFonts w:asciiTheme="majorHAnsi" w:hAnsiTheme="majorHAnsi"/>
        </w:rPr>
        <w:t>troisième</w:t>
      </w:r>
      <w:r>
        <w:rPr>
          <w:rFonts w:asciiTheme="majorHAnsi" w:hAnsiTheme="majorHAnsi"/>
        </w:rPr>
        <w:t xml:space="preserve"> trimestre</w:t>
      </w:r>
      <w:r w:rsidRPr="00D45CA2">
        <w:rPr>
          <w:rFonts w:asciiTheme="majorHAnsi" w:hAnsiTheme="majorHAnsi"/>
        </w:rPr>
        <w:t xml:space="preserve"> 20</w:t>
      </w:r>
      <w:r>
        <w:rPr>
          <w:rFonts w:asciiTheme="majorHAnsi" w:hAnsiTheme="majorHAnsi"/>
        </w:rPr>
        <w:t>25</w:t>
      </w:r>
      <w:r w:rsidR="00953C35">
        <w:t>, contre une baisse de 4,2% au cours de la même période en 2024</w:t>
      </w:r>
      <w:r w:rsidRPr="00D45CA2">
        <w:rPr>
          <w:rFonts w:asciiTheme="majorHAnsi" w:hAnsiTheme="majorHAnsi"/>
        </w:rPr>
        <w:t xml:space="preserve">. </w:t>
      </w:r>
      <w:r w:rsidR="00953C35">
        <w:t>Cette évolution résulte de la hausse de l’activité agricole, à 4,4 % au lieu d’une baisse de 5,1% l’année précédente, et de la baisse de l’activité de la pêche, à (−24,4%) au lieu d’une hausse de 13,4 %.</w:t>
      </w:r>
    </w:p>
    <w:p w:rsidR="00422D06" w:rsidRDefault="008A56A6" w:rsidP="00EB1450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240"/>
        <w:ind w:left="0"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>Dans ce contexte</w:t>
      </w:r>
      <w:r w:rsidR="00EB7625" w:rsidRPr="00D45CA2">
        <w:rPr>
          <w:rFonts w:asciiTheme="majorHAnsi" w:eastAsia="Calibri" w:hAnsiTheme="majorHAnsi"/>
          <w:lang w:eastAsia="en-US"/>
        </w:rPr>
        <w:t xml:space="preserve">, </w:t>
      </w:r>
      <w:r w:rsidR="00F32902">
        <w:rPr>
          <w:rFonts w:asciiTheme="majorHAnsi" w:eastAsia="Calibri" w:hAnsiTheme="majorHAnsi"/>
          <w:lang w:eastAsia="en-US"/>
        </w:rPr>
        <w:t xml:space="preserve">et </w:t>
      </w:r>
      <w:r w:rsidR="00953C35" w:rsidRPr="00D45CA2">
        <w:rPr>
          <w:rFonts w:asciiTheme="majorHAnsi" w:eastAsia="Calibri" w:hAnsiTheme="majorHAnsi"/>
          <w:lang w:eastAsia="en-US"/>
        </w:rPr>
        <w:t>compte tenu</w:t>
      </w:r>
      <w:r w:rsidR="000D1DB8" w:rsidRPr="00D45CA2">
        <w:rPr>
          <w:rFonts w:asciiTheme="majorHAnsi" w:eastAsia="Calibri" w:hAnsiTheme="majorHAnsi"/>
          <w:lang w:eastAsia="en-US"/>
        </w:rPr>
        <w:t xml:space="preserve"> de </w:t>
      </w:r>
      <w:r w:rsidR="006A3F1E" w:rsidRPr="00D45CA2">
        <w:rPr>
          <w:rFonts w:asciiTheme="majorHAnsi" w:eastAsia="Calibri" w:hAnsiTheme="majorHAnsi"/>
          <w:lang w:eastAsia="en-US"/>
        </w:rPr>
        <w:t>l’</w:t>
      </w:r>
      <w:r w:rsidR="000D1DB8" w:rsidRPr="00D45CA2">
        <w:rPr>
          <w:rFonts w:asciiTheme="majorHAnsi" w:eastAsia="Calibri" w:hAnsiTheme="majorHAnsi"/>
          <w:lang w:eastAsia="en-US"/>
        </w:rPr>
        <w:t xml:space="preserve">accroissement des </w:t>
      </w:r>
      <w:r w:rsidR="006A3F1E" w:rsidRPr="00D45CA2">
        <w:rPr>
          <w:rFonts w:asciiTheme="majorHAnsi" w:eastAsia="Calibri" w:hAnsiTheme="majorHAnsi"/>
          <w:lang w:eastAsia="en-US"/>
        </w:rPr>
        <w:t>impôts</w:t>
      </w:r>
      <w:r w:rsidR="000D1DB8" w:rsidRPr="00D45CA2">
        <w:rPr>
          <w:rFonts w:asciiTheme="majorHAnsi" w:eastAsia="Calibri" w:hAnsiTheme="majorHAnsi"/>
          <w:lang w:eastAsia="en-US"/>
        </w:rPr>
        <w:t xml:space="preserve"> sur les produits net</w:t>
      </w:r>
      <w:r w:rsidR="00F32902">
        <w:rPr>
          <w:rFonts w:asciiTheme="majorHAnsi" w:eastAsia="Calibri" w:hAnsiTheme="majorHAnsi"/>
          <w:lang w:eastAsia="en-US"/>
        </w:rPr>
        <w:t>s</w:t>
      </w:r>
      <w:r w:rsidR="000D1DB8" w:rsidRPr="00D45CA2">
        <w:rPr>
          <w:rFonts w:asciiTheme="majorHAnsi" w:eastAsia="Calibri" w:hAnsiTheme="majorHAnsi"/>
          <w:lang w:eastAsia="en-US"/>
        </w:rPr>
        <w:t xml:space="preserve"> de</w:t>
      </w:r>
      <w:r w:rsidR="006A3F1E" w:rsidRPr="00D45CA2">
        <w:rPr>
          <w:rFonts w:asciiTheme="majorHAnsi" w:eastAsia="Calibri" w:hAnsiTheme="majorHAnsi"/>
          <w:lang w:eastAsia="en-US"/>
        </w:rPr>
        <w:t>s</w:t>
      </w:r>
      <w:r w:rsidR="000D1DB8" w:rsidRPr="00D45CA2">
        <w:rPr>
          <w:rFonts w:asciiTheme="majorHAnsi" w:eastAsia="Calibri" w:hAnsiTheme="majorHAnsi"/>
          <w:lang w:eastAsia="en-US"/>
        </w:rPr>
        <w:t xml:space="preserve"> subvention</w:t>
      </w:r>
      <w:r w:rsidR="006A3F1E" w:rsidRPr="00D45CA2">
        <w:rPr>
          <w:rFonts w:asciiTheme="majorHAnsi" w:eastAsia="Calibri" w:hAnsiTheme="majorHAnsi"/>
          <w:lang w:eastAsia="en-US"/>
        </w:rPr>
        <w:t>s</w:t>
      </w:r>
      <w:r w:rsidR="00412B59" w:rsidRPr="00D45CA2">
        <w:rPr>
          <w:rFonts w:asciiTheme="majorHAnsi" w:eastAsia="Calibri" w:hAnsiTheme="majorHAnsi"/>
          <w:lang w:eastAsia="en-US"/>
        </w:rPr>
        <w:t xml:space="preserve"> </w:t>
      </w:r>
      <w:r w:rsidR="00953C35">
        <w:rPr>
          <w:rFonts w:asciiTheme="majorHAnsi" w:eastAsia="Calibri" w:hAnsiTheme="majorHAnsi"/>
          <w:lang w:eastAsia="en-US"/>
        </w:rPr>
        <w:t>à</w:t>
      </w:r>
      <w:r w:rsidR="00412B59" w:rsidRPr="00D45CA2">
        <w:rPr>
          <w:rFonts w:asciiTheme="majorHAnsi" w:eastAsia="Calibri" w:hAnsiTheme="majorHAnsi"/>
          <w:lang w:eastAsia="en-US"/>
        </w:rPr>
        <w:t xml:space="preserve"> </w:t>
      </w:r>
      <w:r w:rsidR="00953C35">
        <w:rPr>
          <w:rFonts w:asciiTheme="majorHAnsi" w:eastAsia="Calibri" w:hAnsiTheme="majorHAnsi"/>
          <w:lang w:eastAsia="en-US"/>
        </w:rPr>
        <w:t>4,8</w:t>
      </w:r>
      <w:r w:rsidR="000D1DB8" w:rsidRPr="00D45CA2">
        <w:rPr>
          <w:rFonts w:asciiTheme="majorHAnsi" w:eastAsia="Calibri" w:hAnsiTheme="majorHAnsi"/>
          <w:lang w:eastAsia="en-US"/>
        </w:rPr>
        <w:t>%</w:t>
      </w:r>
      <w:r w:rsidR="00D67C80" w:rsidRPr="00D45CA2">
        <w:rPr>
          <w:rFonts w:asciiTheme="majorHAnsi" w:eastAsia="Calibri" w:hAnsiTheme="majorHAnsi"/>
          <w:lang w:eastAsia="en-US"/>
        </w:rPr>
        <w:t xml:space="preserve"> au lieu de </w:t>
      </w:r>
      <w:r w:rsidR="00953C35">
        <w:rPr>
          <w:rFonts w:asciiTheme="majorHAnsi" w:eastAsia="Calibri" w:hAnsiTheme="majorHAnsi"/>
          <w:lang w:eastAsia="en-US"/>
        </w:rPr>
        <w:t>9,9</w:t>
      </w:r>
      <w:r w:rsidR="00D67C80" w:rsidRPr="00D45CA2">
        <w:rPr>
          <w:rFonts w:asciiTheme="majorHAnsi" w:eastAsia="Calibri" w:hAnsiTheme="majorHAnsi"/>
          <w:lang w:eastAsia="en-US"/>
        </w:rPr>
        <w:t>%</w:t>
      </w:r>
      <w:r w:rsidR="006A3F1E" w:rsidRPr="00D45CA2">
        <w:rPr>
          <w:rFonts w:asciiTheme="majorHAnsi" w:eastAsia="Calibri" w:hAnsiTheme="majorHAnsi"/>
          <w:lang w:eastAsia="en-US"/>
        </w:rPr>
        <w:t>,</w:t>
      </w:r>
      <w:r w:rsidR="000D1DB8" w:rsidRPr="00D45CA2">
        <w:rPr>
          <w:rFonts w:asciiTheme="majorHAnsi" w:eastAsia="Calibri" w:hAnsiTheme="majorHAnsi"/>
          <w:lang w:eastAsia="en-US"/>
        </w:rPr>
        <w:t xml:space="preserve"> </w:t>
      </w:r>
      <w:r w:rsidR="000D1DB8" w:rsidRPr="00B76255">
        <w:rPr>
          <w:rFonts w:asciiTheme="majorHAnsi" w:eastAsia="Calibri" w:hAnsiTheme="majorHAnsi"/>
          <w:b/>
          <w:bCs/>
          <w:lang w:eastAsia="en-US"/>
        </w:rPr>
        <w:t xml:space="preserve">le </w:t>
      </w:r>
      <w:r w:rsidR="00422D06" w:rsidRPr="00B76255">
        <w:rPr>
          <w:rFonts w:asciiTheme="majorHAnsi" w:eastAsia="Calibri" w:hAnsiTheme="majorHAnsi"/>
          <w:b/>
          <w:bCs/>
          <w:lang w:eastAsia="en-US"/>
        </w:rPr>
        <w:t>Produit Intérieur Brut</w:t>
      </w:r>
      <w:r w:rsidR="00440406" w:rsidRPr="00B76255">
        <w:rPr>
          <w:rFonts w:asciiTheme="majorHAnsi" w:eastAsia="Calibri" w:hAnsiTheme="majorHAnsi"/>
          <w:b/>
          <w:bCs/>
          <w:lang w:eastAsia="en-US"/>
        </w:rPr>
        <w:t xml:space="preserve"> </w:t>
      </w:r>
      <w:r w:rsidR="00343C5E">
        <w:rPr>
          <w:rFonts w:asciiTheme="majorHAnsi" w:hAnsiTheme="majorHAnsi"/>
        </w:rPr>
        <w:t>en volume, corrigé</w:t>
      </w:r>
      <w:r w:rsidR="00D23930" w:rsidRPr="00D45CA2">
        <w:rPr>
          <w:rFonts w:asciiTheme="majorHAnsi" w:hAnsiTheme="majorHAnsi"/>
        </w:rPr>
        <w:t xml:space="preserve"> des variations</w:t>
      </w:r>
      <w:r w:rsidR="00D23930">
        <w:rPr>
          <w:rFonts w:asciiTheme="majorHAnsi" w:hAnsiTheme="majorHAnsi"/>
        </w:rPr>
        <w:t xml:space="preserve"> saisonnières, </w:t>
      </w:r>
      <w:r w:rsidR="00422D06" w:rsidRPr="009259DF">
        <w:rPr>
          <w:rFonts w:asciiTheme="majorHAnsi" w:eastAsia="Calibri" w:hAnsiTheme="majorHAnsi"/>
          <w:lang w:eastAsia="en-US"/>
        </w:rPr>
        <w:t xml:space="preserve">a affiché un accroissement de </w:t>
      </w:r>
      <w:r w:rsidR="00953C35">
        <w:rPr>
          <w:rFonts w:asciiTheme="majorHAnsi" w:eastAsia="Calibri" w:hAnsiTheme="majorHAnsi"/>
          <w:lang w:eastAsia="en-US"/>
        </w:rPr>
        <w:t>4</w:t>
      </w:r>
      <w:r w:rsidR="00422D06" w:rsidRPr="009259DF">
        <w:rPr>
          <w:rFonts w:asciiTheme="majorHAnsi" w:eastAsia="Calibri" w:hAnsiTheme="majorHAnsi"/>
          <w:lang w:eastAsia="en-US"/>
        </w:rPr>
        <w:t xml:space="preserve">% </w:t>
      </w:r>
      <w:r w:rsidR="00422D06" w:rsidRPr="00D45CA2">
        <w:rPr>
          <w:rFonts w:asciiTheme="majorHAnsi" w:eastAsia="Calibri" w:hAnsiTheme="majorHAnsi"/>
          <w:lang w:eastAsia="en-US"/>
        </w:rPr>
        <w:t>au lieu de</w:t>
      </w:r>
      <w:r w:rsidR="00D67C80" w:rsidRPr="00D45CA2">
        <w:rPr>
          <w:rFonts w:asciiTheme="majorHAnsi" w:eastAsia="Calibri" w:hAnsiTheme="majorHAnsi"/>
          <w:lang w:eastAsia="en-US"/>
        </w:rPr>
        <w:t xml:space="preserve"> </w:t>
      </w:r>
      <w:r w:rsidR="00953C35">
        <w:rPr>
          <w:rFonts w:asciiTheme="majorHAnsi" w:eastAsia="Calibri" w:hAnsiTheme="majorHAnsi"/>
          <w:lang w:eastAsia="en-US"/>
        </w:rPr>
        <w:t>5</w:t>
      </w:r>
      <w:r w:rsidR="00422D06" w:rsidRPr="00D45CA2">
        <w:rPr>
          <w:rFonts w:asciiTheme="majorHAnsi" w:eastAsia="Calibri" w:hAnsiTheme="majorHAnsi"/>
          <w:lang w:eastAsia="en-US"/>
        </w:rPr>
        <w:t xml:space="preserve">% </w:t>
      </w:r>
      <w:r w:rsidR="00953C35">
        <w:rPr>
          <w:rFonts w:asciiTheme="majorHAnsi" w:eastAsia="Calibri" w:hAnsiTheme="majorHAnsi"/>
          <w:lang w:eastAsia="en-US"/>
        </w:rPr>
        <w:t xml:space="preserve">durant </w:t>
      </w:r>
      <w:r w:rsidR="006A3F1E" w:rsidRPr="00D45CA2">
        <w:rPr>
          <w:rFonts w:asciiTheme="majorHAnsi" w:eastAsia="Calibri" w:hAnsiTheme="majorHAnsi"/>
          <w:lang w:eastAsia="en-US"/>
        </w:rPr>
        <w:t xml:space="preserve">le </w:t>
      </w:r>
      <w:r w:rsidR="00EB1450">
        <w:rPr>
          <w:rFonts w:asciiTheme="majorHAnsi" w:eastAsia="Calibri" w:hAnsiTheme="majorHAnsi"/>
          <w:lang w:eastAsia="en-US"/>
        </w:rPr>
        <w:t>troisième</w:t>
      </w:r>
      <w:r w:rsidR="006A3F1E" w:rsidRPr="00D45CA2">
        <w:rPr>
          <w:rFonts w:asciiTheme="majorHAnsi" w:eastAsia="Calibri" w:hAnsiTheme="majorHAnsi"/>
          <w:lang w:eastAsia="en-US"/>
        </w:rPr>
        <w:t xml:space="preserve"> trimestre </w:t>
      </w:r>
      <w:r w:rsidR="00422D06" w:rsidRPr="00D45CA2">
        <w:rPr>
          <w:rFonts w:asciiTheme="majorHAnsi" w:eastAsia="Calibri" w:hAnsiTheme="majorHAnsi"/>
          <w:lang w:eastAsia="en-US"/>
        </w:rPr>
        <w:t xml:space="preserve">de l’année précédente. </w:t>
      </w:r>
    </w:p>
    <w:p w:rsidR="00B37FE5" w:rsidRPr="0053389B" w:rsidRDefault="00B37FE5" w:rsidP="00B37FE5">
      <w:pPr>
        <w:shd w:val="clear" w:color="auto" w:fill="FFFFFF"/>
        <w:spacing w:before="120" w:after="120"/>
        <w:ind w:right="215"/>
        <w:jc w:val="both"/>
        <w:rPr>
          <w:rFonts w:asciiTheme="majorHAnsi" w:hAnsiTheme="majorHAnsi" w:cs="Calibri"/>
          <w:b/>
          <w:bCs/>
          <w:sz w:val="28"/>
          <w:szCs w:val="28"/>
        </w:rPr>
      </w:pPr>
      <w:r>
        <w:rPr>
          <w:rFonts w:asciiTheme="majorHAnsi" w:hAnsiTheme="majorHAnsi" w:cs="Calibri"/>
          <w:b/>
          <w:bCs/>
          <w:sz w:val="28"/>
          <w:szCs w:val="28"/>
        </w:rPr>
        <w:t>R</w:t>
      </w:r>
      <w:r w:rsidRPr="0053389B">
        <w:rPr>
          <w:rFonts w:asciiTheme="majorHAnsi" w:hAnsiTheme="majorHAnsi" w:cs="Calibri"/>
          <w:b/>
          <w:bCs/>
          <w:sz w:val="28"/>
          <w:szCs w:val="28"/>
        </w:rPr>
        <w:t xml:space="preserve">alentissement </w:t>
      </w:r>
      <w:r w:rsidR="004161D8">
        <w:rPr>
          <w:rFonts w:asciiTheme="majorHAnsi" w:hAnsiTheme="majorHAnsi" w:cs="Calibri"/>
          <w:b/>
          <w:bCs/>
          <w:sz w:val="28"/>
          <w:szCs w:val="28"/>
        </w:rPr>
        <w:t xml:space="preserve">remarquable </w:t>
      </w:r>
      <w:r w:rsidRPr="0053389B">
        <w:rPr>
          <w:rFonts w:asciiTheme="majorHAnsi" w:hAnsiTheme="majorHAnsi" w:cs="Calibri"/>
          <w:b/>
          <w:bCs/>
          <w:sz w:val="28"/>
          <w:szCs w:val="28"/>
        </w:rPr>
        <w:t xml:space="preserve">du niveau général des prix </w:t>
      </w:r>
    </w:p>
    <w:p w:rsidR="00B37FE5" w:rsidRPr="0053389B" w:rsidRDefault="00B37FE5" w:rsidP="00E3700D">
      <w:pPr>
        <w:shd w:val="clear" w:color="auto" w:fill="FFFFFF"/>
        <w:spacing w:after="240"/>
        <w:ind w:right="45"/>
        <w:jc w:val="both"/>
        <w:rPr>
          <w:rFonts w:asciiTheme="majorHAnsi" w:eastAsia="Calibri" w:hAnsiTheme="majorHAnsi"/>
          <w:lang w:eastAsia="en-US"/>
        </w:rPr>
      </w:pPr>
      <w:r w:rsidRPr="0053389B">
        <w:rPr>
          <w:rFonts w:asciiTheme="majorHAnsi" w:eastAsia="Calibri" w:hAnsiTheme="majorHAnsi"/>
          <w:lang w:eastAsia="en-US"/>
        </w:rPr>
        <w:t>Aux prix courants, le PIB a connu</w:t>
      </w:r>
      <w:r w:rsidR="00BE53CE">
        <w:rPr>
          <w:rFonts w:asciiTheme="majorHAnsi" w:eastAsia="Calibri" w:hAnsiTheme="majorHAnsi"/>
          <w:lang w:eastAsia="en-US"/>
        </w:rPr>
        <w:t>, au</w:t>
      </w:r>
      <w:r w:rsidRPr="0053389B">
        <w:rPr>
          <w:rFonts w:asciiTheme="majorHAnsi" w:eastAsia="Calibri" w:hAnsiTheme="majorHAnsi"/>
          <w:lang w:eastAsia="en-US"/>
        </w:rPr>
        <w:t xml:space="preserve"> </w:t>
      </w:r>
      <w:r w:rsidR="004161D8">
        <w:rPr>
          <w:rFonts w:asciiTheme="majorHAnsi" w:eastAsia="Calibri" w:hAnsiTheme="majorHAnsi"/>
          <w:lang w:eastAsia="en-US"/>
        </w:rPr>
        <w:t>troisième</w:t>
      </w:r>
      <w:r w:rsidR="00BE53CE" w:rsidRPr="0053389B">
        <w:rPr>
          <w:rFonts w:asciiTheme="majorHAnsi" w:eastAsia="Calibri" w:hAnsiTheme="majorHAnsi"/>
          <w:lang w:eastAsia="en-US"/>
        </w:rPr>
        <w:t xml:space="preserve"> trimestre</w:t>
      </w:r>
      <w:r w:rsidR="00BE53CE">
        <w:rPr>
          <w:rFonts w:asciiTheme="majorHAnsi" w:eastAsia="Calibri" w:hAnsiTheme="majorHAnsi"/>
          <w:lang w:eastAsia="en-US"/>
        </w:rPr>
        <w:t xml:space="preserve"> 2025</w:t>
      </w:r>
      <w:r w:rsidR="004161D8">
        <w:rPr>
          <w:rFonts w:asciiTheme="majorHAnsi" w:eastAsia="Calibri" w:hAnsiTheme="majorHAnsi"/>
          <w:lang w:eastAsia="en-US"/>
        </w:rPr>
        <w:t xml:space="preserve">, </w:t>
      </w:r>
      <w:r w:rsidR="004161D8" w:rsidRPr="0053389B">
        <w:rPr>
          <w:rFonts w:asciiTheme="majorHAnsi" w:eastAsia="Calibri" w:hAnsiTheme="majorHAnsi"/>
          <w:lang w:eastAsia="en-US"/>
        </w:rPr>
        <w:t>une</w:t>
      </w:r>
      <w:r w:rsidRPr="0053389B">
        <w:rPr>
          <w:rFonts w:asciiTheme="majorHAnsi" w:eastAsia="Calibri" w:hAnsiTheme="majorHAnsi"/>
          <w:lang w:eastAsia="en-US"/>
        </w:rPr>
        <w:t xml:space="preserve"> hausse de </w:t>
      </w:r>
      <w:r w:rsidR="004161D8">
        <w:rPr>
          <w:rFonts w:asciiTheme="majorHAnsi" w:eastAsia="Calibri" w:hAnsiTheme="majorHAnsi"/>
          <w:lang w:eastAsia="en-US"/>
        </w:rPr>
        <w:t>5,7</w:t>
      </w:r>
      <w:r w:rsidR="0095293E">
        <w:rPr>
          <w:rFonts w:asciiTheme="majorHAnsi" w:eastAsia="Calibri" w:hAnsiTheme="majorHAnsi"/>
          <w:lang w:eastAsia="en-US"/>
        </w:rPr>
        <w:t>%</w:t>
      </w:r>
      <w:r>
        <w:rPr>
          <w:rFonts w:asciiTheme="majorHAnsi" w:eastAsia="Calibri" w:hAnsiTheme="majorHAnsi"/>
          <w:lang w:eastAsia="en-US"/>
        </w:rPr>
        <w:t xml:space="preserve">, </w:t>
      </w:r>
      <w:r w:rsidR="00BE53CE">
        <w:rPr>
          <w:rFonts w:asciiTheme="majorHAnsi" w:eastAsia="Calibri" w:hAnsiTheme="majorHAnsi"/>
          <w:lang w:eastAsia="en-US"/>
        </w:rPr>
        <w:t xml:space="preserve">au lieu de </w:t>
      </w:r>
      <w:r w:rsidR="004161D8">
        <w:rPr>
          <w:rFonts w:asciiTheme="majorHAnsi" w:eastAsia="Calibri" w:hAnsiTheme="majorHAnsi"/>
          <w:lang w:eastAsia="en-US"/>
        </w:rPr>
        <w:t>8,7</w:t>
      </w:r>
      <w:r w:rsidR="00EB1450">
        <w:rPr>
          <w:rFonts w:asciiTheme="majorHAnsi" w:eastAsia="Calibri" w:hAnsiTheme="majorHAnsi"/>
          <w:lang w:eastAsia="en-US"/>
        </w:rPr>
        <w:t xml:space="preserve">% </w:t>
      </w:r>
      <w:r w:rsidR="00BE53CE">
        <w:rPr>
          <w:rFonts w:asciiTheme="majorHAnsi" w:eastAsia="Calibri" w:hAnsiTheme="majorHAnsi"/>
          <w:lang w:eastAsia="en-US"/>
        </w:rPr>
        <w:t xml:space="preserve">une année auparavant, </w:t>
      </w:r>
      <w:r w:rsidRPr="0053389B">
        <w:rPr>
          <w:rFonts w:asciiTheme="majorHAnsi" w:eastAsia="Calibri" w:hAnsiTheme="majorHAnsi"/>
          <w:lang w:eastAsia="en-US"/>
        </w:rPr>
        <w:t xml:space="preserve">dégageant ainsi un ralentissement du niveau général des prix à </w:t>
      </w:r>
      <w:r w:rsidR="00E3700D">
        <w:rPr>
          <w:rFonts w:asciiTheme="majorHAnsi" w:eastAsia="Calibri" w:hAnsiTheme="majorHAnsi"/>
          <w:lang w:eastAsia="en-US"/>
        </w:rPr>
        <w:t>1,7</w:t>
      </w:r>
      <w:r w:rsidRPr="0053389B">
        <w:rPr>
          <w:rFonts w:asciiTheme="majorHAnsi" w:eastAsia="Calibri" w:hAnsiTheme="majorHAnsi"/>
          <w:lang w:eastAsia="en-US"/>
        </w:rPr>
        <w:t xml:space="preserve">% au lieu de </w:t>
      </w:r>
      <w:r>
        <w:rPr>
          <w:rFonts w:asciiTheme="majorHAnsi" w:eastAsia="Calibri" w:hAnsiTheme="majorHAnsi"/>
          <w:lang w:eastAsia="en-US"/>
        </w:rPr>
        <w:t>3,</w:t>
      </w:r>
      <w:r w:rsidR="00E3700D">
        <w:rPr>
          <w:rFonts w:asciiTheme="majorHAnsi" w:eastAsia="Calibri" w:hAnsiTheme="majorHAnsi"/>
          <w:lang w:eastAsia="en-US"/>
        </w:rPr>
        <w:t>7</w:t>
      </w:r>
      <w:r w:rsidRPr="0053389B">
        <w:rPr>
          <w:rFonts w:asciiTheme="majorHAnsi" w:eastAsia="Calibri" w:hAnsiTheme="majorHAnsi"/>
          <w:lang w:eastAsia="en-US"/>
        </w:rPr>
        <w:t>% le même trimestre de l’année précédente.</w:t>
      </w:r>
    </w:p>
    <w:p w:rsidR="00D174AB" w:rsidRPr="00D45CA2" w:rsidRDefault="00574DC6" w:rsidP="00574DC6">
      <w:pPr>
        <w:spacing w:before="120" w:after="120"/>
        <w:ind w:right="48"/>
        <w:jc w:val="both"/>
        <w:outlineLvl w:val="2"/>
        <w:rPr>
          <w:rFonts w:asciiTheme="majorHAnsi" w:hAnsiTheme="majorHAnsi" w:cs="Calibri"/>
          <w:b/>
          <w:bCs/>
          <w:sz w:val="28"/>
          <w:szCs w:val="28"/>
        </w:rPr>
      </w:pPr>
      <w:r>
        <w:rPr>
          <w:rStyle w:val="lev"/>
          <w:rFonts w:asciiTheme="majorHAnsi" w:hAnsiTheme="majorHAnsi"/>
          <w:sz w:val="28"/>
          <w:szCs w:val="28"/>
        </w:rPr>
        <w:t>Forte h</w:t>
      </w:r>
      <w:r w:rsidR="00D0092E">
        <w:rPr>
          <w:rStyle w:val="lev"/>
          <w:rFonts w:asciiTheme="majorHAnsi" w:hAnsiTheme="majorHAnsi"/>
          <w:sz w:val="28"/>
          <w:szCs w:val="28"/>
        </w:rPr>
        <w:t>ausse de</w:t>
      </w:r>
      <w:r w:rsidR="00D174AB" w:rsidRPr="00D45CA2">
        <w:rPr>
          <w:rFonts w:asciiTheme="majorHAnsi" w:hAnsiTheme="majorHAnsi" w:cs="Calibri"/>
          <w:b/>
          <w:bCs/>
          <w:sz w:val="28"/>
          <w:szCs w:val="28"/>
        </w:rPr>
        <w:t xml:space="preserve"> la demande intérieure </w:t>
      </w:r>
    </w:p>
    <w:p w:rsidR="00D0092E" w:rsidRDefault="00D0092E" w:rsidP="00D55008">
      <w:pPr>
        <w:shd w:val="clear" w:color="auto" w:fill="FFFFFF"/>
        <w:spacing w:after="240"/>
        <w:ind w:right="45"/>
        <w:jc w:val="both"/>
        <w:rPr>
          <w:rFonts w:asciiTheme="majorHAnsi" w:hAnsiTheme="majorHAnsi" w:cs="Calibri"/>
        </w:rPr>
      </w:pPr>
      <w:r w:rsidRPr="00D55008">
        <w:rPr>
          <w:rFonts w:asciiTheme="majorHAnsi" w:hAnsiTheme="majorHAnsi" w:cs="Calibri"/>
        </w:rPr>
        <w:t xml:space="preserve">La demande intérieure a progressé de </w:t>
      </w:r>
      <w:r w:rsidR="00B05753" w:rsidRPr="00D55008">
        <w:rPr>
          <w:rFonts w:asciiTheme="majorHAnsi" w:hAnsiTheme="majorHAnsi" w:cs="Calibri"/>
        </w:rPr>
        <w:t>7,6</w:t>
      </w:r>
      <w:r w:rsidRPr="00D55008">
        <w:rPr>
          <w:rFonts w:asciiTheme="majorHAnsi" w:hAnsiTheme="majorHAnsi" w:cs="Calibri"/>
        </w:rPr>
        <w:t xml:space="preserve">% au </w:t>
      </w:r>
      <w:r w:rsidR="00B05753" w:rsidRPr="00D55008">
        <w:rPr>
          <w:rFonts w:asciiTheme="majorHAnsi" w:hAnsiTheme="majorHAnsi" w:cs="Calibri"/>
        </w:rPr>
        <w:t>troisième</w:t>
      </w:r>
      <w:r w:rsidRPr="00D55008">
        <w:rPr>
          <w:rFonts w:asciiTheme="majorHAnsi" w:hAnsiTheme="majorHAnsi" w:cs="Calibri"/>
        </w:rPr>
        <w:t xml:space="preserve"> trimestre 202</w:t>
      </w:r>
      <w:r w:rsidR="004163B5" w:rsidRPr="00D55008">
        <w:rPr>
          <w:rFonts w:asciiTheme="majorHAnsi" w:hAnsiTheme="majorHAnsi" w:cs="Calibri"/>
        </w:rPr>
        <w:t>5</w:t>
      </w:r>
      <w:r w:rsidRPr="00D55008">
        <w:rPr>
          <w:rFonts w:asciiTheme="majorHAnsi" w:hAnsiTheme="majorHAnsi" w:cs="Calibri"/>
        </w:rPr>
        <w:t xml:space="preserve"> au lieu </w:t>
      </w:r>
      <w:r w:rsidR="004163B5" w:rsidRPr="00D55008">
        <w:rPr>
          <w:rFonts w:asciiTheme="majorHAnsi" w:hAnsiTheme="majorHAnsi" w:cs="Calibri"/>
        </w:rPr>
        <w:t xml:space="preserve">de </w:t>
      </w:r>
      <w:r w:rsidR="00B05753" w:rsidRPr="00D55008">
        <w:rPr>
          <w:rFonts w:asciiTheme="majorHAnsi" w:hAnsiTheme="majorHAnsi" w:cs="Calibri"/>
        </w:rPr>
        <w:t>5,9</w:t>
      </w:r>
      <w:r w:rsidRPr="00D55008">
        <w:rPr>
          <w:rFonts w:asciiTheme="majorHAnsi" w:hAnsiTheme="majorHAnsi" w:cs="Calibri"/>
        </w:rPr>
        <w:t xml:space="preserve">% </w:t>
      </w:r>
      <w:r w:rsidR="002758F5" w:rsidRPr="00D55008">
        <w:rPr>
          <w:rFonts w:asciiTheme="majorHAnsi" w:hAnsiTheme="majorHAnsi" w:cs="Calibri"/>
        </w:rPr>
        <w:t>la même période de l’année 202</w:t>
      </w:r>
      <w:r w:rsidR="004163B5" w:rsidRPr="00D55008">
        <w:rPr>
          <w:rFonts w:asciiTheme="majorHAnsi" w:hAnsiTheme="majorHAnsi" w:cs="Calibri"/>
        </w:rPr>
        <w:t>4</w:t>
      </w:r>
      <w:r w:rsidRPr="00D55008">
        <w:rPr>
          <w:rFonts w:asciiTheme="majorHAnsi" w:hAnsiTheme="majorHAnsi" w:cs="Calibri"/>
        </w:rPr>
        <w:t>, contribuant ainsi pour</w:t>
      </w:r>
      <w:r w:rsidR="002758F5" w:rsidRPr="00D55008">
        <w:rPr>
          <w:rFonts w:asciiTheme="majorHAnsi" w:hAnsiTheme="majorHAnsi" w:cs="Calibri"/>
        </w:rPr>
        <w:t xml:space="preserve"> </w:t>
      </w:r>
      <w:r w:rsidR="004163B5" w:rsidRPr="00D55008">
        <w:rPr>
          <w:rFonts w:asciiTheme="majorHAnsi" w:hAnsiTheme="majorHAnsi" w:cs="Calibri"/>
        </w:rPr>
        <w:t>8,</w:t>
      </w:r>
      <w:r w:rsidR="00D55008" w:rsidRPr="00D55008">
        <w:rPr>
          <w:rFonts w:asciiTheme="majorHAnsi" w:hAnsiTheme="majorHAnsi" w:cs="Calibri"/>
        </w:rPr>
        <w:t>3</w:t>
      </w:r>
      <w:r w:rsidRPr="00D55008">
        <w:rPr>
          <w:rFonts w:asciiTheme="majorHAnsi" w:hAnsiTheme="majorHAnsi" w:cs="Calibri"/>
        </w:rPr>
        <w:t xml:space="preserve"> points à la croissance économique nationale au lieu de </w:t>
      </w:r>
      <w:r w:rsidR="00D55008" w:rsidRPr="00D55008">
        <w:rPr>
          <w:rFonts w:asciiTheme="majorHAnsi" w:hAnsiTheme="majorHAnsi" w:cs="Calibri"/>
        </w:rPr>
        <w:t>6,5</w:t>
      </w:r>
      <w:r w:rsidR="002758F5" w:rsidRPr="00D55008">
        <w:rPr>
          <w:rFonts w:asciiTheme="majorHAnsi" w:hAnsiTheme="majorHAnsi" w:cs="Calibri"/>
        </w:rPr>
        <w:t xml:space="preserve"> point</w:t>
      </w:r>
      <w:r w:rsidR="004163B5" w:rsidRPr="00D55008">
        <w:rPr>
          <w:rFonts w:asciiTheme="majorHAnsi" w:hAnsiTheme="majorHAnsi" w:cs="Calibri"/>
        </w:rPr>
        <w:t>s</w:t>
      </w:r>
      <w:r w:rsidRPr="00D55008">
        <w:rPr>
          <w:rFonts w:asciiTheme="majorHAnsi" w:hAnsiTheme="majorHAnsi" w:cs="Calibri"/>
        </w:rPr>
        <w:t xml:space="preserve">. </w:t>
      </w:r>
    </w:p>
    <w:p w:rsidR="003356A0" w:rsidRPr="00D55008" w:rsidRDefault="003356A0" w:rsidP="003356A0">
      <w:pPr>
        <w:autoSpaceDE w:val="0"/>
        <w:autoSpaceDN w:val="0"/>
        <w:adjustRightInd w:val="0"/>
        <w:spacing w:before="240" w:after="240"/>
        <w:ind w:right="45"/>
        <w:jc w:val="both"/>
        <w:rPr>
          <w:rFonts w:asciiTheme="majorHAnsi" w:hAnsiTheme="majorHAnsi" w:cs="Calibri"/>
        </w:rPr>
      </w:pPr>
      <w:r w:rsidRPr="00D55008">
        <w:rPr>
          <w:rFonts w:asciiTheme="majorHAnsi" w:hAnsiTheme="majorHAnsi" w:cs="Calibri"/>
        </w:rPr>
        <w:t>L’investissement brut (formation brute de capital fixe ; variation des stocks et acquisition nette d’objets de valeurs) a enregistré une forte hausse de 1</w:t>
      </w:r>
      <w:r>
        <w:rPr>
          <w:rFonts w:asciiTheme="majorHAnsi" w:hAnsiTheme="majorHAnsi" w:cs="Calibri"/>
        </w:rPr>
        <w:t>5</w:t>
      </w:r>
      <w:r w:rsidRPr="00D55008">
        <w:rPr>
          <w:rFonts w:asciiTheme="majorHAnsi" w:hAnsiTheme="majorHAnsi" w:cs="Calibri"/>
        </w:rPr>
        <w:t xml:space="preserve">% au lieu de </w:t>
      </w:r>
      <w:r>
        <w:rPr>
          <w:rFonts w:asciiTheme="majorHAnsi" w:hAnsiTheme="majorHAnsi" w:cs="Calibri"/>
        </w:rPr>
        <w:t>11,8</w:t>
      </w:r>
      <w:r w:rsidRPr="00D55008">
        <w:rPr>
          <w:rFonts w:asciiTheme="majorHAnsi" w:hAnsiTheme="majorHAnsi" w:cs="Calibri"/>
        </w:rPr>
        <w:t>% la même période de l’année précédente, contribuant à la croissance de 4,</w:t>
      </w:r>
      <w:r>
        <w:rPr>
          <w:rFonts w:asciiTheme="majorHAnsi" w:hAnsiTheme="majorHAnsi" w:cs="Calibri"/>
        </w:rPr>
        <w:t>6</w:t>
      </w:r>
      <w:r w:rsidRPr="00D55008">
        <w:rPr>
          <w:rFonts w:asciiTheme="majorHAnsi" w:hAnsiTheme="majorHAnsi" w:cs="Calibri"/>
        </w:rPr>
        <w:t xml:space="preserve"> points au lieu de </w:t>
      </w:r>
      <w:r>
        <w:rPr>
          <w:rFonts w:asciiTheme="majorHAnsi" w:hAnsiTheme="majorHAnsi" w:cs="Calibri"/>
        </w:rPr>
        <w:t>3,5</w:t>
      </w:r>
      <w:r w:rsidRPr="00D55008">
        <w:rPr>
          <w:rFonts w:asciiTheme="majorHAnsi" w:hAnsiTheme="majorHAnsi" w:cs="Calibri"/>
        </w:rPr>
        <w:t xml:space="preserve"> point</w:t>
      </w:r>
      <w:r>
        <w:rPr>
          <w:rFonts w:asciiTheme="majorHAnsi" w:hAnsiTheme="majorHAnsi" w:cs="Calibri"/>
        </w:rPr>
        <w:t>s</w:t>
      </w:r>
      <w:r w:rsidRPr="00D55008">
        <w:rPr>
          <w:rFonts w:asciiTheme="majorHAnsi" w:hAnsiTheme="majorHAnsi" w:cs="Calibri"/>
        </w:rPr>
        <w:t xml:space="preserve">. </w:t>
      </w:r>
    </w:p>
    <w:p w:rsidR="00D0092E" w:rsidRPr="00D55008" w:rsidRDefault="003356A0" w:rsidP="00D55008">
      <w:pPr>
        <w:shd w:val="clear" w:color="auto" w:fill="FFFFFF"/>
        <w:spacing w:before="120" w:after="120"/>
        <w:ind w:right="48"/>
        <w:jc w:val="both"/>
        <w:rPr>
          <w:rFonts w:asciiTheme="majorHAnsi" w:hAnsiTheme="majorHAnsi" w:cs="Calibri"/>
        </w:rPr>
      </w:pPr>
      <w:r w:rsidRPr="00D55008">
        <w:rPr>
          <w:rFonts w:asciiTheme="majorHAnsi" w:hAnsiTheme="majorHAnsi" w:cs="Calibri"/>
        </w:rPr>
        <w:t xml:space="preserve">De son côté, </w:t>
      </w:r>
      <w:r>
        <w:rPr>
          <w:rFonts w:asciiTheme="majorHAnsi" w:hAnsiTheme="majorHAnsi" w:cs="Calibri"/>
        </w:rPr>
        <w:t>l</w:t>
      </w:r>
      <w:r w:rsidR="00D0092E" w:rsidRPr="00D55008">
        <w:rPr>
          <w:rFonts w:asciiTheme="majorHAnsi" w:hAnsiTheme="majorHAnsi" w:cs="Calibri"/>
        </w:rPr>
        <w:t xml:space="preserve">es dépenses de consommation finale des ménages ont </w:t>
      </w:r>
      <w:r w:rsidR="004163B5" w:rsidRPr="00D55008">
        <w:rPr>
          <w:rFonts w:asciiTheme="majorHAnsi" w:hAnsiTheme="majorHAnsi" w:cs="Calibri"/>
        </w:rPr>
        <w:t>affiché</w:t>
      </w:r>
      <w:r w:rsidR="00D0092E" w:rsidRPr="00D55008">
        <w:rPr>
          <w:rFonts w:asciiTheme="majorHAnsi" w:hAnsiTheme="majorHAnsi" w:cs="Calibri"/>
        </w:rPr>
        <w:t xml:space="preserve"> une hausse de </w:t>
      </w:r>
      <w:r w:rsidR="00D55008">
        <w:rPr>
          <w:rFonts w:asciiTheme="majorHAnsi" w:hAnsiTheme="majorHAnsi" w:cs="Calibri"/>
        </w:rPr>
        <w:t>3,9</w:t>
      </w:r>
      <w:r w:rsidR="00D0092E" w:rsidRPr="00D55008">
        <w:rPr>
          <w:rFonts w:asciiTheme="majorHAnsi" w:hAnsiTheme="majorHAnsi" w:cs="Calibri"/>
        </w:rPr>
        <w:t xml:space="preserve">% au lieu </w:t>
      </w:r>
      <w:r w:rsidR="002758F5" w:rsidRPr="00D55008">
        <w:rPr>
          <w:rFonts w:asciiTheme="majorHAnsi" w:hAnsiTheme="majorHAnsi" w:cs="Calibri"/>
        </w:rPr>
        <w:t xml:space="preserve">de </w:t>
      </w:r>
      <w:r w:rsidR="00D55008">
        <w:rPr>
          <w:rFonts w:asciiTheme="majorHAnsi" w:hAnsiTheme="majorHAnsi" w:cs="Calibri"/>
        </w:rPr>
        <w:t>3</w:t>
      </w:r>
      <w:r w:rsidR="00D0092E" w:rsidRPr="00D55008">
        <w:rPr>
          <w:rFonts w:asciiTheme="majorHAnsi" w:hAnsiTheme="majorHAnsi" w:cs="Calibri"/>
        </w:rPr>
        <w:t>%</w:t>
      </w:r>
      <w:r w:rsidR="002758F5" w:rsidRPr="00D55008">
        <w:rPr>
          <w:rFonts w:asciiTheme="majorHAnsi" w:hAnsiTheme="majorHAnsi" w:cs="Calibri"/>
        </w:rPr>
        <w:t xml:space="preserve"> le même trimestre de l’année précédente</w:t>
      </w:r>
      <w:r w:rsidR="00D0092E" w:rsidRPr="00D55008">
        <w:rPr>
          <w:rFonts w:asciiTheme="majorHAnsi" w:hAnsiTheme="majorHAnsi" w:cs="Calibri"/>
        </w:rPr>
        <w:t xml:space="preserve">, contribuant pour </w:t>
      </w:r>
      <w:r w:rsidR="002758F5" w:rsidRPr="00D55008">
        <w:rPr>
          <w:rFonts w:asciiTheme="majorHAnsi" w:hAnsiTheme="majorHAnsi" w:cs="Calibri"/>
        </w:rPr>
        <w:t>2</w:t>
      </w:r>
      <w:r w:rsidR="004163B5" w:rsidRPr="00D55008">
        <w:rPr>
          <w:rFonts w:asciiTheme="majorHAnsi" w:hAnsiTheme="majorHAnsi" w:cs="Calibri"/>
        </w:rPr>
        <w:t>,</w:t>
      </w:r>
      <w:r w:rsidR="00D55008">
        <w:rPr>
          <w:rFonts w:asciiTheme="majorHAnsi" w:hAnsiTheme="majorHAnsi" w:cs="Calibri"/>
        </w:rPr>
        <w:t>3</w:t>
      </w:r>
      <w:r w:rsidR="002758F5" w:rsidRPr="00D55008">
        <w:rPr>
          <w:rFonts w:asciiTheme="majorHAnsi" w:hAnsiTheme="majorHAnsi" w:cs="Calibri"/>
        </w:rPr>
        <w:t xml:space="preserve"> point</w:t>
      </w:r>
      <w:r w:rsidR="004163B5" w:rsidRPr="00D55008">
        <w:rPr>
          <w:rFonts w:asciiTheme="majorHAnsi" w:hAnsiTheme="majorHAnsi" w:cs="Calibri"/>
        </w:rPr>
        <w:t>s</w:t>
      </w:r>
      <w:r w:rsidR="00D0092E" w:rsidRPr="00D55008">
        <w:rPr>
          <w:rFonts w:asciiTheme="majorHAnsi" w:hAnsiTheme="majorHAnsi" w:cs="Calibri"/>
        </w:rPr>
        <w:t xml:space="preserve"> à la croissance</w:t>
      </w:r>
      <w:r w:rsidR="000D6A5C" w:rsidRPr="00D55008">
        <w:rPr>
          <w:rFonts w:asciiTheme="majorHAnsi" w:hAnsiTheme="majorHAnsi" w:cs="Calibri"/>
        </w:rPr>
        <w:t xml:space="preserve"> contre 1,</w:t>
      </w:r>
      <w:r w:rsidR="00D55008">
        <w:rPr>
          <w:rFonts w:asciiTheme="majorHAnsi" w:hAnsiTheme="majorHAnsi" w:cs="Calibri"/>
        </w:rPr>
        <w:t>8</w:t>
      </w:r>
      <w:r w:rsidR="000D6A5C" w:rsidRPr="00D55008">
        <w:rPr>
          <w:rFonts w:asciiTheme="majorHAnsi" w:hAnsiTheme="majorHAnsi" w:cs="Calibri"/>
        </w:rPr>
        <w:t xml:space="preserve"> point</w:t>
      </w:r>
      <w:r w:rsidR="0072756F" w:rsidRPr="00D55008">
        <w:rPr>
          <w:rFonts w:asciiTheme="majorHAnsi" w:hAnsiTheme="majorHAnsi" w:cs="Calibri"/>
        </w:rPr>
        <w:t xml:space="preserve">. </w:t>
      </w:r>
    </w:p>
    <w:p w:rsidR="004163B5" w:rsidRPr="008B3683" w:rsidRDefault="004163B5" w:rsidP="009B6B54">
      <w:pPr>
        <w:shd w:val="clear" w:color="auto" w:fill="FFFFFF"/>
        <w:spacing w:before="120" w:after="360"/>
        <w:ind w:right="43"/>
        <w:contextualSpacing/>
        <w:jc w:val="both"/>
        <w:rPr>
          <w:rFonts w:asciiTheme="majorHAnsi" w:hAnsiTheme="majorHAnsi" w:cs="Calibri"/>
        </w:rPr>
      </w:pPr>
      <w:r w:rsidRPr="008B3683">
        <w:rPr>
          <w:rFonts w:asciiTheme="majorHAnsi" w:hAnsiTheme="majorHAnsi" w:cs="Calibri"/>
        </w:rPr>
        <w:lastRenderedPageBreak/>
        <w:t xml:space="preserve">Par ailleurs, la consommation finale des administrations publiques a connu </w:t>
      </w:r>
      <w:r w:rsidR="001C4C6A" w:rsidRPr="008B3683">
        <w:rPr>
          <w:rFonts w:asciiTheme="majorHAnsi" w:hAnsiTheme="majorHAnsi" w:cs="Calibri"/>
        </w:rPr>
        <w:t>un</w:t>
      </w:r>
      <w:r w:rsidR="003356A0" w:rsidRPr="008B3683">
        <w:rPr>
          <w:rFonts w:asciiTheme="majorHAnsi" w:hAnsiTheme="majorHAnsi" w:cs="Calibri"/>
        </w:rPr>
        <w:t>e</w:t>
      </w:r>
      <w:r w:rsidR="001C4C6A" w:rsidRPr="008B3683">
        <w:rPr>
          <w:rFonts w:asciiTheme="majorHAnsi" w:hAnsiTheme="majorHAnsi" w:cs="Calibri"/>
        </w:rPr>
        <w:t xml:space="preserve"> </w:t>
      </w:r>
      <w:r w:rsidR="003356A0" w:rsidRPr="008B3683">
        <w:rPr>
          <w:rFonts w:asciiTheme="majorHAnsi" w:hAnsiTheme="majorHAnsi" w:cs="Calibri"/>
        </w:rPr>
        <w:t>augmentation</w:t>
      </w:r>
      <w:r w:rsidR="001C4C6A" w:rsidRPr="008B3683">
        <w:rPr>
          <w:rFonts w:asciiTheme="majorHAnsi" w:hAnsiTheme="majorHAnsi" w:cs="Calibri"/>
        </w:rPr>
        <w:t xml:space="preserve"> </w:t>
      </w:r>
      <w:r w:rsidR="00603A9C" w:rsidRPr="008B3683">
        <w:rPr>
          <w:rFonts w:asciiTheme="majorHAnsi" w:hAnsiTheme="majorHAnsi" w:cs="Calibri"/>
        </w:rPr>
        <w:t>de</w:t>
      </w:r>
      <w:r w:rsidRPr="008B3683">
        <w:rPr>
          <w:rFonts w:asciiTheme="majorHAnsi" w:hAnsiTheme="majorHAnsi" w:cs="Calibri"/>
        </w:rPr>
        <w:t xml:space="preserve"> </w:t>
      </w:r>
      <w:r w:rsidR="001C4C6A" w:rsidRPr="008B3683">
        <w:rPr>
          <w:rFonts w:asciiTheme="majorHAnsi" w:hAnsiTheme="majorHAnsi" w:cs="Calibri"/>
        </w:rPr>
        <w:t>son taux d’accroissement passant</w:t>
      </w:r>
      <w:r w:rsidRPr="008B3683">
        <w:rPr>
          <w:rFonts w:asciiTheme="majorHAnsi" w:hAnsiTheme="majorHAnsi" w:cs="Calibri"/>
        </w:rPr>
        <w:t xml:space="preserve"> de </w:t>
      </w:r>
      <w:r w:rsidR="001C4C6A" w:rsidRPr="008B3683">
        <w:rPr>
          <w:rFonts w:asciiTheme="majorHAnsi" w:hAnsiTheme="majorHAnsi" w:cs="Calibri"/>
        </w:rPr>
        <w:t>5,5</w:t>
      </w:r>
      <w:r w:rsidRPr="008B3683">
        <w:rPr>
          <w:rFonts w:asciiTheme="majorHAnsi" w:hAnsiTheme="majorHAnsi" w:cs="Calibri"/>
        </w:rPr>
        <w:t xml:space="preserve">% </w:t>
      </w:r>
      <w:r w:rsidR="001C4C6A" w:rsidRPr="008B3683">
        <w:rPr>
          <w:rFonts w:asciiTheme="majorHAnsi" w:hAnsiTheme="majorHAnsi" w:cs="Calibri"/>
        </w:rPr>
        <w:t xml:space="preserve">au </w:t>
      </w:r>
      <w:r w:rsidR="008B3683" w:rsidRPr="008B3683">
        <w:rPr>
          <w:rFonts w:asciiTheme="majorHAnsi" w:hAnsiTheme="majorHAnsi" w:cs="Calibri"/>
        </w:rPr>
        <w:t>troisième</w:t>
      </w:r>
      <w:r w:rsidR="001C4C6A" w:rsidRPr="008B3683">
        <w:rPr>
          <w:rFonts w:asciiTheme="majorHAnsi" w:hAnsiTheme="majorHAnsi" w:cs="Calibri"/>
        </w:rPr>
        <w:t xml:space="preserve"> trimestre 2024 à</w:t>
      </w:r>
      <w:r w:rsidRPr="008B3683">
        <w:rPr>
          <w:rFonts w:asciiTheme="majorHAnsi" w:hAnsiTheme="majorHAnsi" w:cs="Calibri"/>
        </w:rPr>
        <w:t xml:space="preserve"> </w:t>
      </w:r>
      <w:r w:rsidR="008B3683" w:rsidRPr="008B3683">
        <w:rPr>
          <w:rFonts w:asciiTheme="majorHAnsi" w:hAnsiTheme="majorHAnsi" w:cs="Calibri"/>
        </w:rPr>
        <w:t>7,4</w:t>
      </w:r>
      <w:r w:rsidRPr="008B3683">
        <w:rPr>
          <w:rFonts w:asciiTheme="majorHAnsi" w:hAnsiTheme="majorHAnsi" w:cs="Calibri"/>
        </w:rPr>
        <w:t xml:space="preserve">%, contribuant pour </w:t>
      </w:r>
      <w:r w:rsidR="008B3683" w:rsidRPr="008B3683">
        <w:rPr>
          <w:rFonts w:asciiTheme="majorHAnsi" w:hAnsiTheme="majorHAnsi" w:cs="Calibri"/>
        </w:rPr>
        <w:t>1,3</w:t>
      </w:r>
      <w:r w:rsidR="001C4C6A" w:rsidRPr="008B3683">
        <w:rPr>
          <w:rFonts w:asciiTheme="majorHAnsi" w:hAnsiTheme="majorHAnsi" w:cs="Calibri"/>
        </w:rPr>
        <w:t xml:space="preserve"> </w:t>
      </w:r>
      <w:r w:rsidRPr="008B3683">
        <w:rPr>
          <w:rFonts w:asciiTheme="majorHAnsi" w:hAnsiTheme="majorHAnsi" w:cs="Calibri"/>
        </w:rPr>
        <w:t xml:space="preserve">point </w:t>
      </w:r>
      <w:r w:rsidR="001C4C6A" w:rsidRPr="008B3683">
        <w:rPr>
          <w:rFonts w:asciiTheme="majorHAnsi" w:hAnsiTheme="majorHAnsi" w:cs="Calibri"/>
        </w:rPr>
        <w:t xml:space="preserve">à la </w:t>
      </w:r>
      <w:r w:rsidR="008B3683" w:rsidRPr="008B3683">
        <w:rPr>
          <w:rFonts w:asciiTheme="majorHAnsi" w:hAnsiTheme="majorHAnsi" w:cs="Calibri"/>
        </w:rPr>
        <w:t>croissance au</w:t>
      </w:r>
      <w:r w:rsidRPr="008B3683">
        <w:rPr>
          <w:rFonts w:asciiTheme="majorHAnsi" w:hAnsiTheme="majorHAnsi" w:cs="Calibri"/>
        </w:rPr>
        <w:t xml:space="preserve"> lieu de </w:t>
      </w:r>
      <w:r w:rsidR="001C4C6A" w:rsidRPr="008B3683">
        <w:rPr>
          <w:rFonts w:asciiTheme="majorHAnsi" w:hAnsiTheme="majorHAnsi" w:cs="Calibri"/>
        </w:rPr>
        <w:t>1</w:t>
      </w:r>
      <w:r w:rsidRPr="008B3683">
        <w:rPr>
          <w:rFonts w:asciiTheme="majorHAnsi" w:hAnsiTheme="majorHAnsi" w:cs="Calibri"/>
        </w:rPr>
        <w:t xml:space="preserve"> point. </w:t>
      </w:r>
    </w:p>
    <w:p w:rsidR="00603A9C" w:rsidRPr="008B3683" w:rsidRDefault="00603A9C" w:rsidP="00245DE1">
      <w:pPr>
        <w:autoSpaceDE w:val="0"/>
        <w:autoSpaceDN w:val="0"/>
        <w:adjustRightInd w:val="0"/>
        <w:spacing w:after="240"/>
        <w:ind w:right="48"/>
        <w:contextualSpacing/>
        <w:jc w:val="both"/>
        <w:rPr>
          <w:rFonts w:asciiTheme="majorHAnsi" w:hAnsiTheme="majorHAnsi" w:cs="Calibri"/>
        </w:rPr>
      </w:pPr>
    </w:p>
    <w:p w:rsidR="00FA7126" w:rsidRPr="008B3683" w:rsidRDefault="000B78BF" w:rsidP="00CF3AE0">
      <w:pPr>
        <w:tabs>
          <w:tab w:val="left" w:pos="284"/>
        </w:tabs>
        <w:spacing w:before="120" w:after="120"/>
        <w:ind w:right="641"/>
        <w:jc w:val="both"/>
        <w:rPr>
          <w:rStyle w:val="lev"/>
          <w:rFonts w:asciiTheme="majorHAnsi" w:hAnsiTheme="majorHAnsi"/>
          <w:sz w:val="28"/>
          <w:szCs w:val="28"/>
        </w:rPr>
      </w:pPr>
      <w:r w:rsidRPr="008B3683">
        <w:rPr>
          <w:rStyle w:val="lev"/>
          <w:rFonts w:asciiTheme="majorHAnsi" w:hAnsiTheme="majorHAnsi"/>
          <w:sz w:val="28"/>
          <w:szCs w:val="28"/>
        </w:rPr>
        <w:t xml:space="preserve">Contribution </w:t>
      </w:r>
      <w:r w:rsidR="00033A67" w:rsidRPr="008B3683">
        <w:rPr>
          <w:rStyle w:val="lev"/>
          <w:rFonts w:asciiTheme="majorHAnsi" w:hAnsiTheme="majorHAnsi"/>
          <w:sz w:val="28"/>
          <w:szCs w:val="28"/>
        </w:rPr>
        <w:t>négative</w:t>
      </w:r>
      <w:r w:rsidR="00FA7126" w:rsidRPr="008B3683">
        <w:rPr>
          <w:rStyle w:val="lev"/>
          <w:rFonts w:asciiTheme="majorHAnsi" w:hAnsiTheme="majorHAnsi"/>
          <w:sz w:val="28"/>
          <w:szCs w:val="28"/>
        </w:rPr>
        <w:t xml:space="preserve"> des échanges extérieurs </w:t>
      </w:r>
    </w:p>
    <w:p w:rsidR="003E3FC6" w:rsidRPr="003E3FC6" w:rsidRDefault="003E3FC6" w:rsidP="00EB1450">
      <w:pPr>
        <w:pStyle w:val="Paragraphedeliste"/>
        <w:shd w:val="clear" w:color="auto" w:fill="FFFFFF"/>
        <w:spacing w:before="120" w:after="120"/>
        <w:ind w:left="0" w:right="72"/>
        <w:contextualSpacing w:val="0"/>
        <w:jc w:val="both"/>
        <w:rPr>
          <w:rFonts w:asciiTheme="majorHAnsi" w:hAnsiTheme="majorHAnsi" w:cs="Calibri"/>
        </w:rPr>
      </w:pPr>
      <w:r w:rsidRPr="003E3FC6">
        <w:rPr>
          <w:rFonts w:asciiTheme="majorHAnsi" w:hAnsiTheme="majorHAnsi" w:cs="Calibri"/>
        </w:rPr>
        <w:t>Au niveau des échanges extérieurs, les importations de biens et services en volume ont augmenté de</w:t>
      </w:r>
      <w:r w:rsidR="001A6F47">
        <w:rPr>
          <w:rFonts w:asciiTheme="majorHAnsi" w:hAnsiTheme="majorHAnsi" w:cs="Calibri"/>
        </w:rPr>
        <w:t xml:space="preserve"> 15,3%, contre 11,1</w:t>
      </w:r>
      <w:r w:rsidRPr="003E3FC6">
        <w:rPr>
          <w:rFonts w:asciiTheme="majorHAnsi" w:hAnsiTheme="majorHAnsi" w:cs="Calibri"/>
        </w:rPr>
        <w:t xml:space="preserve">% au cours de la même période en 2024, entraînant une contribution négative à la croissance de 7,7 points, contre </w:t>
      </w:r>
      <w:r w:rsidR="001A6F47">
        <w:rPr>
          <w:rFonts w:asciiTheme="majorHAnsi" w:hAnsiTheme="majorHAnsi" w:cs="Calibri"/>
        </w:rPr>
        <w:t>(</w:t>
      </w:r>
      <w:r w:rsidRPr="003E3FC6">
        <w:rPr>
          <w:rFonts w:asciiTheme="majorHAnsi" w:hAnsiTheme="majorHAnsi" w:cs="Calibri"/>
        </w:rPr>
        <w:t>−5,8</w:t>
      </w:r>
      <w:r w:rsidR="001A6F47">
        <w:rPr>
          <w:rFonts w:asciiTheme="majorHAnsi" w:hAnsiTheme="majorHAnsi" w:cs="Calibri"/>
        </w:rPr>
        <w:t>)</w:t>
      </w:r>
      <w:r w:rsidRPr="003E3FC6">
        <w:rPr>
          <w:rFonts w:asciiTheme="majorHAnsi" w:hAnsiTheme="majorHAnsi" w:cs="Calibri"/>
        </w:rPr>
        <w:t xml:space="preserve"> points l’année précédente. Les exportations ont, quant à elles, ralenti, avec un tau</w:t>
      </w:r>
      <w:r w:rsidR="001A6F47">
        <w:rPr>
          <w:rFonts w:asciiTheme="majorHAnsi" w:hAnsiTheme="majorHAnsi" w:cs="Calibri"/>
        </w:rPr>
        <w:t>x de croissance passant de 10,1</w:t>
      </w:r>
      <w:r w:rsidRPr="003E3FC6">
        <w:rPr>
          <w:rFonts w:asciiTheme="majorHAnsi" w:hAnsiTheme="majorHAnsi" w:cs="Calibri"/>
        </w:rPr>
        <w:t>% au</w:t>
      </w:r>
      <w:r w:rsidR="001A6F47">
        <w:rPr>
          <w:rFonts w:asciiTheme="majorHAnsi" w:hAnsiTheme="majorHAnsi" w:cs="Calibri"/>
        </w:rPr>
        <w:t xml:space="preserve"> troisième trimestre 2024 à 8,2</w:t>
      </w:r>
      <w:r w:rsidRPr="003E3FC6">
        <w:rPr>
          <w:rFonts w:asciiTheme="majorHAnsi" w:hAnsiTheme="majorHAnsi" w:cs="Calibri"/>
        </w:rPr>
        <w:t>%, représentant une contribution à la croissance de 3,4 points, contre 4,3 points l’année précédente.</w:t>
      </w:r>
    </w:p>
    <w:p w:rsidR="003E3FC6" w:rsidRPr="003E3FC6" w:rsidRDefault="003E3FC6" w:rsidP="009B6B54">
      <w:pPr>
        <w:pStyle w:val="Paragraphedeliste"/>
        <w:shd w:val="clear" w:color="auto" w:fill="FFFFFF"/>
        <w:spacing w:before="120" w:after="360"/>
        <w:ind w:left="0" w:right="72"/>
        <w:contextualSpacing w:val="0"/>
        <w:jc w:val="both"/>
        <w:rPr>
          <w:rFonts w:asciiTheme="majorHAnsi" w:hAnsiTheme="majorHAnsi" w:cs="Calibri"/>
        </w:rPr>
      </w:pPr>
      <w:r w:rsidRPr="003E3FC6">
        <w:rPr>
          <w:rFonts w:asciiTheme="majorHAnsi" w:hAnsiTheme="majorHAnsi" w:cs="Calibri"/>
        </w:rPr>
        <w:t xml:space="preserve">Dans ce contexte, les échanges extérieurs de biens et services ont dégagé, au troisième trimestre 2025, une contribution négative à la croissance de 4,3 points, contre </w:t>
      </w:r>
      <w:r w:rsidR="001A6F47">
        <w:rPr>
          <w:rFonts w:asciiTheme="majorHAnsi" w:hAnsiTheme="majorHAnsi" w:cs="Calibri"/>
        </w:rPr>
        <w:t>(</w:t>
      </w:r>
      <w:r w:rsidRPr="003E3FC6">
        <w:rPr>
          <w:rFonts w:asciiTheme="majorHAnsi" w:hAnsiTheme="majorHAnsi" w:cs="Calibri"/>
        </w:rPr>
        <w:t>−1,5</w:t>
      </w:r>
      <w:r w:rsidR="001A6F47">
        <w:rPr>
          <w:rFonts w:asciiTheme="majorHAnsi" w:hAnsiTheme="majorHAnsi" w:cs="Calibri"/>
        </w:rPr>
        <w:t>)</w:t>
      </w:r>
      <w:r w:rsidRPr="003E3FC6">
        <w:rPr>
          <w:rFonts w:asciiTheme="majorHAnsi" w:hAnsiTheme="majorHAnsi" w:cs="Calibri"/>
        </w:rPr>
        <w:t xml:space="preserve"> point au même trimestre de l’année précédente.</w:t>
      </w:r>
    </w:p>
    <w:p w:rsidR="00434D2B" w:rsidRPr="001A6F47" w:rsidRDefault="00434D2B" w:rsidP="00434D2B">
      <w:pPr>
        <w:pStyle w:val="Titre"/>
        <w:spacing w:after="240"/>
        <w:ind w:right="-374"/>
        <w:jc w:val="both"/>
        <w:rPr>
          <w:rStyle w:val="lev"/>
          <w:rFonts w:asciiTheme="majorHAnsi" w:hAnsiTheme="majorHAnsi"/>
          <w:b/>
          <w:bCs/>
          <w:sz w:val="28"/>
        </w:rPr>
      </w:pPr>
      <w:r w:rsidRPr="001A6F47">
        <w:rPr>
          <w:rStyle w:val="lev"/>
          <w:rFonts w:asciiTheme="majorHAnsi" w:hAnsiTheme="majorHAnsi"/>
          <w:b/>
          <w:bCs/>
          <w:sz w:val="28"/>
        </w:rPr>
        <w:t xml:space="preserve">Financement de l’économie nationale </w:t>
      </w:r>
    </w:p>
    <w:p w:rsidR="000432FA" w:rsidRPr="000432FA" w:rsidRDefault="000432FA" w:rsidP="000432FA">
      <w:pPr>
        <w:pStyle w:val="NormalWeb"/>
        <w:spacing w:before="120" w:beforeAutospacing="0" w:after="120" w:afterAutospacing="0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Avec la hausse de 5,7</w:t>
      </w:r>
      <w:r w:rsidRPr="000432FA">
        <w:rPr>
          <w:rFonts w:asciiTheme="majorHAnsi" w:hAnsiTheme="majorHAnsi" w:cs="Calibri"/>
        </w:rPr>
        <w:t>% du PIB aux prix courants, contre 8,7 % au même trimestre de l’année précéd</w:t>
      </w:r>
      <w:r>
        <w:rPr>
          <w:rFonts w:asciiTheme="majorHAnsi" w:hAnsiTheme="majorHAnsi" w:cs="Calibri"/>
        </w:rPr>
        <w:t>ente, et l’augmentation de 14,5</w:t>
      </w:r>
      <w:r w:rsidRPr="000432FA">
        <w:rPr>
          <w:rFonts w:asciiTheme="majorHAnsi" w:hAnsiTheme="majorHAnsi" w:cs="Calibri"/>
        </w:rPr>
        <w:t>% des revenus nets reçu</w:t>
      </w:r>
      <w:r>
        <w:rPr>
          <w:rFonts w:asciiTheme="majorHAnsi" w:hAnsiTheme="majorHAnsi" w:cs="Calibri"/>
        </w:rPr>
        <w:t>s du reste du monde, contre 0,5</w:t>
      </w:r>
      <w:r w:rsidRPr="000432FA">
        <w:rPr>
          <w:rFonts w:asciiTheme="majorHAnsi" w:hAnsiTheme="majorHAnsi" w:cs="Calibri"/>
        </w:rPr>
        <w:t>%, la croissance du revenu nationa</w:t>
      </w:r>
      <w:r>
        <w:rPr>
          <w:rFonts w:asciiTheme="majorHAnsi" w:hAnsiTheme="majorHAnsi" w:cs="Calibri"/>
        </w:rPr>
        <w:t>l brut disponible a atteint 6,2%, contre 8,2</w:t>
      </w:r>
      <w:r w:rsidRPr="000432FA">
        <w:rPr>
          <w:rFonts w:asciiTheme="majorHAnsi" w:hAnsiTheme="majorHAnsi" w:cs="Calibri"/>
        </w:rPr>
        <w:t>% au troisième trimestre 2024.</w:t>
      </w:r>
    </w:p>
    <w:p w:rsidR="000432FA" w:rsidRPr="000432FA" w:rsidRDefault="000432FA" w:rsidP="000432FA">
      <w:pPr>
        <w:pStyle w:val="NormalWeb"/>
        <w:spacing w:before="120" w:beforeAutospacing="0" w:after="120" w:afterAutospacing="0"/>
        <w:jc w:val="both"/>
        <w:rPr>
          <w:rFonts w:asciiTheme="majorHAnsi" w:hAnsiTheme="majorHAnsi" w:cs="Calibri"/>
        </w:rPr>
      </w:pPr>
      <w:r w:rsidRPr="000432FA">
        <w:rPr>
          <w:rFonts w:asciiTheme="majorHAnsi" w:hAnsiTheme="majorHAnsi" w:cs="Calibri"/>
        </w:rPr>
        <w:t>Comp</w:t>
      </w:r>
      <w:r>
        <w:rPr>
          <w:rFonts w:asciiTheme="majorHAnsi" w:hAnsiTheme="majorHAnsi" w:cs="Calibri"/>
        </w:rPr>
        <w:t>te tenu de l’accroissement de 5</w:t>
      </w:r>
      <w:r w:rsidRPr="000432FA">
        <w:rPr>
          <w:rFonts w:asciiTheme="majorHAnsi" w:hAnsiTheme="majorHAnsi" w:cs="Calibri"/>
        </w:rPr>
        <w:t xml:space="preserve">% de la consommation finale </w:t>
      </w:r>
      <w:r w:rsidR="00EB1450">
        <w:rPr>
          <w:rFonts w:asciiTheme="majorHAnsi" w:hAnsiTheme="majorHAnsi" w:cs="Calibri"/>
        </w:rPr>
        <w:t>nationale en valeur, contre 6,1</w:t>
      </w:r>
      <w:r w:rsidRPr="000432FA">
        <w:rPr>
          <w:rFonts w:asciiTheme="majorHAnsi" w:hAnsiTheme="majorHAnsi" w:cs="Calibri"/>
        </w:rPr>
        <w:t>% l’année précédente, l’épargne nationa</w:t>
      </w:r>
      <w:r>
        <w:rPr>
          <w:rFonts w:asciiTheme="majorHAnsi" w:hAnsiTheme="majorHAnsi" w:cs="Calibri"/>
        </w:rPr>
        <w:t>le s’est située à 29,7 % du PIB contre 28,7</w:t>
      </w:r>
      <w:r w:rsidRPr="000432FA">
        <w:rPr>
          <w:rFonts w:asciiTheme="majorHAnsi" w:hAnsiTheme="majorHAnsi" w:cs="Calibri"/>
        </w:rPr>
        <w:t>%.</w:t>
      </w:r>
    </w:p>
    <w:p w:rsidR="000432FA" w:rsidRPr="000432FA" w:rsidRDefault="000432FA" w:rsidP="009B6B54">
      <w:pPr>
        <w:pStyle w:val="NormalWeb"/>
        <w:spacing w:before="120" w:beforeAutospacing="0" w:after="120" w:afterAutospacing="0"/>
        <w:jc w:val="both"/>
        <w:rPr>
          <w:rFonts w:asciiTheme="majorHAnsi" w:hAnsiTheme="majorHAnsi" w:cs="Calibri"/>
        </w:rPr>
      </w:pPr>
      <w:r w:rsidRPr="000432FA">
        <w:rPr>
          <w:rFonts w:asciiTheme="majorHAnsi" w:hAnsiTheme="majorHAnsi" w:cs="Calibri"/>
        </w:rPr>
        <w:t>L’investissement brut (FBCF, variation des stocks et acquisition nette d’objets de vale</w:t>
      </w:r>
      <w:r>
        <w:rPr>
          <w:rFonts w:asciiTheme="majorHAnsi" w:hAnsiTheme="majorHAnsi" w:cs="Calibri"/>
        </w:rPr>
        <w:t>ur) a représenté 32,6 % du PIB au lieu de 31</w:t>
      </w:r>
      <w:r w:rsidRPr="000432FA">
        <w:rPr>
          <w:rFonts w:asciiTheme="majorHAnsi" w:hAnsiTheme="majorHAnsi" w:cs="Calibri"/>
        </w:rPr>
        <w:t xml:space="preserve">% au même trimestre de l’année précédente, dégageant ainsi </w:t>
      </w:r>
      <w:r w:rsidR="009B6B54">
        <w:rPr>
          <w:rFonts w:asciiTheme="majorHAnsi" w:hAnsiTheme="majorHAnsi" w:cs="Calibri"/>
        </w:rPr>
        <w:t>un besoin de financement de 2,9% du PIB</w:t>
      </w:r>
      <w:r w:rsidRPr="000432FA">
        <w:rPr>
          <w:rFonts w:asciiTheme="majorHAnsi" w:hAnsiTheme="majorHAnsi" w:cs="Calibri"/>
        </w:rPr>
        <w:t xml:space="preserve"> </w:t>
      </w:r>
      <w:r w:rsidR="009B6B54">
        <w:rPr>
          <w:rFonts w:asciiTheme="majorHAnsi" w:hAnsiTheme="majorHAnsi" w:cs="Calibri"/>
        </w:rPr>
        <w:t>au lieu de</w:t>
      </w:r>
      <w:r w:rsidRPr="000432FA">
        <w:rPr>
          <w:rFonts w:asciiTheme="majorHAnsi" w:hAnsiTheme="majorHAnsi" w:cs="Calibri"/>
        </w:rPr>
        <w:t xml:space="preserve"> 2,3 % au troisième trimestre 2024.</w:t>
      </w:r>
    </w:p>
    <w:p w:rsidR="000432FA" w:rsidRDefault="000432FA" w:rsidP="000432FA">
      <w:pPr>
        <w:shd w:val="clear" w:color="auto" w:fill="FFFFFF"/>
        <w:spacing w:after="160"/>
        <w:ind w:right="49"/>
        <w:jc w:val="both"/>
        <w:rPr>
          <w:rFonts w:asciiTheme="majorHAnsi" w:hAnsiTheme="majorHAnsi" w:cs="Calibri"/>
        </w:rPr>
      </w:pPr>
    </w:p>
    <w:p w:rsidR="000432FA" w:rsidRDefault="000432FA" w:rsidP="000432FA">
      <w:pPr>
        <w:shd w:val="clear" w:color="auto" w:fill="FFFFFF"/>
        <w:spacing w:after="160"/>
        <w:ind w:right="49"/>
        <w:jc w:val="both"/>
        <w:rPr>
          <w:rFonts w:asciiTheme="majorHAnsi" w:hAnsiTheme="majorHAnsi" w:cs="Calibri"/>
        </w:rPr>
      </w:pPr>
    </w:p>
    <w:p w:rsidR="00422D06" w:rsidRPr="001A6F47" w:rsidRDefault="00422D06" w:rsidP="00DF1CB3">
      <w:pPr>
        <w:shd w:val="clear" w:color="auto" w:fill="FFFFFF"/>
        <w:ind w:left="426"/>
        <w:jc w:val="both"/>
        <w:rPr>
          <w:rFonts w:asciiTheme="majorHAnsi" w:hAnsiTheme="majorHAnsi" w:cs="Calibri"/>
        </w:rPr>
      </w:pPr>
    </w:p>
    <w:p w:rsidR="002F5F2D" w:rsidRPr="00E3700D" w:rsidRDefault="002F5F2D" w:rsidP="00DF1CB3">
      <w:pPr>
        <w:shd w:val="clear" w:color="auto" w:fill="FFFFFF"/>
        <w:ind w:left="426"/>
        <w:jc w:val="both"/>
        <w:rPr>
          <w:rFonts w:asciiTheme="majorHAnsi" w:hAnsiTheme="majorHAnsi"/>
          <w:sz w:val="22"/>
          <w:szCs w:val="22"/>
          <w:highlight w:val="yellow"/>
        </w:rPr>
      </w:pPr>
    </w:p>
    <w:p w:rsidR="002F5F2D" w:rsidRPr="00E3700D" w:rsidRDefault="002F5F2D" w:rsidP="00DF1CB3">
      <w:pPr>
        <w:shd w:val="clear" w:color="auto" w:fill="FFFFFF"/>
        <w:ind w:left="426"/>
        <w:jc w:val="both"/>
        <w:rPr>
          <w:rFonts w:asciiTheme="majorHAnsi" w:hAnsiTheme="majorHAnsi"/>
          <w:sz w:val="22"/>
          <w:szCs w:val="22"/>
          <w:highlight w:val="yellow"/>
        </w:rPr>
      </w:pPr>
    </w:p>
    <w:p w:rsidR="002F5F2D" w:rsidRPr="00E3700D" w:rsidRDefault="002F5F2D" w:rsidP="00DF1CB3">
      <w:pPr>
        <w:shd w:val="clear" w:color="auto" w:fill="FFFFFF"/>
        <w:ind w:left="426"/>
        <w:jc w:val="both"/>
        <w:rPr>
          <w:sz w:val="22"/>
          <w:szCs w:val="22"/>
          <w:highlight w:val="yellow"/>
        </w:rPr>
      </w:pPr>
    </w:p>
    <w:p w:rsidR="000150BA" w:rsidRPr="00E3700D" w:rsidRDefault="000150BA" w:rsidP="00DF1CB3">
      <w:pPr>
        <w:shd w:val="clear" w:color="auto" w:fill="FFFFFF"/>
        <w:ind w:left="426"/>
        <w:jc w:val="both"/>
        <w:rPr>
          <w:sz w:val="22"/>
          <w:szCs w:val="22"/>
          <w:highlight w:val="yellow"/>
        </w:rPr>
      </w:pPr>
    </w:p>
    <w:p w:rsidR="000150BA" w:rsidRPr="00E3700D" w:rsidRDefault="000150BA" w:rsidP="00DF1CB3">
      <w:pPr>
        <w:shd w:val="clear" w:color="auto" w:fill="FFFFFF"/>
        <w:ind w:left="426"/>
        <w:jc w:val="both"/>
        <w:rPr>
          <w:sz w:val="22"/>
          <w:szCs w:val="22"/>
          <w:highlight w:val="yellow"/>
        </w:rPr>
      </w:pPr>
    </w:p>
    <w:p w:rsidR="009E37FB" w:rsidRPr="00E3700D" w:rsidRDefault="009E37FB" w:rsidP="00533824">
      <w:pPr>
        <w:ind w:right="-375" w:firstLine="426"/>
        <w:rPr>
          <w:b/>
          <w:bCs/>
          <w:sz w:val="22"/>
          <w:szCs w:val="22"/>
          <w:highlight w:val="yellow"/>
        </w:rPr>
      </w:pPr>
    </w:p>
    <w:p w:rsidR="009E37FB" w:rsidRPr="000150BA" w:rsidRDefault="00EA3101" w:rsidP="000432FA">
      <w:pPr>
        <w:ind w:right="-375" w:firstLine="426"/>
        <w:rPr>
          <w:rFonts w:asciiTheme="majorHAnsi" w:hAnsiTheme="majorHAnsi"/>
          <w:i/>
          <w:iCs/>
          <w:sz w:val="20"/>
          <w:szCs w:val="20"/>
        </w:rPr>
      </w:pPr>
      <w:r w:rsidRPr="000432FA">
        <w:rPr>
          <w:rFonts w:asciiTheme="majorHAnsi" w:hAnsiTheme="majorHAnsi"/>
          <w:i/>
          <w:iCs/>
          <w:sz w:val="20"/>
          <w:szCs w:val="20"/>
        </w:rPr>
        <w:t>En annexe le</w:t>
      </w:r>
      <w:r w:rsidR="00E37904" w:rsidRPr="000432FA">
        <w:rPr>
          <w:rFonts w:asciiTheme="majorHAnsi" w:hAnsiTheme="majorHAnsi"/>
          <w:i/>
          <w:iCs/>
          <w:sz w:val="20"/>
          <w:szCs w:val="20"/>
        </w:rPr>
        <w:t>s</w:t>
      </w:r>
      <w:r w:rsidRPr="000432FA"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0432FA" w:rsidRPr="000432FA">
        <w:rPr>
          <w:rFonts w:asciiTheme="majorHAnsi" w:hAnsiTheme="majorHAnsi"/>
          <w:i/>
          <w:iCs/>
          <w:sz w:val="20"/>
          <w:szCs w:val="20"/>
        </w:rPr>
        <w:t>tableaux présentant</w:t>
      </w:r>
      <w:r w:rsidR="001266EE" w:rsidRPr="000432FA">
        <w:rPr>
          <w:rFonts w:asciiTheme="majorHAnsi" w:hAnsiTheme="majorHAnsi"/>
          <w:i/>
          <w:iCs/>
          <w:sz w:val="20"/>
          <w:szCs w:val="20"/>
        </w:rPr>
        <w:t xml:space="preserve"> les résultats des comptes nationaux du </w:t>
      </w:r>
      <w:r w:rsidR="000432FA" w:rsidRPr="000432FA">
        <w:rPr>
          <w:rFonts w:asciiTheme="majorHAnsi" w:hAnsiTheme="majorHAnsi"/>
          <w:i/>
          <w:iCs/>
          <w:sz w:val="20"/>
          <w:szCs w:val="20"/>
        </w:rPr>
        <w:t xml:space="preserve">troisième </w:t>
      </w:r>
      <w:r w:rsidR="00210DCD" w:rsidRPr="000432FA">
        <w:rPr>
          <w:rFonts w:asciiTheme="majorHAnsi" w:hAnsiTheme="majorHAnsi"/>
          <w:i/>
          <w:iCs/>
          <w:sz w:val="20"/>
          <w:szCs w:val="20"/>
        </w:rPr>
        <w:t>trimestre 202</w:t>
      </w:r>
      <w:r w:rsidR="00614507" w:rsidRPr="000432FA">
        <w:rPr>
          <w:rFonts w:asciiTheme="majorHAnsi" w:hAnsiTheme="majorHAnsi"/>
          <w:i/>
          <w:iCs/>
          <w:sz w:val="20"/>
          <w:szCs w:val="20"/>
        </w:rPr>
        <w:t>5</w:t>
      </w:r>
      <w:r w:rsidR="001266EE" w:rsidRPr="000432FA">
        <w:rPr>
          <w:rFonts w:asciiTheme="majorHAnsi" w:hAnsiTheme="majorHAnsi"/>
          <w:i/>
          <w:iCs/>
          <w:sz w:val="20"/>
          <w:szCs w:val="20"/>
        </w:rPr>
        <w:t>.</w:t>
      </w:r>
    </w:p>
    <w:p w:rsidR="00B349E6" w:rsidRDefault="00057B22" w:rsidP="00C32CCD">
      <w:pPr>
        <w:ind w:right="-375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4.3pt;margin-top:.15pt;width:486pt;height:668.65pt;z-index:251658752">
            <v:imagedata r:id="rId9" o:title=""/>
            <w10:wrap type="square" side="right"/>
          </v:shape>
          <o:OLEObject Type="Embed" ProgID="Excel.Sheet.8" ShapeID="_x0000_s1027" DrawAspect="Content" ObjectID="_1828620908" r:id="rId10"/>
        </w:pict>
      </w:r>
      <w:bookmarkStart w:id="0" w:name="_GoBack"/>
      <w:bookmarkEnd w:id="0"/>
    </w:p>
    <w:sectPr w:rsidR="00B349E6" w:rsidSect="0038218E">
      <w:footerReference w:type="default" r:id="rId11"/>
      <w:pgSz w:w="12240" w:h="15840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404" w:rsidRDefault="007D5404">
      <w:r>
        <w:separator/>
      </w:r>
    </w:p>
  </w:endnote>
  <w:endnote w:type="continuationSeparator" w:id="0">
    <w:p w:rsidR="007D5404" w:rsidRDefault="007D5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D39" w:rsidRDefault="00057B22">
    <w:pPr>
      <w:pStyle w:val="Pieddepage"/>
      <w:jc w:val="center"/>
    </w:pPr>
    <w:r>
      <w:fldChar w:fldCharType="begin"/>
    </w:r>
    <w:r w:rsidR="00462D39">
      <w:instrText xml:space="preserve"> PAGE   \* MERGEFORMAT </w:instrText>
    </w:r>
    <w:r>
      <w:fldChar w:fldCharType="separate"/>
    </w:r>
    <w:r w:rsidR="005449EA">
      <w:rPr>
        <w:noProof/>
      </w:rPr>
      <w:t>2</w:t>
    </w:r>
    <w:r>
      <w:rPr>
        <w:noProof/>
      </w:rPr>
      <w:fldChar w:fldCharType="end"/>
    </w:r>
  </w:p>
  <w:p w:rsidR="00462D39" w:rsidRDefault="00462D3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404" w:rsidRDefault="007D5404">
      <w:r>
        <w:separator/>
      </w:r>
    </w:p>
  </w:footnote>
  <w:footnote w:type="continuationSeparator" w:id="0">
    <w:p w:rsidR="007D5404" w:rsidRDefault="007D54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1BB"/>
    <w:multiLevelType w:val="hybridMultilevel"/>
    <w:tmpl w:val="879E24B6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aps w:val="0"/>
        <w:strike w:val="0"/>
        <w:dstrike w:val="0"/>
        <w:vanish w:val="0"/>
        <w:color w:val="000000"/>
        <w:sz w:val="16"/>
        <w:u w:color="FFFFFF" w:themeColor="background1"/>
        <w:vertAlign w:val="subscrip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3B5696C"/>
    <w:multiLevelType w:val="hybridMultilevel"/>
    <w:tmpl w:val="9BDE3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2541585D"/>
    <w:multiLevelType w:val="hybridMultilevel"/>
    <w:tmpl w:val="71D2E790"/>
    <w:lvl w:ilvl="0" w:tplc="2E062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2C09B1"/>
    <w:multiLevelType w:val="hybridMultilevel"/>
    <w:tmpl w:val="DB8C39C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C633948"/>
    <w:multiLevelType w:val="hybridMultilevel"/>
    <w:tmpl w:val="6C00B5E0"/>
    <w:lvl w:ilvl="0" w:tplc="040C000F">
      <w:start w:val="1"/>
      <w:numFmt w:val="decimal"/>
      <w:lvlText w:val="%1."/>
      <w:lvlJc w:val="left"/>
      <w:pPr>
        <w:ind w:left="770" w:hanging="360"/>
      </w:pPr>
    </w:lvl>
    <w:lvl w:ilvl="1" w:tplc="040C0019" w:tentative="1">
      <w:start w:val="1"/>
      <w:numFmt w:val="lowerLetter"/>
      <w:lvlText w:val="%2."/>
      <w:lvlJc w:val="left"/>
      <w:pPr>
        <w:ind w:left="1490" w:hanging="360"/>
      </w:pPr>
    </w:lvl>
    <w:lvl w:ilvl="2" w:tplc="040C001B" w:tentative="1">
      <w:start w:val="1"/>
      <w:numFmt w:val="lowerRoman"/>
      <w:lvlText w:val="%3."/>
      <w:lvlJc w:val="right"/>
      <w:pPr>
        <w:ind w:left="2210" w:hanging="180"/>
      </w:pPr>
    </w:lvl>
    <w:lvl w:ilvl="3" w:tplc="040C000F" w:tentative="1">
      <w:start w:val="1"/>
      <w:numFmt w:val="decimal"/>
      <w:lvlText w:val="%4."/>
      <w:lvlJc w:val="left"/>
      <w:pPr>
        <w:ind w:left="2930" w:hanging="360"/>
      </w:pPr>
    </w:lvl>
    <w:lvl w:ilvl="4" w:tplc="040C0019" w:tentative="1">
      <w:start w:val="1"/>
      <w:numFmt w:val="lowerLetter"/>
      <w:lvlText w:val="%5."/>
      <w:lvlJc w:val="left"/>
      <w:pPr>
        <w:ind w:left="3650" w:hanging="360"/>
      </w:pPr>
    </w:lvl>
    <w:lvl w:ilvl="5" w:tplc="040C001B" w:tentative="1">
      <w:start w:val="1"/>
      <w:numFmt w:val="lowerRoman"/>
      <w:lvlText w:val="%6."/>
      <w:lvlJc w:val="right"/>
      <w:pPr>
        <w:ind w:left="4370" w:hanging="180"/>
      </w:pPr>
    </w:lvl>
    <w:lvl w:ilvl="6" w:tplc="040C000F" w:tentative="1">
      <w:start w:val="1"/>
      <w:numFmt w:val="decimal"/>
      <w:lvlText w:val="%7."/>
      <w:lvlJc w:val="left"/>
      <w:pPr>
        <w:ind w:left="5090" w:hanging="360"/>
      </w:pPr>
    </w:lvl>
    <w:lvl w:ilvl="7" w:tplc="040C0019" w:tentative="1">
      <w:start w:val="1"/>
      <w:numFmt w:val="lowerLetter"/>
      <w:lvlText w:val="%8."/>
      <w:lvlJc w:val="left"/>
      <w:pPr>
        <w:ind w:left="5810" w:hanging="360"/>
      </w:pPr>
    </w:lvl>
    <w:lvl w:ilvl="8" w:tplc="04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>
    <w:nsid w:val="5FE947CE"/>
    <w:multiLevelType w:val="hybridMultilevel"/>
    <w:tmpl w:val="D2B64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11"/>
  </w:num>
  <w:num w:numId="8">
    <w:abstractNumId w:val="2"/>
  </w:num>
  <w:num w:numId="9">
    <w:abstractNumId w:val="8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0713"/>
    <w:rsid w:val="0000151A"/>
    <w:rsid w:val="00001CF5"/>
    <w:rsid w:val="000033CB"/>
    <w:rsid w:val="00006022"/>
    <w:rsid w:val="0000603E"/>
    <w:rsid w:val="000078F6"/>
    <w:rsid w:val="0001049C"/>
    <w:rsid w:val="00012426"/>
    <w:rsid w:val="00015006"/>
    <w:rsid w:val="000150BA"/>
    <w:rsid w:val="00015120"/>
    <w:rsid w:val="00015D0D"/>
    <w:rsid w:val="00021028"/>
    <w:rsid w:val="0002152E"/>
    <w:rsid w:val="0002235C"/>
    <w:rsid w:val="000233A9"/>
    <w:rsid w:val="0002344F"/>
    <w:rsid w:val="000237F4"/>
    <w:rsid w:val="0002461D"/>
    <w:rsid w:val="00024631"/>
    <w:rsid w:val="0002552C"/>
    <w:rsid w:val="00025D1D"/>
    <w:rsid w:val="00027525"/>
    <w:rsid w:val="00030232"/>
    <w:rsid w:val="000328C8"/>
    <w:rsid w:val="00033416"/>
    <w:rsid w:val="00033A67"/>
    <w:rsid w:val="00036454"/>
    <w:rsid w:val="0003735F"/>
    <w:rsid w:val="000408E4"/>
    <w:rsid w:val="00040C50"/>
    <w:rsid w:val="00040D25"/>
    <w:rsid w:val="00040E88"/>
    <w:rsid w:val="000414B4"/>
    <w:rsid w:val="00042016"/>
    <w:rsid w:val="000432FA"/>
    <w:rsid w:val="00043614"/>
    <w:rsid w:val="0004407D"/>
    <w:rsid w:val="000475B1"/>
    <w:rsid w:val="00050257"/>
    <w:rsid w:val="00050C50"/>
    <w:rsid w:val="00050DC9"/>
    <w:rsid w:val="000529E7"/>
    <w:rsid w:val="0005315C"/>
    <w:rsid w:val="00053B75"/>
    <w:rsid w:val="00055BF3"/>
    <w:rsid w:val="00057B22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87F33"/>
    <w:rsid w:val="00091461"/>
    <w:rsid w:val="00091707"/>
    <w:rsid w:val="00091CB3"/>
    <w:rsid w:val="00096524"/>
    <w:rsid w:val="00096AD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68C"/>
    <w:rsid w:val="000A7B18"/>
    <w:rsid w:val="000A7BD1"/>
    <w:rsid w:val="000B0C21"/>
    <w:rsid w:val="000B1011"/>
    <w:rsid w:val="000B3209"/>
    <w:rsid w:val="000B3261"/>
    <w:rsid w:val="000B447B"/>
    <w:rsid w:val="000B46D6"/>
    <w:rsid w:val="000B5817"/>
    <w:rsid w:val="000B5D1B"/>
    <w:rsid w:val="000B78BF"/>
    <w:rsid w:val="000C1DED"/>
    <w:rsid w:val="000C277C"/>
    <w:rsid w:val="000C3658"/>
    <w:rsid w:val="000C3B77"/>
    <w:rsid w:val="000C3F12"/>
    <w:rsid w:val="000C4405"/>
    <w:rsid w:val="000C5ADE"/>
    <w:rsid w:val="000C670C"/>
    <w:rsid w:val="000D0994"/>
    <w:rsid w:val="000D1569"/>
    <w:rsid w:val="000D1DB8"/>
    <w:rsid w:val="000D399E"/>
    <w:rsid w:val="000D44FE"/>
    <w:rsid w:val="000D5184"/>
    <w:rsid w:val="000D561C"/>
    <w:rsid w:val="000D5ADD"/>
    <w:rsid w:val="000D6A5C"/>
    <w:rsid w:val="000D73BB"/>
    <w:rsid w:val="000D7A68"/>
    <w:rsid w:val="000E00E9"/>
    <w:rsid w:val="000E0244"/>
    <w:rsid w:val="000E2AC0"/>
    <w:rsid w:val="000E30C7"/>
    <w:rsid w:val="000E48EA"/>
    <w:rsid w:val="000E4AA1"/>
    <w:rsid w:val="000E5580"/>
    <w:rsid w:val="000E6C54"/>
    <w:rsid w:val="000E7F66"/>
    <w:rsid w:val="000F3BD1"/>
    <w:rsid w:val="000F3D65"/>
    <w:rsid w:val="000F40F7"/>
    <w:rsid w:val="000F5608"/>
    <w:rsid w:val="000F709C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4B66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2E8C"/>
    <w:rsid w:val="00124902"/>
    <w:rsid w:val="001254C7"/>
    <w:rsid w:val="00125ADF"/>
    <w:rsid w:val="001266EE"/>
    <w:rsid w:val="00126F70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3B43"/>
    <w:rsid w:val="0014475F"/>
    <w:rsid w:val="00144F2E"/>
    <w:rsid w:val="00145108"/>
    <w:rsid w:val="0014534D"/>
    <w:rsid w:val="00146411"/>
    <w:rsid w:val="001464CA"/>
    <w:rsid w:val="001466BF"/>
    <w:rsid w:val="00147CCA"/>
    <w:rsid w:val="00150B47"/>
    <w:rsid w:val="0015278B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5B27"/>
    <w:rsid w:val="00156870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677B"/>
    <w:rsid w:val="00177A85"/>
    <w:rsid w:val="0018032D"/>
    <w:rsid w:val="0018051B"/>
    <w:rsid w:val="0018188F"/>
    <w:rsid w:val="001841D4"/>
    <w:rsid w:val="001856B7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4106"/>
    <w:rsid w:val="001A58E9"/>
    <w:rsid w:val="001A59A5"/>
    <w:rsid w:val="001A6119"/>
    <w:rsid w:val="001A6F47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7CCF"/>
    <w:rsid w:val="001C08FE"/>
    <w:rsid w:val="001C14EF"/>
    <w:rsid w:val="001C23EA"/>
    <w:rsid w:val="001C3562"/>
    <w:rsid w:val="001C3863"/>
    <w:rsid w:val="001C4C6A"/>
    <w:rsid w:val="001C52E9"/>
    <w:rsid w:val="001C5963"/>
    <w:rsid w:val="001C59CA"/>
    <w:rsid w:val="001C5CF8"/>
    <w:rsid w:val="001C6208"/>
    <w:rsid w:val="001C6B13"/>
    <w:rsid w:val="001C7B9C"/>
    <w:rsid w:val="001D1FDE"/>
    <w:rsid w:val="001D2805"/>
    <w:rsid w:val="001D32F3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6A46"/>
    <w:rsid w:val="001E7F9C"/>
    <w:rsid w:val="001F039B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0DCD"/>
    <w:rsid w:val="00211459"/>
    <w:rsid w:val="00211492"/>
    <w:rsid w:val="002121C1"/>
    <w:rsid w:val="00213257"/>
    <w:rsid w:val="00214EC2"/>
    <w:rsid w:val="00216254"/>
    <w:rsid w:val="00216785"/>
    <w:rsid w:val="002173D3"/>
    <w:rsid w:val="00217633"/>
    <w:rsid w:val="002208FB"/>
    <w:rsid w:val="00220D78"/>
    <w:rsid w:val="00220D9D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755"/>
    <w:rsid w:val="002438EC"/>
    <w:rsid w:val="00243F39"/>
    <w:rsid w:val="00245A95"/>
    <w:rsid w:val="00245DE1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6AF5"/>
    <w:rsid w:val="002572FE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58B1"/>
    <w:rsid w:val="002758F5"/>
    <w:rsid w:val="002760CA"/>
    <w:rsid w:val="0027655D"/>
    <w:rsid w:val="00276D8A"/>
    <w:rsid w:val="00277195"/>
    <w:rsid w:val="0027763B"/>
    <w:rsid w:val="00277833"/>
    <w:rsid w:val="00277B36"/>
    <w:rsid w:val="00277C9F"/>
    <w:rsid w:val="00280832"/>
    <w:rsid w:val="00280A9A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CE1"/>
    <w:rsid w:val="00291D7B"/>
    <w:rsid w:val="0029348A"/>
    <w:rsid w:val="00293E7E"/>
    <w:rsid w:val="00296E56"/>
    <w:rsid w:val="00296FE1"/>
    <w:rsid w:val="002A09EE"/>
    <w:rsid w:val="002A0C4E"/>
    <w:rsid w:val="002A12D5"/>
    <w:rsid w:val="002A32F2"/>
    <w:rsid w:val="002A4776"/>
    <w:rsid w:val="002A5ABD"/>
    <w:rsid w:val="002A63A5"/>
    <w:rsid w:val="002A6F17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24E9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3E34"/>
    <w:rsid w:val="002E428E"/>
    <w:rsid w:val="002E455E"/>
    <w:rsid w:val="002E4C97"/>
    <w:rsid w:val="002E52B7"/>
    <w:rsid w:val="002E578F"/>
    <w:rsid w:val="002E5F5F"/>
    <w:rsid w:val="002E79CE"/>
    <w:rsid w:val="002F02EB"/>
    <w:rsid w:val="002F03A2"/>
    <w:rsid w:val="002F0BBE"/>
    <w:rsid w:val="002F0D5D"/>
    <w:rsid w:val="002F3BF7"/>
    <w:rsid w:val="002F3E0F"/>
    <w:rsid w:val="002F41AE"/>
    <w:rsid w:val="002F4FB6"/>
    <w:rsid w:val="002F5540"/>
    <w:rsid w:val="002F5F2D"/>
    <w:rsid w:val="002F64A1"/>
    <w:rsid w:val="003016D3"/>
    <w:rsid w:val="00303241"/>
    <w:rsid w:val="0030465D"/>
    <w:rsid w:val="00304977"/>
    <w:rsid w:val="0030498E"/>
    <w:rsid w:val="00305073"/>
    <w:rsid w:val="003056AF"/>
    <w:rsid w:val="003062B9"/>
    <w:rsid w:val="003070EB"/>
    <w:rsid w:val="00307332"/>
    <w:rsid w:val="003107F8"/>
    <w:rsid w:val="00311EF9"/>
    <w:rsid w:val="00314214"/>
    <w:rsid w:val="0031481F"/>
    <w:rsid w:val="00317BA3"/>
    <w:rsid w:val="00320D8B"/>
    <w:rsid w:val="003217A4"/>
    <w:rsid w:val="003223B1"/>
    <w:rsid w:val="00322ADA"/>
    <w:rsid w:val="00322E22"/>
    <w:rsid w:val="003238C3"/>
    <w:rsid w:val="00324021"/>
    <w:rsid w:val="003245F1"/>
    <w:rsid w:val="00324AF3"/>
    <w:rsid w:val="00325C58"/>
    <w:rsid w:val="003277E4"/>
    <w:rsid w:val="00330C65"/>
    <w:rsid w:val="00330D83"/>
    <w:rsid w:val="00331F3B"/>
    <w:rsid w:val="00331FCB"/>
    <w:rsid w:val="003338AA"/>
    <w:rsid w:val="00334DFD"/>
    <w:rsid w:val="003356A0"/>
    <w:rsid w:val="00335C84"/>
    <w:rsid w:val="00336F41"/>
    <w:rsid w:val="003409D4"/>
    <w:rsid w:val="00340A86"/>
    <w:rsid w:val="00340B2F"/>
    <w:rsid w:val="003439E5"/>
    <w:rsid w:val="00343C5E"/>
    <w:rsid w:val="0034502C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0E78"/>
    <w:rsid w:val="00362521"/>
    <w:rsid w:val="00362F0F"/>
    <w:rsid w:val="00363AF9"/>
    <w:rsid w:val="0036599B"/>
    <w:rsid w:val="00366545"/>
    <w:rsid w:val="00366EF3"/>
    <w:rsid w:val="003713FC"/>
    <w:rsid w:val="00372759"/>
    <w:rsid w:val="003736EB"/>
    <w:rsid w:val="003739BE"/>
    <w:rsid w:val="00373E1A"/>
    <w:rsid w:val="003742E9"/>
    <w:rsid w:val="0037467D"/>
    <w:rsid w:val="00374B7E"/>
    <w:rsid w:val="00376D65"/>
    <w:rsid w:val="00377981"/>
    <w:rsid w:val="00380840"/>
    <w:rsid w:val="003808E5"/>
    <w:rsid w:val="0038218E"/>
    <w:rsid w:val="003838F2"/>
    <w:rsid w:val="00384F78"/>
    <w:rsid w:val="00385B4C"/>
    <w:rsid w:val="00386755"/>
    <w:rsid w:val="00387B32"/>
    <w:rsid w:val="00391DFA"/>
    <w:rsid w:val="00392C3D"/>
    <w:rsid w:val="003931A9"/>
    <w:rsid w:val="003932E8"/>
    <w:rsid w:val="003942E0"/>
    <w:rsid w:val="00395BC5"/>
    <w:rsid w:val="00395BFF"/>
    <w:rsid w:val="003967F8"/>
    <w:rsid w:val="00397675"/>
    <w:rsid w:val="00397AA7"/>
    <w:rsid w:val="003A08A8"/>
    <w:rsid w:val="003A1E13"/>
    <w:rsid w:val="003A439C"/>
    <w:rsid w:val="003A441C"/>
    <w:rsid w:val="003A5994"/>
    <w:rsid w:val="003A6678"/>
    <w:rsid w:val="003A75DA"/>
    <w:rsid w:val="003B03C2"/>
    <w:rsid w:val="003B19FE"/>
    <w:rsid w:val="003B216E"/>
    <w:rsid w:val="003B218D"/>
    <w:rsid w:val="003B4687"/>
    <w:rsid w:val="003B4871"/>
    <w:rsid w:val="003B491F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114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3FC6"/>
    <w:rsid w:val="003E5316"/>
    <w:rsid w:val="003E6506"/>
    <w:rsid w:val="003F06C9"/>
    <w:rsid w:val="003F0920"/>
    <w:rsid w:val="003F1AA9"/>
    <w:rsid w:val="003F2033"/>
    <w:rsid w:val="003F207A"/>
    <w:rsid w:val="003F2199"/>
    <w:rsid w:val="003F3BA7"/>
    <w:rsid w:val="003F3D51"/>
    <w:rsid w:val="003F42D8"/>
    <w:rsid w:val="003F4D26"/>
    <w:rsid w:val="003F5B96"/>
    <w:rsid w:val="00400919"/>
    <w:rsid w:val="00400CCB"/>
    <w:rsid w:val="00400FF7"/>
    <w:rsid w:val="0040191D"/>
    <w:rsid w:val="00402E35"/>
    <w:rsid w:val="0040305D"/>
    <w:rsid w:val="00405AEF"/>
    <w:rsid w:val="0041009B"/>
    <w:rsid w:val="00411FCC"/>
    <w:rsid w:val="004126DC"/>
    <w:rsid w:val="00412B59"/>
    <w:rsid w:val="00412E0B"/>
    <w:rsid w:val="00413B1A"/>
    <w:rsid w:val="00414981"/>
    <w:rsid w:val="00414A63"/>
    <w:rsid w:val="00414B74"/>
    <w:rsid w:val="0041514D"/>
    <w:rsid w:val="00415600"/>
    <w:rsid w:val="004161D8"/>
    <w:rsid w:val="004163B5"/>
    <w:rsid w:val="0041699B"/>
    <w:rsid w:val="00420260"/>
    <w:rsid w:val="00420B5F"/>
    <w:rsid w:val="00420D83"/>
    <w:rsid w:val="00422D06"/>
    <w:rsid w:val="004232C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4D2B"/>
    <w:rsid w:val="00435CC9"/>
    <w:rsid w:val="00436DD3"/>
    <w:rsid w:val="00437C22"/>
    <w:rsid w:val="00440406"/>
    <w:rsid w:val="004408F4"/>
    <w:rsid w:val="00442C69"/>
    <w:rsid w:val="00443B6F"/>
    <w:rsid w:val="00445213"/>
    <w:rsid w:val="004453A7"/>
    <w:rsid w:val="0044549B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2D39"/>
    <w:rsid w:val="00463D89"/>
    <w:rsid w:val="00464B9C"/>
    <w:rsid w:val="00465B4F"/>
    <w:rsid w:val="004677F7"/>
    <w:rsid w:val="004712CA"/>
    <w:rsid w:val="0047417D"/>
    <w:rsid w:val="00475380"/>
    <w:rsid w:val="00475607"/>
    <w:rsid w:val="004776E8"/>
    <w:rsid w:val="00477F52"/>
    <w:rsid w:val="004800D2"/>
    <w:rsid w:val="004802F0"/>
    <w:rsid w:val="00480705"/>
    <w:rsid w:val="00483A59"/>
    <w:rsid w:val="004928DE"/>
    <w:rsid w:val="00493B0F"/>
    <w:rsid w:val="00494B54"/>
    <w:rsid w:val="0049649B"/>
    <w:rsid w:val="0049740D"/>
    <w:rsid w:val="004A0238"/>
    <w:rsid w:val="004A0E84"/>
    <w:rsid w:val="004A1668"/>
    <w:rsid w:val="004A1D8C"/>
    <w:rsid w:val="004A20C3"/>
    <w:rsid w:val="004A2EFE"/>
    <w:rsid w:val="004A3470"/>
    <w:rsid w:val="004A3AEA"/>
    <w:rsid w:val="004A4C19"/>
    <w:rsid w:val="004A6EAD"/>
    <w:rsid w:val="004A7F06"/>
    <w:rsid w:val="004B0985"/>
    <w:rsid w:val="004B48CB"/>
    <w:rsid w:val="004B57A2"/>
    <w:rsid w:val="004B5BA7"/>
    <w:rsid w:val="004B6308"/>
    <w:rsid w:val="004B6B1D"/>
    <w:rsid w:val="004C1555"/>
    <w:rsid w:val="004C1E08"/>
    <w:rsid w:val="004C28E1"/>
    <w:rsid w:val="004C3F13"/>
    <w:rsid w:val="004C4EA0"/>
    <w:rsid w:val="004C5F7D"/>
    <w:rsid w:val="004C709C"/>
    <w:rsid w:val="004C777A"/>
    <w:rsid w:val="004D1A7E"/>
    <w:rsid w:val="004D32C7"/>
    <w:rsid w:val="004D705E"/>
    <w:rsid w:val="004E0C2C"/>
    <w:rsid w:val="004E11A5"/>
    <w:rsid w:val="004E159E"/>
    <w:rsid w:val="004E16FE"/>
    <w:rsid w:val="004E1CC5"/>
    <w:rsid w:val="004E225F"/>
    <w:rsid w:val="004E5899"/>
    <w:rsid w:val="004E6A90"/>
    <w:rsid w:val="004E7265"/>
    <w:rsid w:val="004E79F1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5542"/>
    <w:rsid w:val="0051609B"/>
    <w:rsid w:val="00516682"/>
    <w:rsid w:val="00516EDD"/>
    <w:rsid w:val="00517742"/>
    <w:rsid w:val="005216F1"/>
    <w:rsid w:val="005234DC"/>
    <w:rsid w:val="0052429C"/>
    <w:rsid w:val="0052456E"/>
    <w:rsid w:val="0052656B"/>
    <w:rsid w:val="00526AC3"/>
    <w:rsid w:val="00526C0C"/>
    <w:rsid w:val="00532CC5"/>
    <w:rsid w:val="005335DA"/>
    <w:rsid w:val="00533747"/>
    <w:rsid w:val="00533824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449EA"/>
    <w:rsid w:val="0054631B"/>
    <w:rsid w:val="0055009A"/>
    <w:rsid w:val="00550634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643B5"/>
    <w:rsid w:val="00564D40"/>
    <w:rsid w:val="00565B42"/>
    <w:rsid w:val="00570E49"/>
    <w:rsid w:val="00572C96"/>
    <w:rsid w:val="00572FB7"/>
    <w:rsid w:val="00573505"/>
    <w:rsid w:val="00573E64"/>
    <w:rsid w:val="00574DC6"/>
    <w:rsid w:val="00575573"/>
    <w:rsid w:val="005762A6"/>
    <w:rsid w:val="0057685C"/>
    <w:rsid w:val="005811B6"/>
    <w:rsid w:val="00582975"/>
    <w:rsid w:val="00582A76"/>
    <w:rsid w:val="00583468"/>
    <w:rsid w:val="005835F2"/>
    <w:rsid w:val="00583D75"/>
    <w:rsid w:val="00584E68"/>
    <w:rsid w:val="005865FE"/>
    <w:rsid w:val="0059124E"/>
    <w:rsid w:val="00591ED7"/>
    <w:rsid w:val="00593BE4"/>
    <w:rsid w:val="00594F87"/>
    <w:rsid w:val="00595211"/>
    <w:rsid w:val="00595642"/>
    <w:rsid w:val="00596596"/>
    <w:rsid w:val="00596F87"/>
    <w:rsid w:val="00597A4B"/>
    <w:rsid w:val="00597A50"/>
    <w:rsid w:val="005A0094"/>
    <w:rsid w:val="005A0F81"/>
    <w:rsid w:val="005A1233"/>
    <w:rsid w:val="005A131A"/>
    <w:rsid w:val="005A14D3"/>
    <w:rsid w:val="005A245D"/>
    <w:rsid w:val="005A261F"/>
    <w:rsid w:val="005A3980"/>
    <w:rsid w:val="005A4234"/>
    <w:rsid w:val="005A6A8B"/>
    <w:rsid w:val="005A6ECC"/>
    <w:rsid w:val="005B08AE"/>
    <w:rsid w:val="005B17C7"/>
    <w:rsid w:val="005B1A45"/>
    <w:rsid w:val="005B1C8A"/>
    <w:rsid w:val="005B2FB4"/>
    <w:rsid w:val="005B4B19"/>
    <w:rsid w:val="005B6151"/>
    <w:rsid w:val="005C1168"/>
    <w:rsid w:val="005C3705"/>
    <w:rsid w:val="005C3D4B"/>
    <w:rsid w:val="005C4084"/>
    <w:rsid w:val="005C45A0"/>
    <w:rsid w:val="005C4EF1"/>
    <w:rsid w:val="005D04DD"/>
    <w:rsid w:val="005D1388"/>
    <w:rsid w:val="005D19D0"/>
    <w:rsid w:val="005D1C08"/>
    <w:rsid w:val="005D1F8C"/>
    <w:rsid w:val="005D2067"/>
    <w:rsid w:val="005D2EED"/>
    <w:rsid w:val="005D2EFA"/>
    <w:rsid w:val="005D303A"/>
    <w:rsid w:val="005D42F7"/>
    <w:rsid w:val="005D456D"/>
    <w:rsid w:val="005D55B4"/>
    <w:rsid w:val="005D71C8"/>
    <w:rsid w:val="005E1F30"/>
    <w:rsid w:val="005E50D9"/>
    <w:rsid w:val="005E724F"/>
    <w:rsid w:val="005F17A3"/>
    <w:rsid w:val="005F22E1"/>
    <w:rsid w:val="005F432D"/>
    <w:rsid w:val="00601D96"/>
    <w:rsid w:val="00603A9C"/>
    <w:rsid w:val="00606189"/>
    <w:rsid w:val="00606C9A"/>
    <w:rsid w:val="00610E5C"/>
    <w:rsid w:val="0061304B"/>
    <w:rsid w:val="00613F59"/>
    <w:rsid w:val="00614507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9BD"/>
    <w:rsid w:val="00634E3B"/>
    <w:rsid w:val="00635A9F"/>
    <w:rsid w:val="00635FF0"/>
    <w:rsid w:val="006375ED"/>
    <w:rsid w:val="0063768C"/>
    <w:rsid w:val="00637754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3C8A"/>
    <w:rsid w:val="00654764"/>
    <w:rsid w:val="00655AEA"/>
    <w:rsid w:val="006560C3"/>
    <w:rsid w:val="006577E7"/>
    <w:rsid w:val="006629E1"/>
    <w:rsid w:val="00663789"/>
    <w:rsid w:val="00664AE5"/>
    <w:rsid w:val="00665975"/>
    <w:rsid w:val="00667351"/>
    <w:rsid w:val="00667AB0"/>
    <w:rsid w:val="00667C69"/>
    <w:rsid w:val="00667F68"/>
    <w:rsid w:val="00671656"/>
    <w:rsid w:val="00671883"/>
    <w:rsid w:val="00671A53"/>
    <w:rsid w:val="006749AF"/>
    <w:rsid w:val="00676577"/>
    <w:rsid w:val="006772D5"/>
    <w:rsid w:val="006777C3"/>
    <w:rsid w:val="00677C7D"/>
    <w:rsid w:val="00677D90"/>
    <w:rsid w:val="00682F33"/>
    <w:rsid w:val="0068355B"/>
    <w:rsid w:val="00684ABB"/>
    <w:rsid w:val="00684CC9"/>
    <w:rsid w:val="00686352"/>
    <w:rsid w:val="00686B1D"/>
    <w:rsid w:val="00691210"/>
    <w:rsid w:val="00691428"/>
    <w:rsid w:val="00691853"/>
    <w:rsid w:val="00692923"/>
    <w:rsid w:val="00693BAA"/>
    <w:rsid w:val="00694146"/>
    <w:rsid w:val="006949D0"/>
    <w:rsid w:val="006959DF"/>
    <w:rsid w:val="00697BD4"/>
    <w:rsid w:val="00697C36"/>
    <w:rsid w:val="006A1E15"/>
    <w:rsid w:val="006A22A5"/>
    <w:rsid w:val="006A24B1"/>
    <w:rsid w:val="006A26ED"/>
    <w:rsid w:val="006A2D56"/>
    <w:rsid w:val="006A3EEE"/>
    <w:rsid w:val="006A3F1E"/>
    <w:rsid w:val="006A4C71"/>
    <w:rsid w:val="006A6075"/>
    <w:rsid w:val="006A658E"/>
    <w:rsid w:val="006A6AF8"/>
    <w:rsid w:val="006A6E01"/>
    <w:rsid w:val="006B0183"/>
    <w:rsid w:val="006B0445"/>
    <w:rsid w:val="006B121A"/>
    <w:rsid w:val="006B2723"/>
    <w:rsid w:val="006B28B0"/>
    <w:rsid w:val="006B33F5"/>
    <w:rsid w:val="006B4790"/>
    <w:rsid w:val="006B5842"/>
    <w:rsid w:val="006B7310"/>
    <w:rsid w:val="006B77E6"/>
    <w:rsid w:val="006B7C69"/>
    <w:rsid w:val="006B7DB4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43AA"/>
    <w:rsid w:val="006E5699"/>
    <w:rsid w:val="006E5AC1"/>
    <w:rsid w:val="006E5C48"/>
    <w:rsid w:val="006E79BD"/>
    <w:rsid w:val="006F0CD6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134"/>
    <w:rsid w:val="007128D0"/>
    <w:rsid w:val="00712C7F"/>
    <w:rsid w:val="007152F0"/>
    <w:rsid w:val="00715E49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2756F"/>
    <w:rsid w:val="00733646"/>
    <w:rsid w:val="00734DD4"/>
    <w:rsid w:val="007400F5"/>
    <w:rsid w:val="0074320E"/>
    <w:rsid w:val="00744073"/>
    <w:rsid w:val="00744176"/>
    <w:rsid w:val="00746020"/>
    <w:rsid w:val="007460F9"/>
    <w:rsid w:val="0074620A"/>
    <w:rsid w:val="00746B80"/>
    <w:rsid w:val="00746D8B"/>
    <w:rsid w:val="007475F6"/>
    <w:rsid w:val="007504CD"/>
    <w:rsid w:val="00750530"/>
    <w:rsid w:val="00753246"/>
    <w:rsid w:val="0075530D"/>
    <w:rsid w:val="00755ACE"/>
    <w:rsid w:val="00756F44"/>
    <w:rsid w:val="00757FF5"/>
    <w:rsid w:val="00760E9C"/>
    <w:rsid w:val="007610F4"/>
    <w:rsid w:val="0076233C"/>
    <w:rsid w:val="00765B1F"/>
    <w:rsid w:val="007661A8"/>
    <w:rsid w:val="00766D21"/>
    <w:rsid w:val="00766F2D"/>
    <w:rsid w:val="0077079B"/>
    <w:rsid w:val="007716C5"/>
    <w:rsid w:val="007716F6"/>
    <w:rsid w:val="007722CD"/>
    <w:rsid w:val="00772BF1"/>
    <w:rsid w:val="00773870"/>
    <w:rsid w:val="007758FC"/>
    <w:rsid w:val="00775C27"/>
    <w:rsid w:val="007767DE"/>
    <w:rsid w:val="00777D49"/>
    <w:rsid w:val="00780DD9"/>
    <w:rsid w:val="007814E8"/>
    <w:rsid w:val="00781A9E"/>
    <w:rsid w:val="00781D30"/>
    <w:rsid w:val="00782959"/>
    <w:rsid w:val="0078360B"/>
    <w:rsid w:val="007847D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0EB7"/>
    <w:rsid w:val="007A1779"/>
    <w:rsid w:val="007A33E6"/>
    <w:rsid w:val="007A3C59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2AC6"/>
    <w:rsid w:val="007C32D5"/>
    <w:rsid w:val="007C3562"/>
    <w:rsid w:val="007C3891"/>
    <w:rsid w:val="007C39C1"/>
    <w:rsid w:val="007C67E3"/>
    <w:rsid w:val="007C69A5"/>
    <w:rsid w:val="007D038E"/>
    <w:rsid w:val="007D051E"/>
    <w:rsid w:val="007D0CDC"/>
    <w:rsid w:val="007D0F7C"/>
    <w:rsid w:val="007D1F3F"/>
    <w:rsid w:val="007D28E5"/>
    <w:rsid w:val="007D3245"/>
    <w:rsid w:val="007D3A72"/>
    <w:rsid w:val="007D4E0D"/>
    <w:rsid w:val="007D5404"/>
    <w:rsid w:val="007D54E0"/>
    <w:rsid w:val="007D5640"/>
    <w:rsid w:val="007D5849"/>
    <w:rsid w:val="007D5A52"/>
    <w:rsid w:val="007D5F7A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6783"/>
    <w:rsid w:val="007E74D5"/>
    <w:rsid w:val="007E79A3"/>
    <w:rsid w:val="007F06A7"/>
    <w:rsid w:val="007F1835"/>
    <w:rsid w:val="007F201A"/>
    <w:rsid w:val="007F208B"/>
    <w:rsid w:val="007F3048"/>
    <w:rsid w:val="007F6773"/>
    <w:rsid w:val="007F6D9E"/>
    <w:rsid w:val="008004A0"/>
    <w:rsid w:val="00801640"/>
    <w:rsid w:val="00802F6B"/>
    <w:rsid w:val="00803D4B"/>
    <w:rsid w:val="00804A16"/>
    <w:rsid w:val="00804D23"/>
    <w:rsid w:val="00805247"/>
    <w:rsid w:val="00806638"/>
    <w:rsid w:val="008076DF"/>
    <w:rsid w:val="008108A7"/>
    <w:rsid w:val="00810D3C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2A9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4C2F"/>
    <w:rsid w:val="00836D58"/>
    <w:rsid w:val="00837913"/>
    <w:rsid w:val="00840365"/>
    <w:rsid w:val="008427C0"/>
    <w:rsid w:val="00842C5E"/>
    <w:rsid w:val="00842D35"/>
    <w:rsid w:val="00844710"/>
    <w:rsid w:val="00846B92"/>
    <w:rsid w:val="008473FE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2E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EDF"/>
    <w:rsid w:val="00892F46"/>
    <w:rsid w:val="00892FF0"/>
    <w:rsid w:val="0089324D"/>
    <w:rsid w:val="00894149"/>
    <w:rsid w:val="00894553"/>
    <w:rsid w:val="0089552F"/>
    <w:rsid w:val="0089553A"/>
    <w:rsid w:val="008960EF"/>
    <w:rsid w:val="00896F93"/>
    <w:rsid w:val="00897391"/>
    <w:rsid w:val="00897587"/>
    <w:rsid w:val="008A04F9"/>
    <w:rsid w:val="008A08E5"/>
    <w:rsid w:val="008A1949"/>
    <w:rsid w:val="008A3A40"/>
    <w:rsid w:val="008A3D8F"/>
    <w:rsid w:val="008A456B"/>
    <w:rsid w:val="008A56A6"/>
    <w:rsid w:val="008A5829"/>
    <w:rsid w:val="008A60D2"/>
    <w:rsid w:val="008A6632"/>
    <w:rsid w:val="008A6D89"/>
    <w:rsid w:val="008B06A5"/>
    <w:rsid w:val="008B0B37"/>
    <w:rsid w:val="008B1D65"/>
    <w:rsid w:val="008B2557"/>
    <w:rsid w:val="008B3683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2485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E7FEC"/>
    <w:rsid w:val="008F004A"/>
    <w:rsid w:val="008F00B6"/>
    <w:rsid w:val="008F09A6"/>
    <w:rsid w:val="008F0AE1"/>
    <w:rsid w:val="008F0F47"/>
    <w:rsid w:val="008F145D"/>
    <w:rsid w:val="008F1FAC"/>
    <w:rsid w:val="008F2079"/>
    <w:rsid w:val="008F2EBC"/>
    <w:rsid w:val="008F4866"/>
    <w:rsid w:val="008F527C"/>
    <w:rsid w:val="008F7D67"/>
    <w:rsid w:val="008F7F53"/>
    <w:rsid w:val="0090078E"/>
    <w:rsid w:val="00900AA4"/>
    <w:rsid w:val="00900E3C"/>
    <w:rsid w:val="009021E0"/>
    <w:rsid w:val="009053C1"/>
    <w:rsid w:val="0090574E"/>
    <w:rsid w:val="00905838"/>
    <w:rsid w:val="00906931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17683"/>
    <w:rsid w:val="00920137"/>
    <w:rsid w:val="0092163C"/>
    <w:rsid w:val="009233FB"/>
    <w:rsid w:val="00923F6C"/>
    <w:rsid w:val="0092409A"/>
    <w:rsid w:val="009259DF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BC0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2DD"/>
    <w:rsid w:val="009509FD"/>
    <w:rsid w:val="00950FBE"/>
    <w:rsid w:val="00951523"/>
    <w:rsid w:val="0095293E"/>
    <w:rsid w:val="00952A17"/>
    <w:rsid w:val="00952A96"/>
    <w:rsid w:val="009535BB"/>
    <w:rsid w:val="0095371C"/>
    <w:rsid w:val="00953C35"/>
    <w:rsid w:val="00956A92"/>
    <w:rsid w:val="00957321"/>
    <w:rsid w:val="00960079"/>
    <w:rsid w:val="00960B59"/>
    <w:rsid w:val="00961A99"/>
    <w:rsid w:val="00962DE7"/>
    <w:rsid w:val="00965BD5"/>
    <w:rsid w:val="00966013"/>
    <w:rsid w:val="009666A6"/>
    <w:rsid w:val="009677D0"/>
    <w:rsid w:val="00970173"/>
    <w:rsid w:val="00970EEE"/>
    <w:rsid w:val="009737FF"/>
    <w:rsid w:val="00973D09"/>
    <w:rsid w:val="009747F7"/>
    <w:rsid w:val="00974F96"/>
    <w:rsid w:val="00975330"/>
    <w:rsid w:val="00975724"/>
    <w:rsid w:val="009758BD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5F1"/>
    <w:rsid w:val="009B1FE0"/>
    <w:rsid w:val="009B395C"/>
    <w:rsid w:val="009B6A35"/>
    <w:rsid w:val="009B6B54"/>
    <w:rsid w:val="009B6E91"/>
    <w:rsid w:val="009C1CD9"/>
    <w:rsid w:val="009C476F"/>
    <w:rsid w:val="009C4E41"/>
    <w:rsid w:val="009C5127"/>
    <w:rsid w:val="009C5E0C"/>
    <w:rsid w:val="009C5FCD"/>
    <w:rsid w:val="009C7A92"/>
    <w:rsid w:val="009C7F27"/>
    <w:rsid w:val="009D1661"/>
    <w:rsid w:val="009D3423"/>
    <w:rsid w:val="009D36B5"/>
    <w:rsid w:val="009D5101"/>
    <w:rsid w:val="009D68EF"/>
    <w:rsid w:val="009D69C3"/>
    <w:rsid w:val="009E09A3"/>
    <w:rsid w:val="009E1F50"/>
    <w:rsid w:val="009E1F6B"/>
    <w:rsid w:val="009E2C63"/>
    <w:rsid w:val="009E37F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42A"/>
    <w:rsid w:val="009F5C1D"/>
    <w:rsid w:val="009F6404"/>
    <w:rsid w:val="009F6F06"/>
    <w:rsid w:val="009F71E3"/>
    <w:rsid w:val="009F7282"/>
    <w:rsid w:val="00A0044B"/>
    <w:rsid w:val="00A0208A"/>
    <w:rsid w:val="00A020A3"/>
    <w:rsid w:val="00A020FA"/>
    <w:rsid w:val="00A027C9"/>
    <w:rsid w:val="00A02B5B"/>
    <w:rsid w:val="00A02FAD"/>
    <w:rsid w:val="00A0400B"/>
    <w:rsid w:val="00A05E21"/>
    <w:rsid w:val="00A0613B"/>
    <w:rsid w:val="00A070AD"/>
    <w:rsid w:val="00A0747C"/>
    <w:rsid w:val="00A0747F"/>
    <w:rsid w:val="00A1104B"/>
    <w:rsid w:val="00A118CC"/>
    <w:rsid w:val="00A13ACF"/>
    <w:rsid w:val="00A14491"/>
    <w:rsid w:val="00A14DEF"/>
    <w:rsid w:val="00A17462"/>
    <w:rsid w:val="00A240EC"/>
    <w:rsid w:val="00A2418C"/>
    <w:rsid w:val="00A246D2"/>
    <w:rsid w:val="00A266AA"/>
    <w:rsid w:val="00A30C7E"/>
    <w:rsid w:val="00A31EEF"/>
    <w:rsid w:val="00A3278A"/>
    <w:rsid w:val="00A328CF"/>
    <w:rsid w:val="00A32FFC"/>
    <w:rsid w:val="00A33E20"/>
    <w:rsid w:val="00A34370"/>
    <w:rsid w:val="00A35191"/>
    <w:rsid w:val="00A3564F"/>
    <w:rsid w:val="00A36E27"/>
    <w:rsid w:val="00A370FF"/>
    <w:rsid w:val="00A37BF9"/>
    <w:rsid w:val="00A42425"/>
    <w:rsid w:val="00A42BE5"/>
    <w:rsid w:val="00A43E94"/>
    <w:rsid w:val="00A44076"/>
    <w:rsid w:val="00A442D4"/>
    <w:rsid w:val="00A45FCB"/>
    <w:rsid w:val="00A47FC5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6CAB"/>
    <w:rsid w:val="00A67022"/>
    <w:rsid w:val="00A700A9"/>
    <w:rsid w:val="00A70122"/>
    <w:rsid w:val="00A73102"/>
    <w:rsid w:val="00A742A4"/>
    <w:rsid w:val="00A742BB"/>
    <w:rsid w:val="00A74965"/>
    <w:rsid w:val="00A74CA1"/>
    <w:rsid w:val="00A7516A"/>
    <w:rsid w:val="00A75717"/>
    <w:rsid w:val="00A75778"/>
    <w:rsid w:val="00A76968"/>
    <w:rsid w:val="00A76B38"/>
    <w:rsid w:val="00A774E8"/>
    <w:rsid w:val="00A85784"/>
    <w:rsid w:val="00A85B13"/>
    <w:rsid w:val="00A9233A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B0E00"/>
    <w:rsid w:val="00AB10E6"/>
    <w:rsid w:val="00AB1827"/>
    <w:rsid w:val="00AB1ABB"/>
    <w:rsid w:val="00AB1BC8"/>
    <w:rsid w:val="00AB1C44"/>
    <w:rsid w:val="00AB1F39"/>
    <w:rsid w:val="00AB2564"/>
    <w:rsid w:val="00AB29CD"/>
    <w:rsid w:val="00AB3285"/>
    <w:rsid w:val="00AB37EE"/>
    <w:rsid w:val="00AB47F0"/>
    <w:rsid w:val="00AB4B04"/>
    <w:rsid w:val="00AB6195"/>
    <w:rsid w:val="00AB7F64"/>
    <w:rsid w:val="00AC1236"/>
    <w:rsid w:val="00AC2374"/>
    <w:rsid w:val="00AC3C4E"/>
    <w:rsid w:val="00AC46CA"/>
    <w:rsid w:val="00AC644C"/>
    <w:rsid w:val="00AC6E9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716F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AF5F53"/>
    <w:rsid w:val="00B022E1"/>
    <w:rsid w:val="00B0280D"/>
    <w:rsid w:val="00B04095"/>
    <w:rsid w:val="00B04230"/>
    <w:rsid w:val="00B052DE"/>
    <w:rsid w:val="00B05753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7F9"/>
    <w:rsid w:val="00B30B6D"/>
    <w:rsid w:val="00B312F0"/>
    <w:rsid w:val="00B32ECD"/>
    <w:rsid w:val="00B3317B"/>
    <w:rsid w:val="00B34125"/>
    <w:rsid w:val="00B349E6"/>
    <w:rsid w:val="00B35105"/>
    <w:rsid w:val="00B359A3"/>
    <w:rsid w:val="00B369D6"/>
    <w:rsid w:val="00B37FE5"/>
    <w:rsid w:val="00B41C18"/>
    <w:rsid w:val="00B43E4B"/>
    <w:rsid w:val="00B4425A"/>
    <w:rsid w:val="00B44529"/>
    <w:rsid w:val="00B453E8"/>
    <w:rsid w:val="00B45F0C"/>
    <w:rsid w:val="00B4790F"/>
    <w:rsid w:val="00B47AC4"/>
    <w:rsid w:val="00B5045D"/>
    <w:rsid w:val="00B50AFC"/>
    <w:rsid w:val="00B51F9C"/>
    <w:rsid w:val="00B52312"/>
    <w:rsid w:val="00B524A1"/>
    <w:rsid w:val="00B52618"/>
    <w:rsid w:val="00B52D9D"/>
    <w:rsid w:val="00B5322B"/>
    <w:rsid w:val="00B54760"/>
    <w:rsid w:val="00B55448"/>
    <w:rsid w:val="00B57572"/>
    <w:rsid w:val="00B57C4C"/>
    <w:rsid w:val="00B60247"/>
    <w:rsid w:val="00B6211E"/>
    <w:rsid w:val="00B644D8"/>
    <w:rsid w:val="00B67495"/>
    <w:rsid w:val="00B709BD"/>
    <w:rsid w:val="00B70BF8"/>
    <w:rsid w:val="00B7291A"/>
    <w:rsid w:val="00B7360C"/>
    <w:rsid w:val="00B74EA2"/>
    <w:rsid w:val="00B75F8A"/>
    <w:rsid w:val="00B76255"/>
    <w:rsid w:val="00B76A49"/>
    <w:rsid w:val="00B76E48"/>
    <w:rsid w:val="00B76FAC"/>
    <w:rsid w:val="00B80434"/>
    <w:rsid w:val="00B82DB6"/>
    <w:rsid w:val="00B83125"/>
    <w:rsid w:val="00B83393"/>
    <w:rsid w:val="00B83728"/>
    <w:rsid w:val="00B83F40"/>
    <w:rsid w:val="00B84E3C"/>
    <w:rsid w:val="00B85F7E"/>
    <w:rsid w:val="00B90DDD"/>
    <w:rsid w:val="00B917BA"/>
    <w:rsid w:val="00B918BC"/>
    <w:rsid w:val="00B92280"/>
    <w:rsid w:val="00B92A4D"/>
    <w:rsid w:val="00B9333C"/>
    <w:rsid w:val="00B94EC8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4C23"/>
    <w:rsid w:val="00BC5662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2AA0"/>
    <w:rsid w:val="00BE53CE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5DB"/>
    <w:rsid w:val="00BF7D98"/>
    <w:rsid w:val="00C01F95"/>
    <w:rsid w:val="00C02E18"/>
    <w:rsid w:val="00C03167"/>
    <w:rsid w:val="00C03559"/>
    <w:rsid w:val="00C04AC9"/>
    <w:rsid w:val="00C04F56"/>
    <w:rsid w:val="00C06366"/>
    <w:rsid w:val="00C10F1A"/>
    <w:rsid w:val="00C11CCC"/>
    <w:rsid w:val="00C147DE"/>
    <w:rsid w:val="00C14A31"/>
    <w:rsid w:val="00C1601B"/>
    <w:rsid w:val="00C17A67"/>
    <w:rsid w:val="00C17D87"/>
    <w:rsid w:val="00C20634"/>
    <w:rsid w:val="00C223A9"/>
    <w:rsid w:val="00C22599"/>
    <w:rsid w:val="00C22AB4"/>
    <w:rsid w:val="00C22EF7"/>
    <w:rsid w:val="00C23AC1"/>
    <w:rsid w:val="00C247D7"/>
    <w:rsid w:val="00C24CDA"/>
    <w:rsid w:val="00C24E43"/>
    <w:rsid w:val="00C26073"/>
    <w:rsid w:val="00C263A0"/>
    <w:rsid w:val="00C27BCD"/>
    <w:rsid w:val="00C31155"/>
    <w:rsid w:val="00C326AA"/>
    <w:rsid w:val="00C32CCD"/>
    <w:rsid w:val="00C33E2B"/>
    <w:rsid w:val="00C34EBE"/>
    <w:rsid w:val="00C3550E"/>
    <w:rsid w:val="00C40462"/>
    <w:rsid w:val="00C4357F"/>
    <w:rsid w:val="00C44081"/>
    <w:rsid w:val="00C45C08"/>
    <w:rsid w:val="00C45CA1"/>
    <w:rsid w:val="00C478E7"/>
    <w:rsid w:val="00C5201E"/>
    <w:rsid w:val="00C5204C"/>
    <w:rsid w:val="00C523B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4933"/>
    <w:rsid w:val="00C655E3"/>
    <w:rsid w:val="00C65839"/>
    <w:rsid w:val="00C660AB"/>
    <w:rsid w:val="00C6709B"/>
    <w:rsid w:val="00C671DD"/>
    <w:rsid w:val="00C67399"/>
    <w:rsid w:val="00C72796"/>
    <w:rsid w:val="00C72AC4"/>
    <w:rsid w:val="00C72B8A"/>
    <w:rsid w:val="00C731BD"/>
    <w:rsid w:val="00C736F4"/>
    <w:rsid w:val="00C74223"/>
    <w:rsid w:val="00C7463D"/>
    <w:rsid w:val="00C75784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1CB6"/>
    <w:rsid w:val="00C94717"/>
    <w:rsid w:val="00C9566D"/>
    <w:rsid w:val="00C97395"/>
    <w:rsid w:val="00C97651"/>
    <w:rsid w:val="00CA03A3"/>
    <w:rsid w:val="00CA31CA"/>
    <w:rsid w:val="00CA3289"/>
    <w:rsid w:val="00CA3F90"/>
    <w:rsid w:val="00CA5014"/>
    <w:rsid w:val="00CA62A0"/>
    <w:rsid w:val="00CA66C7"/>
    <w:rsid w:val="00CB0203"/>
    <w:rsid w:val="00CB0B52"/>
    <w:rsid w:val="00CB467F"/>
    <w:rsid w:val="00CB6608"/>
    <w:rsid w:val="00CC1A1A"/>
    <w:rsid w:val="00CC23E5"/>
    <w:rsid w:val="00CC30C1"/>
    <w:rsid w:val="00CC37D8"/>
    <w:rsid w:val="00CC42B9"/>
    <w:rsid w:val="00CC4E2D"/>
    <w:rsid w:val="00CC66D8"/>
    <w:rsid w:val="00CC75BA"/>
    <w:rsid w:val="00CC7A76"/>
    <w:rsid w:val="00CD00EB"/>
    <w:rsid w:val="00CD0647"/>
    <w:rsid w:val="00CD112F"/>
    <w:rsid w:val="00CD1B2B"/>
    <w:rsid w:val="00CD1D3A"/>
    <w:rsid w:val="00CD2B20"/>
    <w:rsid w:val="00CD3507"/>
    <w:rsid w:val="00CD418F"/>
    <w:rsid w:val="00CD44D0"/>
    <w:rsid w:val="00CD4611"/>
    <w:rsid w:val="00CD50E2"/>
    <w:rsid w:val="00CD5E13"/>
    <w:rsid w:val="00CE25F0"/>
    <w:rsid w:val="00CE2E9B"/>
    <w:rsid w:val="00CE3C3B"/>
    <w:rsid w:val="00CE3C97"/>
    <w:rsid w:val="00CE4342"/>
    <w:rsid w:val="00CE4419"/>
    <w:rsid w:val="00CE47BE"/>
    <w:rsid w:val="00CE4F0E"/>
    <w:rsid w:val="00CE5610"/>
    <w:rsid w:val="00CE5B4B"/>
    <w:rsid w:val="00CE662B"/>
    <w:rsid w:val="00CE797A"/>
    <w:rsid w:val="00CF029C"/>
    <w:rsid w:val="00CF24B2"/>
    <w:rsid w:val="00CF3AE0"/>
    <w:rsid w:val="00CF3FF3"/>
    <w:rsid w:val="00CF590D"/>
    <w:rsid w:val="00CF5DBF"/>
    <w:rsid w:val="00CF677C"/>
    <w:rsid w:val="00CF7318"/>
    <w:rsid w:val="00D00331"/>
    <w:rsid w:val="00D0092E"/>
    <w:rsid w:val="00D011EC"/>
    <w:rsid w:val="00D01438"/>
    <w:rsid w:val="00D01749"/>
    <w:rsid w:val="00D017BC"/>
    <w:rsid w:val="00D021E5"/>
    <w:rsid w:val="00D03A83"/>
    <w:rsid w:val="00D03ACC"/>
    <w:rsid w:val="00D0419F"/>
    <w:rsid w:val="00D04FE9"/>
    <w:rsid w:val="00D05F7C"/>
    <w:rsid w:val="00D06A95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6681"/>
    <w:rsid w:val="00D174AB"/>
    <w:rsid w:val="00D177EF"/>
    <w:rsid w:val="00D207A3"/>
    <w:rsid w:val="00D221BE"/>
    <w:rsid w:val="00D2347B"/>
    <w:rsid w:val="00D23930"/>
    <w:rsid w:val="00D24A89"/>
    <w:rsid w:val="00D24E3C"/>
    <w:rsid w:val="00D31E7F"/>
    <w:rsid w:val="00D31F42"/>
    <w:rsid w:val="00D32A77"/>
    <w:rsid w:val="00D32B03"/>
    <w:rsid w:val="00D333BB"/>
    <w:rsid w:val="00D33E0C"/>
    <w:rsid w:val="00D37120"/>
    <w:rsid w:val="00D379D3"/>
    <w:rsid w:val="00D40246"/>
    <w:rsid w:val="00D41065"/>
    <w:rsid w:val="00D410BE"/>
    <w:rsid w:val="00D416B3"/>
    <w:rsid w:val="00D44CD6"/>
    <w:rsid w:val="00D45CA2"/>
    <w:rsid w:val="00D479B7"/>
    <w:rsid w:val="00D47A56"/>
    <w:rsid w:val="00D50307"/>
    <w:rsid w:val="00D51002"/>
    <w:rsid w:val="00D52096"/>
    <w:rsid w:val="00D528E0"/>
    <w:rsid w:val="00D53C9F"/>
    <w:rsid w:val="00D54ADD"/>
    <w:rsid w:val="00D55008"/>
    <w:rsid w:val="00D55A0F"/>
    <w:rsid w:val="00D56B79"/>
    <w:rsid w:val="00D57D0F"/>
    <w:rsid w:val="00D604FF"/>
    <w:rsid w:val="00D61072"/>
    <w:rsid w:val="00D616C6"/>
    <w:rsid w:val="00D659E3"/>
    <w:rsid w:val="00D67B7D"/>
    <w:rsid w:val="00D67C80"/>
    <w:rsid w:val="00D70478"/>
    <w:rsid w:val="00D705FD"/>
    <w:rsid w:val="00D70B76"/>
    <w:rsid w:val="00D72BC4"/>
    <w:rsid w:val="00D72CE8"/>
    <w:rsid w:val="00D73770"/>
    <w:rsid w:val="00D74EDE"/>
    <w:rsid w:val="00D75C97"/>
    <w:rsid w:val="00D76870"/>
    <w:rsid w:val="00D779BC"/>
    <w:rsid w:val="00D77A84"/>
    <w:rsid w:val="00D80A23"/>
    <w:rsid w:val="00D82AF2"/>
    <w:rsid w:val="00D85864"/>
    <w:rsid w:val="00D90AFF"/>
    <w:rsid w:val="00D911A3"/>
    <w:rsid w:val="00D935B9"/>
    <w:rsid w:val="00D93BDF"/>
    <w:rsid w:val="00D93CDA"/>
    <w:rsid w:val="00D94317"/>
    <w:rsid w:val="00D94882"/>
    <w:rsid w:val="00D9501E"/>
    <w:rsid w:val="00D95D15"/>
    <w:rsid w:val="00D96B8E"/>
    <w:rsid w:val="00D97769"/>
    <w:rsid w:val="00DA2937"/>
    <w:rsid w:val="00DA35D6"/>
    <w:rsid w:val="00DA4954"/>
    <w:rsid w:val="00DA56CD"/>
    <w:rsid w:val="00DA69CE"/>
    <w:rsid w:val="00DA6E44"/>
    <w:rsid w:val="00DA7E97"/>
    <w:rsid w:val="00DB064A"/>
    <w:rsid w:val="00DB0F93"/>
    <w:rsid w:val="00DB1E80"/>
    <w:rsid w:val="00DB1EF8"/>
    <w:rsid w:val="00DB2910"/>
    <w:rsid w:val="00DB2F34"/>
    <w:rsid w:val="00DB3386"/>
    <w:rsid w:val="00DB404E"/>
    <w:rsid w:val="00DB5194"/>
    <w:rsid w:val="00DB60DF"/>
    <w:rsid w:val="00DB78E8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5508"/>
    <w:rsid w:val="00DD5BC9"/>
    <w:rsid w:val="00DD6EF5"/>
    <w:rsid w:val="00DD7204"/>
    <w:rsid w:val="00DD7801"/>
    <w:rsid w:val="00DD7E64"/>
    <w:rsid w:val="00DE30F9"/>
    <w:rsid w:val="00DE42C8"/>
    <w:rsid w:val="00DF1CB3"/>
    <w:rsid w:val="00DF1FDB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281"/>
    <w:rsid w:val="00E03744"/>
    <w:rsid w:val="00E03FB9"/>
    <w:rsid w:val="00E03FD6"/>
    <w:rsid w:val="00E0461F"/>
    <w:rsid w:val="00E055CE"/>
    <w:rsid w:val="00E05A93"/>
    <w:rsid w:val="00E05B69"/>
    <w:rsid w:val="00E0664F"/>
    <w:rsid w:val="00E07F73"/>
    <w:rsid w:val="00E10EF4"/>
    <w:rsid w:val="00E11F80"/>
    <w:rsid w:val="00E12CD7"/>
    <w:rsid w:val="00E144C9"/>
    <w:rsid w:val="00E158CE"/>
    <w:rsid w:val="00E164D7"/>
    <w:rsid w:val="00E16F22"/>
    <w:rsid w:val="00E20436"/>
    <w:rsid w:val="00E20639"/>
    <w:rsid w:val="00E20F68"/>
    <w:rsid w:val="00E20F84"/>
    <w:rsid w:val="00E2282D"/>
    <w:rsid w:val="00E25AC4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43D1"/>
    <w:rsid w:val="00E354B2"/>
    <w:rsid w:val="00E35A8C"/>
    <w:rsid w:val="00E36F14"/>
    <w:rsid w:val="00E3700D"/>
    <w:rsid w:val="00E37904"/>
    <w:rsid w:val="00E37CDF"/>
    <w:rsid w:val="00E40495"/>
    <w:rsid w:val="00E40A9F"/>
    <w:rsid w:val="00E415EB"/>
    <w:rsid w:val="00E43F76"/>
    <w:rsid w:val="00E451D3"/>
    <w:rsid w:val="00E53B26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9E"/>
    <w:rsid w:val="00E664B4"/>
    <w:rsid w:val="00E66FCD"/>
    <w:rsid w:val="00E71FA3"/>
    <w:rsid w:val="00E725A4"/>
    <w:rsid w:val="00E75E61"/>
    <w:rsid w:val="00E763AD"/>
    <w:rsid w:val="00E76BA9"/>
    <w:rsid w:val="00E772C6"/>
    <w:rsid w:val="00E8066D"/>
    <w:rsid w:val="00E8145E"/>
    <w:rsid w:val="00E829C3"/>
    <w:rsid w:val="00E831CD"/>
    <w:rsid w:val="00E846AF"/>
    <w:rsid w:val="00E866F7"/>
    <w:rsid w:val="00E91537"/>
    <w:rsid w:val="00E91A3B"/>
    <w:rsid w:val="00E91A3D"/>
    <w:rsid w:val="00E937A4"/>
    <w:rsid w:val="00E938A1"/>
    <w:rsid w:val="00E9488E"/>
    <w:rsid w:val="00E94BE2"/>
    <w:rsid w:val="00E95A09"/>
    <w:rsid w:val="00E95D1A"/>
    <w:rsid w:val="00E95F94"/>
    <w:rsid w:val="00E960EF"/>
    <w:rsid w:val="00E96350"/>
    <w:rsid w:val="00E96865"/>
    <w:rsid w:val="00E9717F"/>
    <w:rsid w:val="00E97BAA"/>
    <w:rsid w:val="00EA2B46"/>
    <w:rsid w:val="00EA3101"/>
    <w:rsid w:val="00EA4DB0"/>
    <w:rsid w:val="00EA4FC6"/>
    <w:rsid w:val="00EA5DE1"/>
    <w:rsid w:val="00EA65D1"/>
    <w:rsid w:val="00EA65DA"/>
    <w:rsid w:val="00EA7489"/>
    <w:rsid w:val="00EB024F"/>
    <w:rsid w:val="00EB06EC"/>
    <w:rsid w:val="00EB0EF4"/>
    <w:rsid w:val="00EB1450"/>
    <w:rsid w:val="00EB3905"/>
    <w:rsid w:val="00EB4824"/>
    <w:rsid w:val="00EB592F"/>
    <w:rsid w:val="00EB7042"/>
    <w:rsid w:val="00EB740A"/>
    <w:rsid w:val="00EB7625"/>
    <w:rsid w:val="00EB7A82"/>
    <w:rsid w:val="00EB7B4F"/>
    <w:rsid w:val="00EC0213"/>
    <w:rsid w:val="00EC2236"/>
    <w:rsid w:val="00EC2BE3"/>
    <w:rsid w:val="00EC3010"/>
    <w:rsid w:val="00EC3F33"/>
    <w:rsid w:val="00EC40D8"/>
    <w:rsid w:val="00EC4D39"/>
    <w:rsid w:val="00EC6C83"/>
    <w:rsid w:val="00EC738E"/>
    <w:rsid w:val="00ED2134"/>
    <w:rsid w:val="00ED403E"/>
    <w:rsid w:val="00ED4914"/>
    <w:rsid w:val="00ED6A0E"/>
    <w:rsid w:val="00EE0279"/>
    <w:rsid w:val="00EE046A"/>
    <w:rsid w:val="00EE099E"/>
    <w:rsid w:val="00EE1B50"/>
    <w:rsid w:val="00EE31CB"/>
    <w:rsid w:val="00EE5526"/>
    <w:rsid w:val="00EE5E79"/>
    <w:rsid w:val="00EE71D3"/>
    <w:rsid w:val="00EE779C"/>
    <w:rsid w:val="00EE7E45"/>
    <w:rsid w:val="00EF0A6B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39DF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1C96"/>
    <w:rsid w:val="00F32902"/>
    <w:rsid w:val="00F34073"/>
    <w:rsid w:val="00F34F52"/>
    <w:rsid w:val="00F35B49"/>
    <w:rsid w:val="00F37D91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8E0"/>
    <w:rsid w:val="00F47B6E"/>
    <w:rsid w:val="00F50EFE"/>
    <w:rsid w:val="00F5118A"/>
    <w:rsid w:val="00F52295"/>
    <w:rsid w:val="00F526F7"/>
    <w:rsid w:val="00F53104"/>
    <w:rsid w:val="00F53EF2"/>
    <w:rsid w:val="00F550C4"/>
    <w:rsid w:val="00F56AD7"/>
    <w:rsid w:val="00F570FA"/>
    <w:rsid w:val="00F60F4E"/>
    <w:rsid w:val="00F628B1"/>
    <w:rsid w:val="00F633D4"/>
    <w:rsid w:val="00F645D9"/>
    <w:rsid w:val="00F64CA6"/>
    <w:rsid w:val="00F652EF"/>
    <w:rsid w:val="00F6617C"/>
    <w:rsid w:val="00F667AF"/>
    <w:rsid w:val="00F71D4F"/>
    <w:rsid w:val="00F74753"/>
    <w:rsid w:val="00F7484A"/>
    <w:rsid w:val="00F7593E"/>
    <w:rsid w:val="00F75C4F"/>
    <w:rsid w:val="00F75C95"/>
    <w:rsid w:val="00F7637A"/>
    <w:rsid w:val="00F80569"/>
    <w:rsid w:val="00F8109C"/>
    <w:rsid w:val="00F83246"/>
    <w:rsid w:val="00F90D53"/>
    <w:rsid w:val="00F91024"/>
    <w:rsid w:val="00F916AC"/>
    <w:rsid w:val="00F91BA9"/>
    <w:rsid w:val="00F92899"/>
    <w:rsid w:val="00F92D48"/>
    <w:rsid w:val="00F92F87"/>
    <w:rsid w:val="00F93629"/>
    <w:rsid w:val="00F9391C"/>
    <w:rsid w:val="00F939D7"/>
    <w:rsid w:val="00F944CF"/>
    <w:rsid w:val="00F94679"/>
    <w:rsid w:val="00F94C12"/>
    <w:rsid w:val="00F95421"/>
    <w:rsid w:val="00F95FDC"/>
    <w:rsid w:val="00F961BE"/>
    <w:rsid w:val="00F97BDA"/>
    <w:rsid w:val="00FA4DCC"/>
    <w:rsid w:val="00FA4F54"/>
    <w:rsid w:val="00FA6D9F"/>
    <w:rsid w:val="00FA7126"/>
    <w:rsid w:val="00FA7D23"/>
    <w:rsid w:val="00FB0A7D"/>
    <w:rsid w:val="00FB19F3"/>
    <w:rsid w:val="00FB2D7C"/>
    <w:rsid w:val="00FB31FD"/>
    <w:rsid w:val="00FB31FF"/>
    <w:rsid w:val="00FB566B"/>
    <w:rsid w:val="00FB5B3E"/>
    <w:rsid w:val="00FB5BCF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8D7"/>
    <w:rsid w:val="00FD0945"/>
    <w:rsid w:val="00FD1261"/>
    <w:rsid w:val="00FD1946"/>
    <w:rsid w:val="00FD1DCC"/>
    <w:rsid w:val="00FD349E"/>
    <w:rsid w:val="00FD504A"/>
    <w:rsid w:val="00FD52C5"/>
    <w:rsid w:val="00FD549D"/>
    <w:rsid w:val="00FD57D1"/>
    <w:rsid w:val="00FD6C6F"/>
    <w:rsid w:val="00FD7A55"/>
    <w:rsid w:val="00FD7CA7"/>
    <w:rsid w:val="00FE0625"/>
    <w:rsid w:val="00FE0FBB"/>
    <w:rsid w:val="00FE229A"/>
    <w:rsid w:val="00FE2667"/>
    <w:rsid w:val="00FE28BC"/>
    <w:rsid w:val="00FE33DC"/>
    <w:rsid w:val="00FE3962"/>
    <w:rsid w:val="00FE482F"/>
    <w:rsid w:val="00FE62C4"/>
    <w:rsid w:val="00FE6FEC"/>
    <w:rsid w:val="00FE72DA"/>
    <w:rsid w:val="00FE7AEE"/>
    <w:rsid w:val="00FF069C"/>
    <w:rsid w:val="00FF0951"/>
    <w:rsid w:val="00FF2203"/>
    <w:rsid w:val="00FF248C"/>
    <w:rsid w:val="00FF35B0"/>
    <w:rsid w:val="00FF3C55"/>
    <w:rsid w:val="00FF468E"/>
    <w:rsid w:val="00FF4CF5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paragraph" w:styleId="Paragraphedeliste">
    <w:name w:val="List Paragraph"/>
    <w:basedOn w:val="Normal"/>
    <w:uiPriority w:val="34"/>
    <w:qFormat/>
    <w:rsid w:val="00385B4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0305D"/>
    <w:rPr>
      <w:b/>
      <w:bCs/>
    </w:rPr>
  </w:style>
  <w:style w:type="paragraph" w:styleId="NormalWeb">
    <w:name w:val="Normal (Web)"/>
    <w:basedOn w:val="Normal"/>
    <w:uiPriority w:val="99"/>
    <w:unhideWhenUsed/>
    <w:rsid w:val="007D5F7A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unhideWhenUsed/>
    <w:rsid w:val="0041560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15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941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HCP</cp:lastModifiedBy>
  <cp:revision>4</cp:revision>
  <cp:lastPrinted>2025-12-26T07:17:00Z</cp:lastPrinted>
  <dcterms:created xsi:type="dcterms:W3CDTF">2025-12-25T13:20:00Z</dcterms:created>
  <dcterms:modified xsi:type="dcterms:W3CDTF">2025-12-30T17:29:00Z</dcterms:modified>
</cp:coreProperties>
</file>