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9660B3" w:rsidRDefault="009660B3" w:rsidP="007C2F91">
      <w:pPr>
        <w:ind w:left="993" w:hanging="993"/>
        <w:jc w:val="both"/>
        <w:rPr>
          <w:rFonts w:ascii="Book Antiqua" w:hAnsi="Book Antiqua"/>
          <w:b/>
          <w:bCs/>
          <w:sz w:val="26"/>
          <w:szCs w:val="26"/>
          <w:rtl/>
        </w:rPr>
      </w:pPr>
    </w:p>
    <w:p w:rsidR="002F237C" w:rsidRDefault="002F237C" w:rsidP="008864AD">
      <w:pPr>
        <w:ind w:left="993" w:hanging="993"/>
        <w:jc w:val="center"/>
        <w:rPr>
          <w:rFonts w:ascii="Palatino" w:hAnsi="Palatino" w:cs="Times"/>
          <w:b/>
          <w:bCs/>
          <w:shadow/>
          <w:color w:val="FF9900"/>
          <w:sz w:val="26"/>
          <w:szCs w:val="26"/>
        </w:rPr>
      </w:pPr>
    </w:p>
    <w:p w:rsidR="008864AD" w:rsidRPr="008864AD" w:rsidRDefault="008A2A5F" w:rsidP="0070598C">
      <w:pPr>
        <w:spacing w:line="360" w:lineRule="auto"/>
        <w:ind w:left="992" w:hanging="992"/>
        <w:jc w:val="center"/>
        <w:rPr>
          <w:rFonts w:ascii="Palatino" w:hAnsi="Palatino" w:cs="Times"/>
          <w:b/>
          <w:bCs/>
          <w:shadow/>
          <w:color w:val="FF9900"/>
          <w:sz w:val="26"/>
          <w:szCs w:val="26"/>
        </w:rPr>
      </w:pPr>
      <w:r>
        <w:rPr>
          <w:rFonts w:ascii="Palatino" w:hAnsi="Palatino" w:cs="Times"/>
          <w:b/>
          <w:bCs/>
          <w:shadow/>
          <w:color w:val="FF9900"/>
          <w:sz w:val="26"/>
          <w:szCs w:val="26"/>
        </w:rPr>
        <w:t>COMMUNIQUE</w:t>
      </w:r>
    </w:p>
    <w:p w:rsidR="008A2A5F" w:rsidRPr="008A2A5F" w:rsidRDefault="008A2A5F" w:rsidP="008A2A5F">
      <w:pPr>
        <w:jc w:val="center"/>
        <w:rPr>
          <w:rFonts w:ascii="Garamond" w:hAnsi="Garamond"/>
          <w:b/>
          <w:shadow/>
          <w:color w:val="8064A2" w:themeColor="accent4"/>
          <w:sz w:val="28"/>
          <w:szCs w:val="28"/>
          <w:lang w:val="fr-MA"/>
        </w:rPr>
      </w:pPr>
      <w:r w:rsidRPr="008A2A5F">
        <w:rPr>
          <w:rFonts w:ascii="Garamond" w:hAnsi="Garamond"/>
          <w:b/>
          <w:shadow/>
          <w:color w:val="8064A2" w:themeColor="accent4"/>
          <w:sz w:val="28"/>
          <w:szCs w:val="28"/>
          <w:lang w:val="fr-MA"/>
        </w:rPr>
        <w:t>Eau, énergie, alimentation : éclairer les choix de demain</w:t>
      </w:r>
    </w:p>
    <w:p w:rsidR="007C2F91" w:rsidRPr="008A2A5F" w:rsidRDefault="007C2F91" w:rsidP="007C2F91">
      <w:pPr>
        <w:jc w:val="both"/>
        <w:rPr>
          <w:rFonts w:ascii="Book Antiqua" w:eastAsiaTheme="majorEastAsia" w:hAnsi="Book Antiqua" w:cstheme="majorBidi"/>
          <w:b/>
          <w:bCs/>
          <w:spacing w:val="5"/>
          <w:kern w:val="28"/>
          <w:lang w:val="fr-MA"/>
        </w:rPr>
      </w:pPr>
    </w:p>
    <w:p w:rsidR="00590430" w:rsidRPr="00590430" w:rsidRDefault="00590430" w:rsidP="00590430">
      <w:pPr>
        <w:spacing w:before="100" w:beforeAutospacing="1" w:after="100" w:afterAutospacing="1"/>
        <w:jc w:val="both"/>
        <w:rPr>
          <w:rFonts w:ascii="Garamond" w:hAnsi="Garamond"/>
          <w:i/>
          <w:color w:val="595959" w:themeColor="text1" w:themeTint="A6"/>
          <w:sz w:val="26"/>
          <w:szCs w:val="26"/>
          <w:lang w:val="fr-MA"/>
        </w:rPr>
      </w:pPr>
      <w:r w:rsidRPr="00590430">
        <w:rPr>
          <w:rFonts w:ascii="Garamond" w:hAnsi="Garamond"/>
          <w:bCs/>
          <w:i/>
          <w:color w:val="595959" w:themeColor="text1" w:themeTint="A6"/>
          <w:sz w:val="26"/>
          <w:szCs w:val="26"/>
          <w:lang w:val="fr-MA"/>
        </w:rPr>
        <w:t>Le HCP lance une étude prospective nationale à horizon 2040 pour éclairer les décisions publiques et renforcer la sécurité des ressources</w:t>
      </w:r>
      <w:r w:rsidR="003C620C">
        <w:rPr>
          <w:rFonts w:ascii="Garamond" w:hAnsi="Garamond"/>
          <w:bCs/>
          <w:i/>
          <w:color w:val="595959" w:themeColor="text1" w:themeTint="A6"/>
          <w:sz w:val="26"/>
          <w:szCs w:val="26"/>
          <w:lang w:val="fr-MA"/>
        </w:rPr>
        <w:t> :</w:t>
      </w:r>
    </w:p>
    <w:p w:rsidR="00590430" w:rsidRPr="001E3474" w:rsidRDefault="00590430" w:rsidP="001E3474">
      <w:pPr>
        <w:pStyle w:val="Paragraphedeliste"/>
        <w:numPr>
          <w:ilvl w:val="0"/>
          <w:numId w:val="5"/>
        </w:numPr>
        <w:spacing w:before="100" w:beforeAutospacing="1" w:after="100" w:afterAutospacing="1"/>
        <w:jc w:val="both"/>
        <w:rPr>
          <w:rFonts w:ascii="Garamond" w:hAnsi="Garamond"/>
          <w:color w:val="595959" w:themeColor="text1" w:themeTint="A6"/>
          <w:sz w:val="25"/>
          <w:szCs w:val="25"/>
          <w:lang w:val="fr-MA"/>
        </w:rPr>
      </w:pPr>
      <w:r w:rsidRPr="001E3474">
        <w:rPr>
          <w:rFonts w:ascii="Garamond" w:hAnsi="Garamond"/>
          <w:b/>
          <w:bCs/>
          <w:color w:val="595959" w:themeColor="text1" w:themeTint="A6"/>
          <w:sz w:val="25"/>
          <w:szCs w:val="25"/>
          <w:lang w:val="fr-MA"/>
        </w:rPr>
        <w:t>Une alliance institutionnelle inédite</w:t>
      </w:r>
      <w:r w:rsidRPr="001E3474">
        <w:rPr>
          <w:rFonts w:ascii="Garamond" w:hAnsi="Garamond"/>
          <w:color w:val="595959" w:themeColor="text1" w:themeTint="A6"/>
          <w:sz w:val="25"/>
          <w:szCs w:val="25"/>
          <w:lang w:val="fr-MA"/>
        </w:rPr>
        <w:t xml:space="preserve"> : les principaux départements et le HCP, analysent</w:t>
      </w:r>
      <w:r w:rsidR="001E3474" w:rsidRPr="001E3474">
        <w:rPr>
          <w:rFonts w:ascii="Garamond" w:hAnsi="Garamond"/>
          <w:color w:val="595959" w:themeColor="text1" w:themeTint="A6"/>
          <w:sz w:val="25"/>
          <w:szCs w:val="25"/>
          <w:lang w:val="fr-MA"/>
        </w:rPr>
        <w:t xml:space="preserve"> </w:t>
      </w:r>
      <w:r w:rsidRPr="001E3474">
        <w:rPr>
          <w:rFonts w:ascii="Garamond" w:hAnsi="Garamond"/>
          <w:color w:val="595959" w:themeColor="text1" w:themeTint="A6"/>
          <w:sz w:val="25"/>
          <w:szCs w:val="25"/>
          <w:lang w:val="fr-MA"/>
        </w:rPr>
        <w:t>conjointement les interdépendances entre l’eau, l’énergie et l’alimentation, au-delà des logiques sectorielles.</w:t>
      </w:r>
    </w:p>
    <w:p w:rsidR="00590430" w:rsidRPr="001E3474" w:rsidRDefault="00590430" w:rsidP="00590430">
      <w:pPr>
        <w:pStyle w:val="Paragraphedeliste"/>
        <w:numPr>
          <w:ilvl w:val="0"/>
          <w:numId w:val="5"/>
        </w:numPr>
        <w:spacing w:before="100" w:beforeAutospacing="1" w:after="100" w:afterAutospacing="1"/>
        <w:jc w:val="both"/>
        <w:rPr>
          <w:rFonts w:ascii="Garamond" w:hAnsi="Garamond"/>
          <w:color w:val="595959" w:themeColor="text1" w:themeTint="A6"/>
          <w:sz w:val="25"/>
          <w:szCs w:val="25"/>
          <w:lang w:val="fr-MA"/>
        </w:rPr>
      </w:pPr>
      <w:r w:rsidRPr="001E3474">
        <w:rPr>
          <w:rFonts w:ascii="Garamond" w:hAnsi="Garamond"/>
          <w:b/>
          <w:bCs/>
          <w:color w:val="595959" w:themeColor="text1" w:themeTint="A6"/>
          <w:sz w:val="25"/>
          <w:szCs w:val="25"/>
          <w:lang w:val="fr-MA"/>
        </w:rPr>
        <w:t>Un outil d’aide à la décision stratégique</w:t>
      </w:r>
      <w:r w:rsidRPr="001E3474">
        <w:rPr>
          <w:rFonts w:ascii="Garamond" w:hAnsi="Garamond"/>
          <w:color w:val="595959" w:themeColor="text1" w:themeTint="A6"/>
          <w:sz w:val="25"/>
          <w:szCs w:val="25"/>
          <w:lang w:val="fr-MA"/>
        </w:rPr>
        <w:t xml:space="preserve"> : l’étude combinera prospective et modélisation pour éclairer les arbitrages publics à long terme et mesurer leurs impacts économiques, sociaux et territoriaux.</w:t>
      </w:r>
    </w:p>
    <w:p w:rsidR="00590430" w:rsidRDefault="00590430" w:rsidP="00590430">
      <w:pPr>
        <w:pStyle w:val="Paragraphedeliste"/>
        <w:numPr>
          <w:ilvl w:val="0"/>
          <w:numId w:val="5"/>
        </w:numPr>
        <w:spacing w:before="100" w:beforeAutospacing="1" w:after="100" w:afterAutospacing="1"/>
        <w:jc w:val="both"/>
        <w:rPr>
          <w:rFonts w:ascii="Garamond" w:hAnsi="Garamond"/>
          <w:color w:val="595959" w:themeColor="text1" w:themeTint="A6"/>
          <w:sz w:val="25"/>
          <w:szCs w:val="25"/>
          <w:lang w:val="fr-MA"/>
        </w:rPr>
      </w:pPr>
      <w:r w:rsidRPr="001E3474">
        <w:rPr>
          <w:rFonts w:ascii="Garamond" w:hAnsi="Garamond"/>
          <w:b/>
          <w:bCs/>
          <w:color w:val="595959" w:themeColor="text1" w:themeTint="A6"/>
          <w:sz w:val="25"/>
          <w:szCs w:val="25"/>
          <w:lang w:val="fr-MA"/>
        </w:rPr>
        <w:t>Un enjeu concret pour le citoyen</w:t>
      </w:r>
      <w:r w:rsidRPr="001E3474">
        <w:rPr>
          <w:rFonts w:ascii="Garamond" w:hAnsi="Garamond"/>
          <w:color w:val="595959" w:themeColor="text1" w:themeTint="A6"/>
          <w:sz w:val="25"/>
          <w:szCs w:val="25"/>
          <w:lang w:val="fr-MA"/>
        </w:rPr>
        <w:t xml:space="preserve"> : sécuriser l’accès aux ressources vitales, renforcer la résilience face aux chocs climatiques et économiques, et améliorer le bien-être des Marocains.</w:t>
      </w:r>
    </w:p>
    <w:p w:rsidR="001E3474" w:rsidRPr="001E3474" w:rsidRDefault="001E3474" w:rsidP="001E3474">
      <w:pPr>
        <w:pStyle w:val="Paragraphedeliste"/>
        <w:jc w:val="both"/>
        <w:rPr>
          <w:rFonts w:ascii="Garamond" w:hAnsi="Garamond"/>
          <w:color w:val="595959" w:themeColor="text1" w:themeTint="A6"/>
          <w:sz w:val="25"/>
          <w:szCs w:val="25"/>
          <w:lang w:val="fr-MA"/>
        </w:rPr>
      </w:pPr>
    </w:p>
    <w:p w:rsidR="001E3474" w:rsidRPr="001E3474" w:rsidRDefault="001E3474" w:rsidP="002C25CF">
      <w:pPr>
        <w:jc w:val="both"/>
        <w:rPr>
          <w:rFonts w:ascii="Garamond" w:hAnsi="Garamond"/>
          <w:color w:val="595959" w:themeColor="text1" w:themeTint="A6"/>
          <w:sz w:val="25"/>
          <w:szCs w:val="25"/>
          <w:lang w:val="fr-MA"/>
        </w:rPr>
      </w:pPr>
      <w:r w:rsidRPr="001E3474">
        <w:rPr>
          <w:rFonts w:ascii="Garamond" w:hAnsi="Garamond"/>
          <w:b/>
          <w:bCs/>
          <w:color w:val="595959" w:themeColor="text1" w:themeTint="A6"/>
          <w:sz w:val="25"/>
          <w:szCs w:val="25"/>
          <w:lang w:val="fr-MA"/>
        </w:rPr>
        <w:t>Rabat, le 11 février 2026</w:t>
      </w:r>
      <w:r w:rsidRPr="001E3474">
        <w:rPr>
          <w:rFonts w:ascii="Garamond" w:hAnsi="Garamond"/>
          <w:color w:val="595959" w:themeColor="text1" w:themeTint="A6"/>
          <w:sz w:val="25"/>
          <w:szCs w:val="25"/>
          <w:lang w:val="fr-MA"/>
        </w:rPr>
        <w:t xml:space="preserve"> -  Face aux enjeux hydriques, aux exigences de la transition énergétique, aux défis de la sécurité alimentaire et à la pression démographique, Le Haut-Commissariat au Plan (HCP) a accueilli la réunion du comité de pilotage </w:t>
      </w:r>
      <w:r w:rsidR="002C25CF">
        <w:rPr>
          <w:rFonts w:ascii="Garamond" w:hAnsi="Garamond"/>
          <w:color w:val="595959" w:themeColor="text1" w:themeTint="A6"/>
          <w:sz w:val="25"/>
          <w:szCs w:val="25"/>
          <w:lang w:val="fr-MA"/>
        </w:rPr>
        <w:t>pour l</w:t>
      </w:r>
      <w:r w:rsidR="002C25CF" w:rsidRPr="001E3474">
        <w:rPr>
          <w:rFonts w:ascii="Garamond" w:hAnsi="Garamond"/>
          <w:color w:val="595959" w:themeColor="text1" w:themeTint="A6"/>
          <w:sz w:val="25"/>
          <w:szCs w:val="25"/>
          <w:lang w:val="fr-MA"/>
        </w:rPr>
        <w:t xml:space="preserve">e lancement </w:t>
      </w:r>
      <w:r w:rsidRPr="001E3474">
        <w:rPr>
          <w:rFonts w:ascii="Garamond" w:hAnsi="Garamond"/>
          <w:color w:val="595959" w:themeColor="text1" w:themeTint="A6"/>
          <w:sz w:val="25"/>
          <w:szCs w:val="25"/>
          <w:lang w:val="fr-MA"/>
        </w:rPr>
        <w:t>de l’</w:t>
      </w:r>
      <w:r w:rsidRPr="001E3474">
        <w:rPr>
          <w:rFonts w:ascii="Garamond" w:hAnsi="Garamond"/>
          <w:b/>
          <w:color w:val="595959" w:themeColor="text1" w:themeTint="A6"/>
          <w:sz w:val="25"/>
          <w:szCs w:val="25"/>
          <w:lang w:val="fr-MA"/>
        </w:rPr>
        <w:t>étude prospective sur le Nexus Eau–Énergie–Alimentation</w:t>
      </w:r>
      <w:r w:rsidRPr="001E3474">
        <w:rPr>
          <w:rFonts w:ascii="Garamond" w:hAnsi="Garamond"/>
          <w:color w:val="595959" w:themeColor="text1" w:themeTint="A6"/>
          <w:sz w:val="25"/>
          <w:szCs w:val="25"/>
          <w:lang w:val="fr-MA"/>
        </w:rPr>
        <w:t xml:space="preserve"> (EEA) à horizon 2040, en association avec le Ministère de l'Intérieur, le Ministère de l'Economie et des Finances, le Ministère de l'Equipement et de l'Eau, le Ministère de l'Agriculture de la Pêche Maritime du Développement Rural et des Eaux et Forêts, le Ministère de la Transition Énergétique et du Développement Durable et Bank Al Maghrib.</w:t>
      </w:r>
    </w:p>
    <w:p w:rsidR="001E3474" w:rsidRPr="001E3474" w:rsidRDefault="001E3474" w:rsidP="000364AB">
      <w:pPr>
        <w:jc w:val="both"/>
        <w:rPr>
          <w:rFonts w:ascii="Garamond" w:hAnsi="Garamond"/>
          <w:sz w:val="25"/>
          <w:szCs w:val="25"/>
          <w:lang w:val="fr-MA"/>
        </w:rPr>
      </w:pPr>
    </w:p>
    <w:p w:rsidR="001E3474" w:rsidRPr="001E3474" w:rsidRDefault="001E3474" w:rsidP="000364AB">
      <w:pPr>
        <w:jc w:val="both"/>
        <w:rPr>
          <w:rFonts w:ascii="Garamond" w:hAnsi="Garamond"/>
          <w:color w:val="595959" w:themeColor="text1" w:themeTint="A6"/>
          <w:sz w:val="25"/>
          <w:szCs w:val="25"/>
          <w:lang w:val="fr-MA"/>
        </w:rPr>
      </w:pPr>
      <w:r w:rsidRPr="001E3474">
        <w:rPr>
          <w:rFonts w:ascii="Garamond" w:hAnsi="Garamond"/>
          <w:color w:val="595959" w:themeColor="text1" w:themeTint="A6"/>
          <w:sz w:val="25"/>
          <w:szCs w:val="25"/>
          <w:lang w:val="fr-MA"/>
        </w:rPr>
        <w:t xml:space="preserve">Cette initiative s’inscrit dans le cadre des Hautes Orientations de Sa Majesté le Roi, que Dieu L’assiste, appelant à renforcer la cohérence des politiques de développement. Elle traduit l’esprit du </w:t>
      </w:r>
      <w:r w:rsidRPr="001E3474">
        <w:rPr>
          <w:rFonts w:ascii="Garamond" w:hAnsi="Garamond"/>
          <w:bCs/>
          <w:color w:val="595959" w:themeColor="text1" w:themeTint="A6"/>
          <w:sz w:val="25"/>
          <w:szCs w:val="25"/>
          <w:lang w:val="fr-MA"/>
        </w:rPr>
        <w:t>Nouveau Modèle de Développement</w:t>
      </w:r>
      <w:r w:rsidR="0004000B">
        <w:rPr>
          <w:rFonts w:ascii="Garamond" w:hAnsi="Garamond"/>
          <w:bCs/>
          <w:color w:val="595959" w:themeColor="text1" w:themeTint="A6"/>
          <w:sz w:val="25"/>
          <w:szCs w:val="25"/>
          <w:lang w:val="fr-MA"/>
        </w:rPr>
        <w:t xml:space="preserve"> </w:t>
      </w:r>
      <w:r w:rsidRPr="001E3474">
        <w:rPr>
          <w:rFonts w:ascii="Garamond" w:hAnsi="Garamond"/>
          <w:bCs/>
          <w:color w:val="595959" w:themeColor="text1" w:themeTint="A6"/>
          <w:sz w:val="25"/>
          <w:szCs w:val="25"/>
          <w:lang w:val="fr-MA"/>
        </w:rPr>
        <w:t>(NMD)</w:t>
      </w:r>
      <w:r w:rsidRPr="001E3474">
        <w:rPr>
          <w:rFonts w:ascii="Garamond" w:hAnsi="Garamond"/>
          <w:color w:val="595959" w:themeColor="text1" w:themeTint="A6"/>
          <w:sz w:val="25"/>
          <w:szCs w:val="25"/>
          <w:lang w:val="fr-MA"/>
        </w:rPr>
        <w:t>, qui recommande d’adopter une approche systémique et de dépasser les approches en silos pour construire une action publique plus efficace et orientée vers des résultats concrets pour le citoyen.</w:t>
      </w:r>
    </w:p>
    <w:p w:rsidR="001E3474" w:rsidRPr="00B869E2" w:rsidRDefault="001E3474" w:rsidP="000364AB">
      <w:pPr>
        <w:jc w:val="both"/>
        <w:rPr>
          <w:rFonts w:ascii="Garamond" w:hAnsi="Garamond"/>
          <w:sz w:val="25"/>
          <w:szCs w:val="25"/>
          <w:lang w:val="fr-MA"/>
        </w:rPr>
      </w:pPr>
    </w:p>
    <w:p w:rsidR="001E3474" w:rsidRPr="009660B3" w:rsidRDefault="001E3474" w:rsidP="00B15F16">
      <w:pPr>
        <w:spacing w:line="336" w:lineRule="auto"/>
        <w:jc w:val="both"/>
        <w:rPr>
          <w:rFonts w:ascii="Garamond" w:hAnsi="Garamond"/>
          <w:b/>
          <w:bCs/>
          <w:color w:val="595959" w:themeColor="text1" w:themeTint="A6"/>
          <w:sz w:val="25"/>
          <w:szCs w:val="25"/>
          <w:lang w:val="fr-MA"/>
        </w:rPr>
      </w:pPr>
      <w:r w:rsidRPr="009660B3">
        <w:rPr>
          <w:rFonts w:ascii="Garamond" w:hAnsi="Garamond"/>
          <w:b/>
          <w:color w:val="595959" w:themeColor="text1" w:themeTint="A6"/>
          <w:sz w:val="25"/>
          <w:szCs w:val="25"/>
          <w:lang w:val="fr-MA"/>
        </w:rPr>
        <w:t>Penser ensemble des ressources vitales interdépendantes</w:t>
      </w:r>
    </w:p>
    <w:p w:rsidR="004563AA" w:rsidRDefault="001E3474" w:rsidP="000364AB">
      <w:pPr>
        <w:jc w:val="both"/>
        <w:rPr>
          <w:rFonts w:ascii="Garamond" w:hAnsi="Garamond"/>
          <w:color w:val="595959" w:themeColor="text1" w:themeTint="A6"/>
          <w:sz w:val="25"/>
          <w:szCs w:val="25"/>
          <w:lang w:val="fr-MA"/>
        </w:rPr>
      </w:pPr>
      <w:r w:rsidRPr="001E3474">
        <w:rPr>
          <w:rFonts w:ascii="Garamond" w:hAnsi="Garamond"/>
          <w:color w:val="595959" w:themeColor="text1" w:themeTint="A6"/>
          <w:sz w:val="25"/>
          <w:szCs w:val="25"/>
          <w:lang w:val="fr-MA"/>
        </w:rPr>
        <w:t>L’eau, l’énergie et l’alimentation sont au cœur de la vie quotidienne des Marocains et de la résilience du pays. Une décision énergétique a des effets directs sur l’eau</w:t>
      </w:r>
      <w:r w:rsidR="009660B3">
        <w:rPr>
          <w:rFonts w:ascii="Garamond" w:hAnsi="Garamond"/>
          <w:color w:val="595959" w:themeColor="text1" w:themeTint="A6"/>
          <w:sz w:val="25"/>
          <w:szCs w:val="25"/>
          <w:lang w:val="fr-MA"/>
        </w:rPr>
        <w:t xml:space="preserve"> </w:t>
      </w:r>
      <w:r w:rsidRPr="001E3474">
        <w:rPr>
          <w:rFonts w:ascii="Garamond" w:hAnsi="Garamond"/>
          <w:color w:val="595959" w:themeColor="text1" w:themeTint="A6"/>
          <w:sz w:val="25"/>
          <w:szCs w:val="25"/>
          <w:lang w:val="fr-MA"/>
        </w:rPr>
        <w:t xml:space="preserve">; un choix agricole impacte la sécurité alimentaire, l’usage des ressources hydriques et la demande énergétique. </w:t>
      </w:r>
    </w:p>
    <w:p w:rsidR="004563AA" w:rsidRDefault="004563AA" w:rsidP="000364AB">
      <w:pPr>
        <w:jc w:val="both"/>
        <w:rPr>
          <w:rFonts w:ascii="Garamond" w:hAnsi="Garamond"/>
          <w:color w:val="595959" w:themeColor="text1" w:themeTint="A6"/>
          <w:sz w:val="25"/>
          <w:szCs w:val="25"/>
          <w:lang w:val="fr-MA"/>
        </w:rPr>
      </w:pPr>
    </w:p>
    <w:p w:rsidR="001E3474" w:rsidRDefault="001E3474" w:rsidP="000364AB">
      <w:pPr>
        <w:jc w:val="both"/>
        <w:rPr>
          <w:rFonts w:ascii="Garamond" w:hAnsi="Garamond"/>
          <w:color w:val="595959" w:themeColor="text1" w:themeTint="A6"/>
          <w:sz w:val="25"/>
          <w:szCs w:val="25"/>
          <w:lang w:val="fr-MA"/>
        </w:rPr>
      </w:pPr>
      <w:r w:rsidRPr="001E3474">
        <w:rPr>
          <w:rFonts w:ascii="Garamond" w:hAnsi="Garamond"/>
          <w:bCs/>
          <w:color w:val="595959" w:themeColor="text1" w:themeTint="A6"/>
          <w:sz w:val="25"/>
          <w:szCs w:val="25"/>
          <w:lang w:val="fr-MA"/>
        </w:rPr>
        <w:t>Penser ces enjeux séparément n’est plus une option.</w:t>
      </w:r>
      <w:r w:rsidRPr="001E3474">
        <w:rPr>
          <w:rFonts w:ascii="Garamond" w:hAnsi="Garamond"/>
          <w:color w:val="595959" w:themeColor="text1" w:themeTint="A6"/>
          <w:sz w:val="25"/>
          <w:szCs w:val="25"/>
          <w:lang w:val="fr-MA"/>
        </w:rPr>
        <w:t xml:space="preserve"> L’approche Nexus vise précisément à comprendre, quantifier et anticiper ces interdépendances profondes afin d’éclairer les arbitrages publics à long terme.</w:t>
      </w:r>
    </w:p>
    <w:p w:rsidR="00A062BD" w:rsidRDefault="00A062BD" w:rsidP="000364AB">
      <w:pPr>
        <w:jc w:val="both"/>
        <w:rPr>
          <w:rFonts w:ascii="Garamond" w:hAnsi="Garamond"/>
          <w:color w:val="595959" w:themeColor="text1" w:themeTint="A6"/>
          <w:sz w:val="25"/>
          <w:szCs w:val="25"/>
          <w:lang w:val="fr-MA"/>
        </w:rPr>
      </w:pPr>
    </w:p>
    <w:p w:rsidR="00754F03" w:rsidRDefault="001E3474" w:rsidP="00B15F16">
      <w:pPr>
        <w:spacing w:line="336" w:lineRule="auto"/>
        <w:jc w:val="both"/>
        <w:rPr>
          <w:rFonts w:ascii="Garamond" w:hAnsi="Garamond"/>
          <w:b/>
          <w:bCs/>
          <w:color w:val="595959" w:themeColor="text1" w:themeTint="A6"/>
          <w:sz w:val="25"/>
          <w:szCs w:val="25"/>
          <w:lang w:val="fr-MA"/>
        </w:rPr>
      </w:pPr>
      <w:r w:rsidRPr="00033903">
        <w:rPr>
          <w:rFonts w:ascii="Garamond" w:hAnsi="Garamond"/>
          <w:b/>
          <w:color w:val="595959" w:themeColor="text1" w:themeTint="A6"/>
          <w:sz w:val="25"/>
          <w:szCs w:val="25"/>
          <w:lang w:val="fr-MA"/>
        </w:rPr>
        <w:lastRenderedPageBreak/>
        <w:t>Démarche prospective rigoureuse au service de la décision publique</w:t>
      </w:r>
    </w:p>
    <w:p w:rsidR="00754F03" w:rsidRPr="00754F03" w:rsidRDefault="00754F03" w:rsidP="00754F03">
      <w:pPr>
        <w:jc w:val="both"/>
        <w:rPr>
          <w:rFonts w:ascii="Garamond" w:hAnsi="Garamond"/>
          <w:b/>
          <w:bCs/>
          <w:color w:val="595959" w:themeColor="text1" w:themeTint="A6"/>
          <w:sz w:val="25"/>
          <w:szCs w:val="25"/>
          <w:lang w:val="fr-MA"/>
        </w:rPr>
      </w:pPr>
      <w:r w:rsidRPr="00754F03">
        <w:rPr>
          <w:rFonts w:ascii="Garamond" w:hAnsi="Garamond"/>
          <w:color w:val="595959" w:themeColor="text1" w:themeTint="A6"/>
          <w:sz w:val="25"/>
          <w:szCs w:val="25"/>
          <w:lang w:val="fr-MA"/>
        </w:rPr>
        <w:t xml:space="preserve">Conçue selon une approche à la fois </w:t>
      </w:r>
      <w:r w:rsidRPr="00754F03">
        <w:rPr>
          <w:rFonts w:ascii="Garamond" w:hAnsi="Garamond"/>
          <w:bCs/>
          <w:color w:val="595959" w:themeColor="text1" w:themeTint="A6"/>
          <w:sz w:val="25"/>
          <w:szCs w:val="25"/>
          <w:lang w:val="fr-MA"/>
        </w:rPr>
        <w:t>qualitative et quantitative</w:t>
      </w:r>
      <w:r w:rsidRPr="00754F03">
        <w:rPr>
          <w:rFonts w:ascii="Garamond" w:hAnsi="Garamond"/>
          <w:color w:val="595959" w:themeColor="text1" w:themeTint="A6"/>
          <w:sz w:val="25"/>
          <w:szCs w:val="25"/>
          <w:lang w:val="fr-MA"/>
        </w:rPr>
        <w:t xml:space="preserve">, l’étude combine intelligence collective multi-acteurs, prospective stratégique et modélisation économique et environnementale. Elle permettra de construire des </w:t>
      </w:r>
      <w:r w:rsidRPr="00754F03">
        <w:rPr>
          <w:rFonts w:ascii="Garamond" w:hAnsi="Garamond"/>
          <w:bCs/>
          <w:color w:val="595959" w:themeColor="text1" w:themeTint="A6"/>
          <w:sz w:val="25"/>
          <w:szCs w:val="25"/>
          <w:lang w:val="fr-MA"/>
        </w:rPr>
        <w:t>scénarios contrastés à horizon 2040</w:t>
      </w:r>
      <w:r w:rsidRPr="00754F03">
        <w:rPr>
          <w:rFonts w:ascii="Garamond" w:hAnsi="Garamond"/>
          <w:color w:val="595959" w:themeColor="text1" w:themeTint="A6"/>
          <w:sz w:val="25"/>
          <w:szCs w:val="25"/>
          <w:lang w:val="fr-MA"/>
        </w:rPr>
        <w:t>, d’en mesurer les impacts socio-économiques et territoriaux, et d’identifier les trajectoires possibles ainsi que les arbitrages nécessaires pour une gestion durable et résiliente des ressources.</w:t>
      </w:r>
    </w:p>
    <w:p w:rsidR="00754F03" w:rsidRPr="00754F03" w:rsidRDefault="00754F03" w:rsidP="00754F03">
      <w:pPr>
        <w:jc w:val="both"/>
        <w:rPr>
          <w:rFonts w:ascii="Garamond" w:hAnsi="Garamond"/>
          <w:sz w:val="25"/>
          <w:szCs w:val="25"/>
          <w:lang w:val="fr-MA"/>
        </w:rPr>
      </w:pPr>
    </w:p>
    <w:p w:rsidR="00754F03" w:rsidRDefault="00754F03" w:rsidP="00754F03">
      <w:pPr>
        <w:jc w:val="both"/>
        <w:rPr>
          <w:rFonts w:ascii="Garamond" w:hAnsi="Garamond"/>
          <w:color w:val="595959" w:themeColor="text1" w:themeTint="A6"/>
          <w:sz w:val="25"/>
          <w:szCs w:val="25"/>
          <w:lang w:val="fr-MA"/>
        </w:rPr>
      </w:pPr>
      <w:r w:rsidRPr="00754F03">
        <w:rPr>
          <w:rFonts w:ascii="Garamond" w:hAnsi="Garamond"/>
          <w:color w:val="595959" w:themeColor="text1" w:themeTint="A6"/>
          <w:sz w:val="25"/>
          <w:szCs w:val="25"/>
          <w:lang w:val="fr-MA"/>
        </w:rPr>
        <w:t>Cette réflexion intersectorielle vise à mettre en évidence les synergies, tensions et choix structurants entre les politiques de l’eau, de l’énergie et de l’alimentation, et à relier ces choix à leurs conséquences sur la croissance, l’emploi, le pouvoir d’achat, le bien-être des ménages et les équilibres macroéconomiques.</w:t>
      </w:r>
    </w:p>
    <w:p w:rsidR="00B15F16" w:rsidRPr="00754F03" w:rsidRDefault="00B15F16" w:rsidP="00754F03">
      <w:pPr>
        <w:jc w:val="both"/>
        <w:rPr>
          <w:rFonts w:ascii="Garamond" w:hAnsi="Garamond"/>
          <w:color w:val="595959" w:themeColor="text1" w:themeTint="A6"/>
          <w:sz w:val="25"/>
          <w:szCs w:val="25"/>
          <w:lang w:val="fr-MA"/>
        </w:rPr>
      </w:pPr>
    </w:p>
    <w:p w:rsidR="00754F03" w:rsidRPr="00792741" w:rsidRDefault="00754F03" w:rsidP="00B15F16">
      <w:pPr>
        <w:spacing w:line="336" w:lineRule="auto"/>
        <w:jc w:val="both"/>
        <w:rPr>
          <w:rFonts w:ascii="Garamond" w:hAnsi="Garamond"/>
          <w:b/>
          <w:bCs/>
          <w:color w:val="595959" w:themeColor="text1" w:themeTint="A6"/>
          <w:sz w:val="25"/>
          <w:szCs w:val="25"/>
          <w:lang w:val="fr-MA"/>
        </w:rPr>
      </w:pPr>
      <w:r w:rsidRPr="00792741">
        <w:rPr>
          <w:rFonts w:ascii="Garamond" w:hAnsi="Garamond"/>
          <w:b/>
          <w:bCs/>
          <w:color w:val="595959" w:themeColor="text1" w:themeTint="A6"/>
          <w:sz w:val="25"/>
          <w:szCs w:val="25"/>
          <w:lang w:val="fr-MA"/>
        </w:rPr>
        <w:t>Alliance institutionnelle au service du citoyen</w:t>
      </w:r>
    </w:p>
    <w:p w:rsidR="00754F03" w:rsidRDefault="00754F03" w:rsidP="00B15F16">
      <w:pPr>
        <w:jc w:val="both"/>
        <w:rPr>
          <w:rFonts w:ascii="Garamond" w:hAnsi="Garamond"/>
          <w:color w:val="595959" w:themeColor="text1" w:themeTint="A6"/>
          <w:sz w:val="25"/>
          <w:szCs w:val="25"/>
          <w:lang w:val="fr-MA"/>
        </w:rPr>
      </w:pPr>
      <w:r w:rsidRPr="00B15F16">
        <w:rPr>
          <w:rFonts w:ascii="Garamond" w:hAnsi="Garamond"/>
          <w:color w:val="595959" w:themeColor="text1" w:themeTint="A6"/>
          <w:sz w:val="25"/>
          <w:szCs w:val="25"/>
          <w:lang w:val="fr-MA"/>
        </w:rPr>
        <w:t>Menée en étroite coordination avec les départements concernés, et associant experts, société civile, opérateurs et décideurs dans une démarche participative, l’étude Nexus se positionne comme un outil d’aide à la décision stratégique.</w:t>
      </w:r>
    </w:p>
    <w:p w:rsidR="00B15F16" w:rsidRPr="00B15F16" w:rsidRDefault="00B15F16" w:rsidP="00B15F16">
      <w:pPr>
        <w:jc w:val="both"/>
        <w:rPr>
          <w:rFonts w:ascii="Garamond" w:hAnsi="Garamond"/>
          <w:sz w:val="25"/>
          <w:szCs w:val="25"/>
          <w:lang w:val="fr-MA"/>
        </w:rPr>
      </w:pPr>
    </w:p>
    <w:p w:rsidR="00754F03" w:rsidRDefault="00754F03" w:rsidP="00B15F16">
      <w:pPr>
        <w:jc w:val="both"/>
        <w:rPr>
          <w:rFonts w:ascii="Garamond" w:hAnsi="Garamond"/>
          <w:color w:val="595959" w:themeColor="text1" w:themeTint="A6"/>
          <w:sz w:val="25"/>
          <w:szCs w:val="25"/>
          <w:lang w:val="fr-MA"/>
        </w:rPr>
      </w:pPr>
      <w:r w:rsidRPr="00B15F16">
        <w:rPr>
          <w:rFonts w:ascii="Garamond" w:hAnsi="Garamond"/>
          <w:color w:val="595959" w:themeColor="text1" w:themeTint="A6"/>
          <w:sz w:val="25"/>
          <w:szCs w:val="25"/>
          <w:lang w:val="fr-MA"/>
        </w:rPr>
        <w:t>Au-delà des modèles et des scénarios, l’enjeu est fondamentalement citoyen : garantir un accès équitable à l’eau et à l’énergie, renforcer la sécurité alimentaire à des prix soutenables, accroître la résilience face aux chocs climatiques et économiques, et réduire les inégalités sociales et territoriales.</w:t>
      </w:r>
    </w:p>
    <w:p w:rsidR="00B15F16" w:rsidRPr="00B15F16" w:rsidRDefault="00B15F16" w:rsidP="00B15F16">
      <w:pPr>
        <w:jc w:val="both"/>
        <w:rPr>
          <w:rFonts w:ascii="Garamond" w:hAnsi="Garamond"/>
          <w:sz w:val="25"/>
          <w:szCs w:val="25"/>
          <w:lang w:val="fr-MA"/>
        </w:rPr>
      </w:pPr>
    </w:p>
    <w:p w:rsidR="00867FAB" w:rsidRPr="00B15F16" w:rsidRDefault="00754F03" w:rsidP="00A062BD">
      <w:pPr>
        <w:jc w:val="both"/>
        <w:rPr>
          <w:rFonts w:ascii="Garamond" w:hAnsi="Garamond"/>
          <w:color w:val="595959" w:themeColor="text1" w:themeTint="A6"/>
          <w:sz w:val="25"/>
          <w:szCs w:val="25"/>
          <w:lang w:val="fr-MA"/>
        </w:rPr>
      </w:pPr>
      <w:r w:rsidRPr="00B15F16">
        <w:rPr>
          <w:rFonts w:ascii="Garamond" w:hAnsi="Garamond"/>
          <w:color w:val="595959" w:themeColor="text1" w:themeTint="A6"/>
          <w:sz w:val="25"/>
          <w:szCs w:val="25"/>
          <w:lang w:val="fr-MA"/>
        </w:rPr>
        <w:t>En plaçant la gestion intégrée du Nexus Eau–Énergie–Alimentation au cœur de la prospective nationale, le HCP entend contribuer à une action publique plus cohérente, plus lisible et plus utile, au service d’un État stratège qui anticipe, arbitre et agit par la donnée et l’impact.</w:t>
      </w:r>
    </w:p>
    <w:sectPr w:rsidR="00867FAB" w:rsidRPr="00B15F16" w:rsidSect="00E20901">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DB3" w:rsidRDefault="00E26DB3">
      <w:r>
        <w:separator/>
      </w:r>
    </w:p>
  </w:endnote>
  <w:endnote w:type="continuationSeparator" w:id="1">
    <w:p w:rsidR="00E26DB3" w:rsidRDefault="00E26DB3">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1972A9"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1972A9"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4563AA">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4563AA">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1972A9">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DB3" w:rsidRDefault="00E26DB3">
      <w:r>
        <w:separator/>
      </w:r>
    </w:p>
  </w:footnote>
  <w:footnote w:type="continuationSeparator" w:id="1">
    <w:p w:rsidR="00E26DB3" w:rsidRDefault="00E26D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-1325880</wp:posOffset>
          </wp:positionH>
          <wp:positionV relativeFrom="paragraph">
            <wp:posOffset>-437515</wp:posOffset>
          </wp:positionV>
          <wp:extent cx="8702675" cy="5041900"/>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419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64CEB"/>
    <w:multiLevelType w:val="hybridMultilevel"/>
    <w:tmpl w:val="67709ECE"/>
    <w:lvl w:ilvl="0" w:tplc="0DB4F23E">
      <w:start w:val="2"/>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59394"/>
    <o:shapelayout v:ext="edit">
      <o:idmap v:ext="edit" data="2"/>
    </o:shapelayout>
  </w:hdrShapeDefaults>
  <w:footnotePr>
    <w:footnote w:id="0"/>
    <w:footnote w:id="1"/>
  </w:footnotePr>
  <w:endnotePr>
    <w:endnote w:id="0"/>
    <w:endnote w:id="1"/>
  </w:endnotePr>
  <w:compat/>
  <w:rsids>
    <w:rsidRoot w:val="00A7067D"/>
    <w:rsid w:val="000025B3"/>
    <w:rsid w:val="00012388"/>
    <w:rsid w:val="0001390E"/>
    <w:rsid w:val="00013A7F"/>
    <w:rsid w:val="00013C22"/>
    <w:rsid w:val="000152BC"/>
    <w:rsid w:val="000205FA"/>
    <w:rsid w:val="00024095"/>
    <w:rsid w:val="00027850"/>
    <w:rsid w:val="00033903"/>
    <w:rsid w:val="000364AB"/>
    <w:rsid w:val="0004000B"/>
    <w:rsid w:val="00050781"/>
    <w:rsid w:val="00050A6E"/>
    <w:rsid w:val="00053619"/>
    <w:rsid w:val="000554EE"/>
    <w:rsid w:val="00057A22"/>
    <w:rsid w:val="00060321"/>
    <w:rsid w:val="00064386"/>
    <w:rsid w:val="0006553F"/>
    <w:rsid w:val="00065DCD"/>
    <w:rsid w:val="00070037"/>
    <w:rsid w:val="00081BE5"/>
    <w:rsid w:val="00085E86"/>
    <w:rsid w:val="000A3BE9"/>
    <w:rsid w:val="000A4F68"/>
    <w:rsid w:val="000B2A3E"/>
    <w:rsid w:val="000B6EA6"/>
    <w:rsid w:val="000C5E54"/>
    <w:rsid w:val="000C7682"/>
    <w:rsid w:val="000D25AF"/>
    <w:rsid w:val="000E21D3"/>
    <w:rsid w:val="000E7503"/>
    <w:rsid w:val="000E7BB9"/>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64889"/>
    <w:rsid w:val="00173DF2"/>
    <w:rsid w:val="001744A2"/>
    <w:rsid w:val="00174719"/>
    <w:rsid w:val="00176CC0"/>
    <w:rsid w:val="00177EC0"/>
    <w:rsid w:val="00181EFF"/>
    <w:rsid w:val="001972A9"/>
    <w:rsid w:val="001A1A9C"/>
    <w:rsid w:val="001A282E"/>
    <w:rsid w:val="001A7093"/>
    <w:rsid w:val="001B4AB1"/>
    <w:rsid w:val="001C3920"/>
    <w:rsid w:val="001C4BE1"/>
    <w:rsid w:val="001D07F7"/>
    <w:rsid w:val="001D0B13"/>
    <w:rsid w:val="001D34E6"/>
    <w:rsid w:val="001D57E1"/>
    <w:rsid w:val="001E05D5"/>
    <w:rsid w:val="001E3474"/>
    <w:rsid w:val="001F1343"/>
    <w:rsid w:val="001F3482"/>
    <w:rsid w:val="001F4836"/>
    <w:rsid w:val="001F6AD9"/>
    <w:rsid w:val="002019A3"/>
    <w:rsid w:val="00205A6A"/>
    <w:rsid w:val="00206659"/>
    <w:rsid w:val="002139B6"/>
    <w:rsid w:val="00220DF6"/>
    <w:rsid w:val="0022299E"/>
    <w:rsid w:val="0022597E"/>
    <w:rsid w:val="0023043F"/>
    <w:rsid w:val="002316A6"/>
    <w:rsid w:val="00242C76"/>
    <w:rsid w:val="00242CBE"/>
    <w:rsid w:val="002443AA"/>
    <w:rsid w:val="0024586A"/>
    <w:rsid w:val="00256291"/>
    <w:rsid w:val="002603C8"/>
    <w:rsid w:val="00262AA7"/>
    <w:rsid w:val="00264343"/>
    <w:rsid w:val="00264D30"/>
    <w:rsid w:val="00264E77"/>
    <w:rsid w:val="00271922"/>
    <w:rsid w:val="0028585A"/>
    <w:rsid w:val="00285F6D"/>
    <w:rsid w:val="00286F23"/>
    <w:rsid w:val="00290B88"/>
    <w:rsid w:val="002A281B"/>
    <w:rsid w:val="002A5379"/>
    <w:rsid w:val="002A5A7C"/>
    <w:rsid w:val="002A688F"/>
    <w:rsid w:val="002B27EA"/>
    <w:rsid w:val="002C02CC"/>
    <w:rsid w:val="002C09B2"/>
    <w:rsid w:val="002C25CF"/>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71BE"/>
    <w:rsid w:val="00376048"/>
    <w:rsid w:val="00376C2C"/>
    <w:rsid w:val="00376C4A"/>
    <w:rsid w:val="003771E3"/>
    <w:rsid w:val="00380647"/>
    <w:rsid w:val="00385013"/>
    <w:rsid w:val="0039063A"/>
    <w:rsid w:val="00393B90"/>
    <w:rsid w:val="00393EF8"/>
    <w:rsid w:val="003A0BAE"/>
    <w:rsid w:val="003A14B5"/>
    <w:rsid w:val="003A5CB2"/>
    <w:rsid w:val="003B7C9A"/>
    <w:rsid w:val="003C104F"/>
    <w:rsid w:val="003C131B"/>
    <w:rsid w:val="003C357A"/>
    <w:rsid w:val="003C3DAC"/>
    <w:rsid w:val="003C620C"/>
    <w:rsid w:val="003E5DDB"/>
    <w:rsid w:val="003F28EA"/>
    <w:rsid w:val="003F445E"/>
    <w:rsid w:val="00401D3E"/>
    <w:rsid w:val="00403A20"/>
    <w:rsid w:val="0041796D"/>
    <w:rsid w:val="004275D6"/>
    <w:rsid w:val="00446DB7"/>
    <w:rsid w:val="00447FBC"/>
    <w:rsid w:val="00455540"/>
    <w:rsid w:val="004563AA"/>
    <w:rsid w:val="00473ABF"/>
    <w:rsid w:val="004744FF"/>
    <w:rsid w:val="00481E24"/>
    <w:rsid w:val="00484E8D"/>
    <w:rsid w:val="00487904"/>
    <w:rsid w:val="0049060D"/>
    <w:rsid w:val="004A1173"/>
    <w:rsid w:val="004A225B"/>
    <w:rsid w:val="004A73C5"/>
    <w:rsid w:val="004B2CCC"/>
    <w:rsid w:val="004B3780"/>
    <w:rsid w:val="004B3B09"/>
    <w:rsid w:val="004B42B1"/>
    <w:rsid w:val="004B4D2F"/>
    <w:rsid w:val="004B5569"/>
    <w:rsid w:val="004B6126"/>
    <w:rsid w:val="004B66EA"/>
    <w:rsid w:val="004C43FD"/>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2B7"/>
    <w:rsid w:val="005549EE"/>
    <w:rsid w:val="00564AE3"/>
    <w:rsid w:val="0057148E"/>
    <w:rsid w:val="00571918"/>
    <w:rsid w:val="005746EB"/>
    <w:rsid w:val="005754A6"/>
    <w:rsid w:val="0057589F"/>
    <w:rsid w:val="005814DE"/>
    <w:rsid w:val="00582403"/>
    <w:rsid w:val="00590430"/>
    <w:rsid w:val="00590E1B"/>
    <w:rsid w:val="00594250"/>
    <w:rsid w:val="00594D60"/>
    <w:rsid w:val="00595235"/>
    <w:rsid w:val="005A7061"/>
    <w:rsid w:val="005B0675"/>
    <w:rsid w:val="005B3582"/>
    <w:rsid w:val="005B48EA"/>
    <w:rsid w:val="005C1DD3"/>
    <w:rsid w:val="005C28E5"/>
    <w:rsid w:val="005C707A"/>
    <w:rsid w:val="005C7D21"/>
    <w:rsid w:val="005D0550"/>
    <w:rsid w:val="005D14CD"/>
    <w:rsid w:val="005D486E"/>
    <w:rsid w:val="005D71A1"/>
    <w:rsid w:val="005D72D0"/>
    <w:rsid w:val="005E3BDC"/>
    <w:rsid w:val="005E4938"/>
    <w:rsid w:val="00603CC4"/>
    <w:rsid w:val="00604836"/>
    <w:rsid w:val="00610ADF"/>
    <w:rsid w:val="00611B94"/>
    <w:rsid w:val="00613BEE"/>
    <w:rsid w:val="0061442D"/>
    <w:rsid w:val="00621623"/>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700E75"/>
    <w:rsid w:val="0070598C"/>
    <w:rsid w:val="00707AC0"/>
    <w:rsid w:val="007206D4"/>
    <w:rsid w:val="007273F0"/>
    <w:rsid w:val="007305FD"/>
    <w:rsid w:val="00730CFE"/>
    <w:rsid w:val="007320F2"/>
    <w:rsid w:val="00737D26"/>
    <w:rsid w:val="00737E9A"/>
    <w:rsid w:val="007417CF"/>
    <w:rsid w:val="007418E0"/>
    <w:rsid w:val="00754F03"/>
    <w:rsid w:val="007570CB"/>
    <w:rsid w:val="00762728"/>
    <w:rsid w:val="00763262"/>
    <w:rsid w:val="0076370A"/>
    <w:rsid w:val="00765F4E"/>
    <w:rsid w:val="00772673"/>
    <w:rsid w:val="00773F09"/>
    <w:rsid w:val="00774608"/>
    <w:rsid w:val="007760AE"/>
    <w:rsid w:val="00776F26"/>
    <w:rsid w:val="00782073"/>
    <w:rsid w:val="00785179"/>
    <w:rsid w:val="00790B01"/>
    <w:rsid w:val="00791486"/>
    <w:rsid w:val="00792741"/>
    <w:rsid w:val="00794363"/>
    <w:rsid w:val="00796547"/>
    <w:rsid w:val="00797E37"/>
    <w:rsid w:val="007A3834"/>
    <w:rsid w:val="007A4BAD"/>
    <w:rsid w:val="007A5824"/>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A5F"/>
    <w:rsid w:val="008A2CAA"/>
    <w:rsid w:val="008A4CF7"/>
    <w:rsid w:val="008A6A9C"/>
    <w:rsid w:val="008B1707"/>
    <w:rsid w:val="008B1E6D"/>
    <w:rsid w:val="008B32BE"/>
    <w:rsid w:val="008B6DBF"/>
    <w:rsid w:val="008C2C3C"/>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30BC1"/>
    <w:rsid w:val="00931126"/>
    <w:rsid w:val="00944B4F"/>
    <w:rsid w:val="0095153B"/>
    <w:rsid w:val="00953DB4"/>
    <w:rsid w:val="00961216"/>
    <w:rsid w:val="0096299E"/>
    <w:rsid w:val="00965163"/>
    <w:rsid w:val="009660B3"/>
    <w:rsid w:val="009674B4"/>
    <w:rsid w:val="00970294"/>
    <w:rsid w:val="009750B7"/>
    <w:rsid w:val="009801E4"/>
    <w:rsid w:val="00984C53"/>
    <w:rsid w:val="00990C6F"/>
    <w:rsid w:val="00996F92"/>
    <w:rsid w:val="009A205F"/>
    <w:rsid w:val="009A2769"/>
    <w:rsid w:val="009A3A8A"/>
    <w:rsid w:val="009A5280"/>
    <w:rsid w:val="009B2B2B"/>
    <w:rsid w:val="009C0E61"/>
    <w:rsid w:val="009C1063"/>
    <w:rsid w:val="009D0EEB"/>
    <w:rsid w:val="009D1867"/>
    <w:rsid w:val="009D3F74"/>
    <w:rsid w:val="009D664A"/>
    <w:rsid w:val="009E1925"/>
    <w:rsid w:val="009E3005"/>
    <w:rsid w:val="009E4032"/>
    <w:rsid w:val="009E4BD5"/>
    <w:rsid w:val="009F3563"/>
    <w:rsid w:val="009F5937"/>
    <w:rsid w:val="00A028B9"/>
    <w:rsid w:val="00A03537"/>
    <w:rsid w:val="00A03BBB"/>
    <w:rsid w:val="00A05663"/>
    <w:rsid w:val="00A062BD"/>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2DF6"/>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65DA"/>
    <w:rsid w:val="00B10250"/>
    <w:rsid w:val="00B12082"/>
    <w:rsid w:val="00B14CE3"/>
    <w:rsid w:val="00B15F16"/>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3212"/>
    <w:rsid w:val="00B8450C"/>
    <w:rsid w:val="00B8462E"/>
    <w:rsid w:val="00B84D1B"/>
    <w:rsid w:val="00B855EA"/>
    <w:rsid w:val="00B869E2"/>
    <w:rsid w:val="00BA5F9D"/>
    <w:rsid w:val="00BB27CA"/>
    <w:rsid w:val="00BB3BD2"/>
    <w:rsid w:val="00BB55C0"/>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639FC"/>
    <w:rsid w:val="00C66442"/>
    <w:rsid w:val="00C77AA4"/>
    <w:rsid w:val="00C92504"/>
    <w:rsid w:val="00C92E38"/>
    <w:rsid w:val="00C94FAA"/>
    <w:rsid w:val="00CA2232"/>
    <w:rsid w:val="00CB055F"/>
    <w:rsid w:val="00CB05C8"/>
    <w:rsid w:val="00CB21EC"/>
    <w:rsid w:val="00CB3A44"/>
    <w:rsid w:val="00CC289A"/>
    <w:rsid w:val="00CC5A17"/>
    <w:rsid w:val="00CC5F3B"/>
    <w:rsid w:val="00CD6E99"/>
    <w:rsid w:val="00CD7C5C"/>
    <w:rsid w:val="00CE08CE"/>
    <w:rsid w:val="00CE718A"/>
    <w:rsid w:val="00CE7BB5"/>
    <w:rsid w:val="00CF26AE"/>
    <w:rsid w:val="00CF3217"/>
    <w:rsid w:val="00D01031"/>
    <w:rsid w:val="00D068A7"/>
    <w:rsid w:val="00D07E75"/>
    <w:rsid w:val="00D12FA1"/>
    <w:rsid w:val="00D14BAE"/>
    <w:rsid w:val="00D15EC7"/>
    <w:rsid w:val="00D224CC"/>
    <w:rsid w:val="00D25594"/>
    <w:rsid w:val="00D27E45"/>
    <w:rsid w:val="00D30672"/>
    <w:rsid w:val="00D30B74"/>
    <w:rsid w:val="00D40AE4"/>
    <w:rsid w:val="00D44D1C"/>
    <w:rsid w:val="00D46A93"/>
    <w:rsid w:val="00D4763E"/>
    <w:rsid w:val="00D60382"/>
    <w:rsid w:val="00D71FF6"/>
    <w:rsid w:val="00D820EB"/>
    <w:rsid w:val="00D82174"/>
    <w:rsid w:val="00D8345C"/>
    <w:rsid w:val="00DB27A9"/>
    <w:rsid w:val="00DB293A"/>
    <w:rsid w:val="00DB41D2"/>
    <w:rsid w:val="00DB4566"/>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0901"/>
    <w:rsid w:val="00E2252B"/>
    <w:rsid w:val="00E225AC"/>
    <w:rsid w:val="00E24DC2"/>
    <w:rsid w:val="00E26241"/>
    <w:rsid w:val="00E26DB3"/>
    <w:rsid w:val="00E30992"/>
    <w:rsid w:val="00E32D1F"/>
    <w:rsid w:val="00E343C3"/>
    <w:rsid w:val="00E37F80"/>
    <w:rsid w:val="00E40104"/>
    <w:rsid w:val="00E41A5C"/>
    <w:rsid w:val="00E4560A"/>
    <w:rsid w:val="00E52A17"/>
    <w:rsid w:val="00E52E24"/>
    <w:rsid w:val="00E54E88"/>
    <w:rsid w:val="00E62E93"/>
    <w:rsid w:val="00E643D8"/>
    <w:rsid w:val="00E6596F"/>
    <w:rsid w:val="00E6702F"/>
    <w:rsid w:val="00E81203"/>
    <w:rsid w:val="00E81537"/>
    <w:rsid w:val="00E82E2E"/>
    <w:rsid w:val="00E84D02"/>
    <w:rsid w:val="00E85B18"/>
    <w:rsid w:val="00E86900"/>
    <w:rsid w:val="00E947A6"/>
    <w:rsid w:val="00E9733C"/>
    <w:rsid w:val="00EA5644"/>
    <w:rsid w:val="00EB537F"/>
    <w:rsid w:val="00EB5AC5"/>
    <w:rsid w:val="00EB7741"/>
    <w:rsid w:val="00EC23C9"/>
    <w:rsid w:val="00EC6140"/>
    <w:rsid w:val="00EE0046"/>
    <w:rsid w:val="00EE549F"/>
    <w:rsid w:val="00EE5D39"/>
    <w:rsid w:val="00EF13CA"/>
    <w:rsid w:val="00F1016F"/>
    <w:rsid w:val="00F106AB"/>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1E60"/>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55AB"/>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644</Words>
  <Characters>3545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22</cp:revision>
  <cp:lastPrinted>2012-11-26T10:50:00Z</cp:lastPrinted>
  <dcterms:created xsi:type="dcterms:W3CDTF">2026-02-11T14:05:00Z</dcterms:created>
  <dcterms:modified xsi:type="dcterms:W3CDTF">2026-02-11T17:03:00Z</dcterms:modified>
</cp:coreProperties>
</file>