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2F237C" w:rsidRDefault="002F237C" w:rsidP="008864AD">
      <w:pPr>
        <w:ind w:left="993" w:hanging="993"/>
        <w:jc w:val="center"/>
        <w:rPr>
          <w:rFonts w:ascii="Palatino" w:hAnsi="Palatino" w:cs="Times"/>
          <w:b/>
          <w:bCs/>
          <w:shadow/>
          <w:color w:val="FF9900"/>
          <w:sz w:val="26"/>
          <w:szCs w:val="26"/>
        </w:rPr>
      </w:pPr>
    </w:p>
    <w:p w:rsidR="007C2F91" w:rsidRDefault="007C2F91" w:rsidP="007C2F91">
      <w:pPr>
        <w:jc w:val="both"/>
        <w:rPr>
          <w:rFonts w:ascii="Book Antiqua" w:eastAsiaTheme="majorEastAsia" w:hAnsi="Book Antiqua" w:cstheme="majorBidi"/>
          <w:b/>
          <w:bCs/>
          <w:spacing w:val="5"/>
          <w:kern w:val="28"/>
          <w:lang w:val="fr-MA"/>
        </w:rPr>
      </w:pPr>
    </w:p>
    <w:p w:rsidR="007135A9" w:rsidRPr="000E5127" w:rsidRDefault="007135A9" w:rsidP="007135A9">
      <w:pPr>
        <w:spacing w:line="360" w:lineRule="auto"/>
        <w:ind w:left="992" w:hanging="992"/>
        <w:jc w:val="center"/>
        <w:rPr>
          <w:rFonts w:ascii="Palatino" w:hAnsi="Palatino" w:cs="Times"/>
          <w:b/>
          <w:bCs/>
          <w:shadow/>
          <w:color w:val="FF9900"/>
          <w:sz w:val="28"/>
          <w:szCs w:val="28"/>
        </w:rPr>
      </w:pPr>
      <w:r w:rsidRPr="000E5127">
        <w:rPr>
          <w:rFonts w:ascii="Palatino" w:hAnsi="Palatino" w:cs="Times" w:hint="cs"/>
          <w:b/>
          <w:bCs/>
          <w:shadow/>
          <w:color w:val="FF9900"/>
          <w:sz w:val="28"/>
          <w:szCs w:val="28"/>
          <w:rtl/>
        </w:rPr>
        <w:t>بــــــل</w:t>
      </w:r>
      <w:r w:rsidRPr="000E5127">
        <w:rPr>
          <w:rFonts w:ascii="Palatino" w:hAnsi="Palatino" w:cs="Times"/>
          <w:b/>
          <w:bCs/>
          <w:shadow/>
          <w:color w:val="FF9900"/>
          <w:sz w:val="28"/>
          <w:szCs w:val="28"/>
          <w:rtl/>
        </w:rPr>
        <w:t>اغ</w:t>
      </w:r>
    </w:p>
    <w:p w:rsidR="007135A9" w:rsidRPr="007135A9" w:rsidRDefault="007135A9" w:rsidP="007135A9">
      <w:pPr>
        <w:jc w:val="center"/>
        <w:rPr>
          <w:rFonts w:ascii="Garamond" w:hAnsi="Garamond"/>
          <w:bCs/>
          <w:shadow/>
          <w:color w:val="8064A2" w:themeColor="accent4"/>
          <w:sz w:val="28"/>
          <w:szCs w:val="28"/>
          <w:lang w:val="fr-MA"/>
        </w:rPr>
      </w:pPr>
      <w:r w:rsidRPr="007135A9">
        <w:rPr>
          <w:rFonts w:ascii="Garamond" w:hAnsi="Garamond"/>
          <w:bCs/>
          <w:shadow/>
          <w:color w:val="8064A2" w:themeColor="accent4"/>
          <w:sz w:val="28"/>
          <w:szCs w:val="28"/>
          <w:rtl/>
          <w:lang w:val="fr-MA"/>
        </w:rPr>
        <w:t>الماء، الطاقة، الغذاء: تنوير اختيارات الغد</w:t>
      </w:r>
    </w:p>
    <w:p w:rsidR="007135A9" w:rsidRDefault="007135A9" w:rsidP="007C2F91">
      <w:pPr>
        <w:jc w:val="both"/>
        <w:rPr>
          <w:rFonts w:ascii="Book Antiqua" w:eastAsiaTheme="majorEastAsia" w:hAnsi="Book Antiqua" w:cstheme="majorBidi" w:hint="cs"/>
          <w:b/>
          <w:bCs/>
          <w:spacing w:val="5"/>
          <w:kern w:val="28"/>
          <w:rtl/>
          <w:lang w:val="fr-MA"/>
        </w:rPr>
      </w:pPr>
    </w:p>
    <w:p w:rsidR="007135A9" w:rsidRPr="007135A9" w:rsidRDefault="007135A9" w:rsidP="007135A9">
      <w:pPr>
        <w:bidi/>
        <w:spacing w:before="240" w:after="240"/>
        <w:jc w:val="both"/>
        <w:rPr>
          <w:color w:val="595959" w:themeColor="text1" w:themeTint="A6"/>
          <w:sz w:val="25"/>
          <w:szCs w:val="25"/>
        </w:rPr>
      </w:pPr>
      <w:r w:rsidRPr="007135A9">
        <w:rPr>
          <w:color w:val="595959" w:themeColor="text1" w:themeTint="A6"/>
          <w:sz w:val="25"/>
          <w:szCs w:val="25"/>
          <w:rtl/>
        </w:rPr>
        <w:t xml:space="preserve">تطلق المندوبية السامية للتخطيط دراسة استشرافية وطنية في أفق 2040 لدعم القرارات العمومية وتعزيز أمن </w:t>
      </w:r>
      <w:r w:rsidRPr="007135A9">
        <w:rPr>
          <w:rFonts w:hint="cs"/>
          <w:color w:val="595959" w:themeColor="text1" w:themeTint="A6"/>
          <w:sz w:val="25"/>
          <w:szCs w:val="25"/>
          <w:rtl/>
        </w:rPr>
        <w:t>الموارد:</w:t>
      </w:r>
    </w:p>
    <w:p w:rsidR="007135A9" w:rsidRPr="007135A9" w:rsidRDefault="007135A9" w:rsidP="00146C82">
      <w:pPr>
        <w:numPr>
          <w:ilvl w:val="0"/>
          <w:numId w:val="6"/>
        </w:numPr>
        <w:bidi/>
        <w:spacing w:before="240" w:line="276" w:lineRule="auto"/>
        <w:ind w:right="720"/>
        <w:jc w:val="both"/>
        <w:rPr>
          <w:color w:val="595959" w:themeColor="text1" w:themeTint="A6"/>
          <w:sz w:val="25"/>
          <w:szCs w:val="25"/>
        </w:rPr>
      </w:pPr>
      <w:r w:rsidRPr="007135A9">
        <w:rPr>
          <w:rFonts w:hint="cs"/>
          <w:b/>
          <w:bCs/>
          <w:color w:val="595959" w:themeColor="text1" w:themeTint="A6"/>
          <w:sz w:val="25"/>
          <w:szCs w:val="25"/>
          <w:rtl/>
        </w:rPr>
        <w:t>تعاون</w:t>
      </w:r>
      <w:r w:rsidRPr="007135A9">
        <w:rPr>
          <w:b/>
          <w:bCs/>
          <w:color w:val="595959" w:themeColor="text1" w:themeTint="A6"/>
          <w:sz w:val="25"/>
          <w:szCs w:val="25"/>
          <w:rtl/>
        </w:rPr>
        <w:t xml:space="preserve"> مؤسساتي </w:t>
      </w:r>
      <w:r w:rsidRPr="007135A9">
        <w:rPr>
          <w:rFonts w:hint="cs"/>
          <w:b/>
          <w:bCs/>
          <w:color w:val="595959" w:themeColor="text1" w:themeTint="A6"/>
          <w:sz w:val="25"/>
          <w:szCs w:val="25"/>
          <w:rtl/>
        </w:rPr>
        <w:t>هادف</w:t>
      </w:r>
      <w:r w:rsidRPr="007135A9">
        <w:rPr>
          <w:b/>
          <w:bCs/>
          <w:color w:val="595959" w:themeColor="text1" w:themeTint="A6"/>
          <w:sz w:val="25"/>
          <w:szCs w:val="25"/>
          <w:rtl/>
        </w:rPr>
        <w:t>:</w:t>
      </w:r>
      <w:r w:rsidRPr="007135A9">
        <w:rPr>
          <w:b/>
          <w:bCs/>
          <w:color w:val="595959" w:themeColor="text1" w:themeTint="A6"/>
          <w:sz w:val="25"/>
          <w:szCs w:val="25"/>
        </w:rPr>
        <w:t xml:space="preserve"> </w:t>
      </w:r>
      <w:r w:rsidRPr="007135A9">
        <w:rPr>
          <w:color w:val="595959" w:themeColor="text1" w:themeTint="A6"/>
          <w:sz w:val="25"/>
          <w:szCs w:val="25"/>
          <w:rtl/>
        </w:rPr>
        <w:t>تحلل</w:t>
      </w:r>
      <w:r w:rsidRPr="007135A9">
        <w:rPr>
          <w:color w:val="595959" w:themeColor="text1" w:themeTint="A6"/>
          <w:sz w:val="25"/>
          <w:szCs w:val="25"/>
        </w:rPr>
        <w:t xml:space="preserve"> </w:t>
      </w:r>
      <w:r w:rsidRPr="007135A9">
        <w:rPr>
          <w:color w:val="595959" w:themeColor="text1" w:themeTint="A6"/>
          <w:sz w:val="25"/>
          <w:szCs w:val="25"/>
          <w:rtl/>
        </w:rPr>
        <w:t>القطاعات الرئيسية إلى جانب المندوبية السامية للتخطيط الترابطات بين الماء</w:t>
      </w:r>
      <w:r w:rsidRPr="007135A9">
        <w:rPr>
          <w:rFonts w:hint="cs"/>
          <w:color w:val="595959" w:themeColor="text1" w:themeTint="A6"/>
          <w:sz w:val="25"/>
          <w:szCs w:val="25"/>
          <w:rtl/>
        </w:rPr>
        <w:t> </w:t>
      </w:r>
      <w:r w:rsidRPr="007135A9">
        <w:rPr>
          <w:rFonts w:hint="cs"/>
          <w:color w:val="595959" w:themeColor="text1" w:themeTint="A6"/>
          <w:sz w:val="25"/>
          <w:szCs w:val="25"/>
          <w:rtl/>
          <w:lang w:bidi="ar-EG"/>
        </w:rPr>
        <w:t>و</w:t>
      </w:r>
      <w:r w:rsidRPr="007135A9">
        <w:rPr>
          <w:color w:val="595959" w:themeColor="text1" w:themeTint="A6"/>
          <w:sz w:val="25"/>
          <w:szCs w:val="25"/>
          <w:rtl/>
        </w:rPr>
        <w:t>الطاقة والغذاء،</w:t>
      </w:r>
      <w:r w:rsidRPr="007135A9">
        <w:rPr>
          <w:color w:val="595959" w:themeColor="text1" w:themeTint="A6"/>
          <w:sz w:val="25"/>
          <w:szCs w:val="25"/>
        </w:rPr>
        <w:t xml:space="preserve"> </w:t>
      </w:r>
      <w:r w:rsidRPr="007135A9">
        <w:rPr>
          <w:color w:val="595959" w:themeColor="text1" w:themeTint="A6"/>
          <w:sz w:val="25"/>
          <w:szCs w:val="25"/>
          <w:rtl/>
        </w:rPr>
        <w:t>بشكل مشترك،</w:t>
      </w:r>
      <w:r w:rsidRPr="007135A9">
        <w:rPr>
          <w:color w:val="595959" w:themeColor="text1" w:themeTint="A6"/>
          <w:sz w:val="25"/>
          <w:szCs w:val="25"/>
        </w:rPr>
        <w:t xml:space="preserve"> </w:t>
      </w:r>
      <w:r w:rsidRPr="007135A9">
        <w:rPr>
          <w:color w:val="595959" w:themeColor="text1" w:themeTint="A6"/>
          <w:sz w:val="25"/>
          <w:szCs w:val="25"/>
          <w:rtl/>
        </w:rPr>
        <w:t>بعيداً عن المقاربات القطاعية.</w:t>
      </w:r>
    </w:p>
    <w:p w:rsidR="007135A9" w:rsidRPr="007135A9" w:rsidRDefault="007135A9" w:rsidP="007135A9">
      <w:pPr>
        <w:numPr>
          <w:ilvl w:val="0"/>
          <w:numId w:val="6"/>
        </w:numPr>
        <w:bidi/>
        <w:spacing w:line="276" w:lineRule="auto"/>
        <w:ind w:right="720"/>
        <w:jc w:val="both"/>
        <w:rPr>
          <w:rFonts w:ascii="Book Antiqua" w:eastAsiaTheme="majorEastAsia" w:hAnsi="Book Antiqua" w:cstheme="majorBidi" w:hint="cs"/>
          <w:b/>
          <w:bCs/>
          <w:color w:val="595959" w:themeColor="text1" w:themeTint="A6"/>
          <w:spacing w:val="5"/>
          <w:kern w:val="28"/>
          <w:sz w:val="25"/>
          <w:szCs w:val="25"/>
          <w:lang w:val="fr-MA"/>
        </w:rPr>
      </w:pPr>
      <w:r w:rsidRPr="007135A9">
        <w:rPr>
          <w:b/>
          <w:bCs/>
          <w:color w:val="595959" w:themeColor="text1" w:themeTint="A6"/>
          <w:sz w:val="25"/>
          <w:szCs w:val="25"/>
          <w:rtl/>
        </w:rPr>
        <w:t>أداة للمساعدة على اتخاذ القرار الاستراتيجي:</w:t>
      </w:r>
      <w:r w:rsidRPr="007135A9">
        <w:rPr>
          <w:color w:val="595959" w:themeColor="text1" w:themeTint="A6"/>
          <w:sz w:val="25"/>
          <w:szCs w:val="25"/>
          <w:rtl/>
        </w:rPr>
        <w:t xml:space="preserve"> ستجمع الدراسة بين الاستشراف والنمذجة</w:t>
      </w:r>
      <w:r w:rsidRPr="007135A9">
        <w:rPr>
          <w:color w:val="595959" w:themeColor="text1" w:themeTint="A6"/>
          <w:sz w:val="25"/>
          <w:szCs w:val="25"/>
        </w:rPr>
        <w:t xml:space="preserve"> </w:t>
      </w:r>
      <w:r w:rsidRPr="007135A9">
        <w:rPr>
          <w:color w:val="595959" w:themeColor="text1" w:themeTint="A6"/>
          <w:sz w:val="25"/>
          <w:szCs w:val="25"/>
          <w:rtl/>
        </w:rPr>
        <w:t xml:space="preserve">لتنوير </w:t>
      </w:r>
      <w:r w:rsidRPr="007135A9">
        <w:rPr>
          <w:rFonts w:hint="cs"/>
          <w:color w:val="595959" w:themeColor="text1" w:themeTint="A6"/>
          <w:sz w:val="25"/>
          <w:szCs w:val="25"/>
          <w:rtl/>
        </w:rPr>
        <w:t>الاختيارات</w:t>
      </w:r>
      <w:r w:rsidRPr="007135A9">
        <w:rPr>
          <w:color w:val="595959" w:themeColor="text1" w:themeTint="A6"/>
          <w:sz w:val="25"/>
          <w:szCs w:val="25"/>
          <w:rtl/>
        </w:rPr>
        <w:t xml:space="preserve"> العمومية على المدى الطويل وقياس </w:t>
      </w:r>
      <w:r w:rsidRPr="007135A9">
        <w:rPr>
          <w:rFonts w:hint="cs"/>
          <w:color w:val="595959" w:themeColor="text1" w:themeTint="A6"/>
          <w:sz w:val="25"/>
          <w:szCs w:val="25"/>
          <w:rtl/>
        </w:rPr>
        <w:t>أ</w:t>
      </w:r>
      <w:r w:rsidRPr="007135A9">
        <w:rPr>
          <w:color w:val="595959" w:themeColor="text1" w:themeTint="A6"/>
          <w:sz w:val="25"/>
          <w:szCs w:val="25"/>
          <w:rtl/>
        </w:rPr>
        <w:t>ثرها الاقتصادي</w:t>
      </w:r>
      <w:r w:rsidRPr="007135A9">
        <w:rPr>
          <w:color w:val="595959" w:themeColor="text1" w:themeTint="A6"/>
          <w:sz w:val="25"/>
          <w:szCs w:val="25"/>
        </w:rPr>
        <w:t xml:space="preserve"> </w:t>
      </w:r>
      <w:r w:rsidRPr="007135A9">
        <w:rPr>
          <w:rFonts w:hint="cs"/>
          <w:color w:val="595959" w:themeColor="text1" w:themeTint="A6"/>
          <w:sz w:val="25"/>
          <w:szCs w:val="25"/>
          <w:rtl/>
        </w:rPr>
        <w:t>و</w:t>
      </w:r>
      <w:r w:rsidRPr="007135A9">
        <w:rPr>
          <w:color w:val="595959" w:themeColor="text1" w:themeTint="A6"/>
          <w:sz w:val="25"/>
          <w:szCs w:val="25"/>
          <w:rtl/>
        </w:rPr>
        <w:t>الاجتماعي</w:t>
      </w:r>
      <w:r w:rsidRPr="007135A9">
        <w:rPr>
          <w:color w:val="595959" w:themeColor="text1" w:themeTint="A6"/>
          <w:sz w:val="25"/>
          <w:szCs w:val="25"/>
        </w:rPr>
        <w:t xml:space="preserve"> </w:t>
      </w:r>
      <w:r w:rsidRPr="007135A9">
        <w:rPr>
          <w:color w:val="595959" w:themeColor="text1" w:themeTint="A6"/>
          <w:sz w:val="25"/>
          <w:szCs w:val="25"/>
          <w:rtl/>
        </w:rPr>
        <w:t>وال</w:t>
      </w:r>
      <w:r w:rsidRPr="007135A9">
        <w:rPr>
          <w:rFonts w:hint="cs"/>
          <w:color w:val="595959" w:themeColor="text1" w:themeTint="A6"/>
          <w:sz w:val="25"/>
          <w:szCs w:val="25"/>
          <w:rtl/>
        </w:rPr>
        <w:t>ترابي</w:t>
      </w:r>
      <w:r w:rsidRPr="007135A9">
        <w:rPr>
          <w:color w:val="595959" w:themeColor="text1" w:themeTint="A6"/>
          <w:sz w:val="25"/>
          <w:szCs w:val="25"/>
          <w:rtl/>
        </w:rPr>
        <w:t>.</w:t>
      </w:r>
    </w:p>
    <w:p w:rsidR="007135A9" w:rsidRPr="007135A9" w:rsidRDefault="007135A9" w:rsidP="007135A9">
      <w:pPr>
        <w:numPr>
          <w:ilvl w:val="0"/>
          <w:numId w:val="6"/>
        </w:numPr>
        <w:bidi/>
        <w:spacing w:line="276" w:lineRule="auto"/>
        <w:ind w:right="720"/>
        <w:jc w:val="both"/>
        <w:rPr>
          <w:rFonts w:ascii="Book Antiqua" w:eastAsiaTheme="majorEastAsia" w:hAnsi="Book Antiqua" w:cstheme="majorBidi" w:hint="cs"/>
          <w:b/>
          <w:bCs/>
          <w:color w:val="595959" w:themeColor="text1" w:themeTint="A6"/>
          <w:spacing w:val="5"/>
          <w:kern w:val="28"/>
          <w:rtl/>
          <w:lang w:val="fr-MA"/>
        </w:rPr>
      </w:pPr>
      <w:r w:rsidRPr="007135A9">
        <w:rPr>
          <w:b/>
          <w:bCs/>
          <w:color w:val="595959" w:themeColor="text1" w:themeTint="A6"/>
          <w:sz w:val="25"/>
          <w:szCs w:val="25"/>
          <w:rtl/>
        </w:rPr>
        <w:t xml:space="preserve">رهان ملموس </w:t>
      </w:r>
      <w:r w:rsidRPr="007135A9">
        <w:rPr>
          <w:rFonts w:hint="cs"/>
          <w:b/>
          <w:bCs/>
          <w:color w:val="595959" w:themeColor="text1" w:themeTint="A6"/>
          <w:sz w:val="25"/>
          <w:szCs w:val="25"/>
          <w:rtl/>
        </w:rPr>
        <w:t>يهم مصلحة ا</w:t>
      </w:r>
      <w:r w:rsidRPr="007135A9">
        <w:rPr>
          <w:b/>
          <w:bCs/>
          <w:color w:val="595959" w:themeColor="text1" w:themeTint="A6"/>
          <w:sz w:val="25"/>
          <w:szCs w:val="25"/>
          <w:rtl/>
        </w:rPr>
        <w:t>لمواطن:</w:t>
      </w:r>
      <w:r w:rsidRPr="007135A9">
        <w:rPr>
          <w:color w:val="595959" w:themeColor="text1" w:themeTint="A6"/>
          <w:sz w:val="25"/>
          <w:szCs w:val="25"/>
          <w:rtl/>
        </w:rPr>
        <w:t xml:space="preserve"> تأمين الولوج إلى الموارد الحيوية، وتعزيز القدرة على الصمود أمام الصدمات المناخية والاقتصادية، وتحسين رفاه المغاربة.</w:t>
      </w:r>
    </w:p>
    <w:p w:rsidR="007135A9" w:rsidRDefault="007135A9" w:rsidP="007C2F91">
      <w:pPr>
        <w:jc w:val="both"/>
        <w:rPr>
          <w:rFonts w:ascii="Book Antiqua" w:eastAsiaTheme="majorEastAsia" w:hAnsi="Book Antiqua" w:cstheme="majorBidi" w:hint="cs"/>
          <w:b/>
          <w:bCs/>
          <w:spacing w:val="5"/>
          <w:kern w:val="28"/>
          <w:rtl/>
          <w:lang w:val="fr-MA"/>
        </w:rPr>
      </w:pPr>
    </w:p>
    <w:p w:rsidR="007135A9" w:rsidRDefault="007135A9" w:rsidP="00D21605">
      <w:pPr>
        <w:bidi/>
        <w:jc w:val="both"/>
        <w:rPr>
          <w:color w:val="595959" w:themeColor="text1" w:themeTint="A6"/>
          <w:sz w:val="25"/>
          <w:szCs w:val="25"/>
        </w:rPr>
      </w:pPr>
      <w:r w:rsidRPr="007135A9">
        <w:rPr>
          <w:color w:val="595959" w:themeColor="text1" w:themeTint="A6"/>
          <w:sz w:val="25"/>
          <w:szCs w:val="25"/>
          <w:rtl/>
        </w:rPr>
        <w:t xml:space="preserve">الرباط، 11 فبراير 2026 – في ظل التحديات المرتبطة بالموارد المائية، ومتطلبات الانتقال الطاقي، وإكراهات الأمن الغذائي، والضغط الديمغرافي، احتضنت المندوبية السامية للتخطيط اجتماع لجنة </w:t>
      </w:r>
      <w:r w:rsidRPr="007135A9">
        <w:rPr>
          <w:rFonts w:hint="cs"/>
          <w:color w:val="595959" w:themeColor="text1" w:themeTint="A6"/>
          <w:sz w:val="25"/>
          <w:szCs w:val="25"/>
          <w:rtl/>
          <w:lang w:bidi="ar-MA"/>
        </w:rPr>
        <w:t>ال</w:t>
      </w:r>
      <w:r w:rsidRPr="007135A9">
        <w:rPr>
          <w:color w:val="595959" w:themeColor="text1" w:themeTint="A6"/>
          <w:sz w:val="25"/>
          <w:szCs w:val="25"/>
          <w:rtl/>
        </w:rPr>
        <w:t xml:space="preserve">قيادة </w:t>
      </w:r>
      <w:r w:rsidRPr="007135A9">
        <w:rPr>
          <w:rFonts w:hint="cs"/>
          <w:color w:val="595959" w:themeColor="text1" w:themeTint="A6"/>
          <w:sz w:val="25"/>
          <w:szCs w:val="25"/>
          <w:rtl/>
        </w:rPr>
        <w:t>ل</w:t>
      </w:r>
      <w:r w:rsidRPr="007135A9">
        <w:rPr>
          <w:color w:val="595959" w:themeColor="text1" w:themeTint="A6"/>
          <w:sz w:val="25"/>
          <w:szCs w:val="25"/>
          <w:rtl/>
        </w:rPr>
        <w:t xml:space="preserve">إطلاق الدراسة الاستشرافية حول ترابط الماء–الطاقة–الغذاء في أفق 2040، وذلك بشراكة مع وزارة الداخلية، </w:t>
      </w:r>
      <w:r w:rsidRPr="007135A9">
        <w:rPr>
          <w:rFonts w:hint="cs"/>
          <w:color w:val="595959" w:themeColor="text1" w:themeTint="A6"/>
          <w:sz w:val="25"/>
          <w:szCs w:val="25"/>
          <w:rtl/>
        </w:rPr>
        <w:t>و</w:t>
      </w:r>
      <w:r w:rsidRPr="007135A9">
        <w:rPr>
          <w:color w:val="595959" w:themeColor="text1" w:themeTint="A6"/>
          <w:sz w:val="25"/>
          <w:szCs w:val="25"/>
          <w:rtl/>
        </w:rPr>
        <w:t xml:space="preserve">وزارة الاقتصاد والمالية، </w:t>
      </w:r>
      <w:r w:rsidRPr="007135A9">
        <w:rPr>
          <w:rFonts w:hint="cs"/>
          <w:color w:val="595959" w:themeColor="text1" w:themeTint="A6"/>
          <w:sz w:val="25"/>
          <w:szCs w:val="25"/>
          <w:rtl/>
        </w:rPr>
        <w:t>و</w:t>
      </w:r>
      <w:r w:rsidRPr="007135A9">
        <w:rPr>
          <w:color w:val="595959" w:themeColor="text1" w:themeTint="A6"/>
          <w:sz w:val="25"/>
          <w:szCs w:val="25"/>
          <w:rtl/>
        </w:rPr>
        <w:t xml:space="preserve">وزارة التجهيز والماء، </w:t>
      </w:r>
      <w:r w:rsidRPr="007135A9">
        <w:rPr>
          <w:rFonts w:hint="cs"/>
          <w:color w:val="595959" w:themeColor="text1" w:themeTint="A6"/>
          <w:sz w:val="25"/>
          <w:szCs w:val="25"/>
          <w:rtl/>
        </w:rPr>
        <w:t>و</w:t>
      </w:r>
      <w:r w:rsidRPr="007135A9">
        <w:rPr>
          <w:color w:val="595959" w:themeColor="text1" w:themeTint="A6"/>
          <w:sz w:val="25"/>
          <w:szCs w:val="25"/>
          <w:rtl/>
        </w:rPr>
        <w:t xml:space="preserve">وزارة الفلاحة والصيد البحري والتنمية القروية والمياه والغابات، </w:t>
      </w:r>
      <w:r w:rsidRPr="007135A9">
        <w:rPr>
          <w:rFonts w:hint="cs"/>
          <w:color w:val="595959" w:themeColor="text1" w:themeTint="A6"/>
          <w:sz w:val="25"/>
          <w:szCs w:val="25"/>
          <w:rtl/>
        </w:rPr>
        <w:t>و</w:t>
      </w:r>
      <w:r w:rsidRPr="007135A9">
        <w:rPr>
          <w:color w:val="595959" w:themeColor="text1" w:themeTint="A6"/>
          <w:sz w:val="25"/>
          <w:szCs w:val="25"/>
          <w:rtl/>
        </w:rPr>
        <w:t>وزارة الانتقال الطاقي والتنمية المستدامة، وبنك المغرب.</w:t>
      </w:r>
    </w:p>
    <w:p w:rsidR="00146C82" w:rsidRPr="007135A9" w:rsidRDefault="00146C82" w:rsidP="00146C82">
      <w:pPr>
        <w:bidi/>
        <w:jc w:val="both"/>
        <w:rPr>
          <w:color w:val="595959" w:themeColor="text1" w:themeTint="A6"/>
          <w:sz w:val="25"/>
          <w:szCs w:val="25"/>
        </w:rPr>
      </w:pPr>
    </w:p>
    <w:p w:rsidR="007135A9" w:rsidRDefault="007135A9" w:rsidP="00146C82">
      <w:pPr>
        <w:bidi/>
        <w:jc w:val="both"/>
        <w:rPr>
          <w:color w:val="595959" w:themeColor="text1" w:themeTint="A6"/>
          <w:sz w:val="25"/>
          <w:szCs w:val="25"/>
        </w:rPr>
      </w:pPr>
      <w:r w:rsidRPr="007135A9">
        <w:rPr>
          <w:color w:val="595959" w:themeColor="text1" w:themeTint="A6"/>
          <w:sz w:val="25"/>
          <w:szCs w:val="25"/>
          <w:rtl/>
        </w:rPr>
        <w:t xml:space="preserve">وتندرج هذه المبادرة في إطار التوجيهات السامية لصاحب الجلالة الملك محمد السادس نصره الله، الداعية إلى تعزيز </w:t>
      </w:r>
      <w:r w:rsidRPr="007135A9">
        <w:rPr>
          <w:rFonts w:hint="cs"/>
          <w:color w:val="595959" w:themeColor="text1" w:themeTint="A6"/>
          <w:sz w:val="25"/>
          <w:szCs w:val="25"/>
          <w:rtl/>
        </w:rPr>
        <w:t>انسجام السياسات</w:t>
      </w:r>
      <w:r w:rsidRPr="007135A9">
        <w:rPr>
          <w:color w:val="595959" w:themeColor="text1" w:themeTint="A6"/>
          <w:sz w:val="25"/>
          <w:szCs w:val="25"/>
          <w:rtl/>
        </w:rPr>
        <w:t xml:space="preserve"> التنم</w:t>
      </w:r>
      <w:r w:rsidRPr="007135A9">
        <w:rPr>
          <w:rFonts w:hint="cs"/>
          <w:color w:val="595959" w:themeColor="text1" w:themeTint="A6"/>
          <w:sz w:val="25"/>
          <w:szCs w:val="25"/>
          <w:rtl/>
        </w:rPr>
        <w:t>و</w:t>
      </w:r>
      <w:r w:rsidRPr="007135A9">
        <w:rPr>
          <w:color w:val="595959" w:themeColor="text1" w:themeTint="A6"/>
          <w:sz w:val="25"/>
          <w:szCs w:val="25"/>
          <w:rtl/>
        </w:rPr>
        <w:t>ية. كما ت</w:t>
      </w:r>
      <w:r w:rsidRPr="007135A9">
        <w:rPr>
          <w:rFonts w:hint="cs"/>
          <w:color w:val="595959" w:themeColor="text1" w:themeTint="A6"/>
          <w:sz w:val="25"/>
          <w:szCs w:val="25"/>
          <w:rtl/>
        </w:rPr>
        <w:t xml:space="preserve">عكس هذه الدراسة </w:t>
      </w:r>
      <w:r w:rsidRPr="007135A9">
        <w:rPr>
          <w:color w:val="595959" w:themeColor="text1" w:themeTint="A6"/>
          <w:sz w:val="25"/>
          <w:szCs w:val="25"/>
          <w:rtl/>
        </w:rPr>
        <w:t xml:space="preserve">روح النموذج التنموي الجديد، الذي </w:t>
      </w:r>
      <w:r w:rsidRPr="007135A9">
        <w:rPr>
          <w:rFonts w:hint="cs"/>
          <w:color w:val="595959" w:themeColor="text1" w:themeTint="A6"/>
          <w:sz w:val="25"/>
          <w:szCs w:val="25"/>
          <w:rtl/>
        </w:rPr>
        <w:t>أ</w:t>
      </w:r>
      <w:r w:rsidRPr="007135A9">
        <w:rPr>
          <w:color w:val="595959" w:themeColor="text1" w:themeTint="A6"/>
          <w:sz w:val="25"/>
          <w:szCs w:val="25"/>
          <w:rtl/>
        </w:rPr>
        <w:t>وصي باعتماد مقاربة نسقية وتجاوز منطق الاشتغال القطاعي المنعزل، من أجل بناء فعل عمومي أكثر نجاعة وموجهاً نحو تحقيق نتائج ملموسة لفائدة المواطن.</w:t>
      </w:r>
    </w:p>
    <w:p w:rsidR="00146C82" w:rsidRPr="007135A9" w:rsidRDefault="00146C82" w:rsidP="00146C82">
      <w:pPr>
        <w:bidi/>
        <w:jc w:val="both"/>
        <w:rPr>
          <w:color w:val="595959" w:themeColor="text1" w:themeTint="A6"/>
          <w:sz w:val="25"/>
          <w:szCs w:val="25"/>
        </w:rPr>
      </w:pPr>
    </w:p>
    <w:p w:rsidR="00D21605" w:rsidRPr="00D21605" w:rsidRDefault="00D21605" w:rsidP="00D21605">
      <w:pPr>
        <w:bidi/>
        <w:spacing w:line="336" w:lineRule="auto"/>
        <w:jc w:val="both"/>
        <w:rPr>
          <w:b/>
          <w:bCs/>
          <w:color w:val="595959" w:themeColor="text1" w:themeTint="A6"/>
          <w:sz w:val="25"/>
          <w:szCs w:val="25"/>
        </w:rPr>
      </w:pPr>
      <w:r w:rsidRPr="00D21605">
        <w:rPr>
          <w:b/>
          <w:bCs/>
          <w:color w:val="595959" w:themeColor="text1" w:themeTint="A6"/>
          <w:sz w:val="25"/>
          <w:szCs w:val="25"/>
          <w:rtl/>
        </w:rPr>
        <w:t>التفكير المشترك في موارد حيوية مترابطة</w:t>
      </w:r>
    </w:p>
    <w:p w:rsidR="00D21605" w:rsidRDefault="00D21605" w:rsidP="00D21605">
      <w:pPr>
        <w:bidi/>
        <w:jc w:val="both"/>
        <w:rPr>
          <w:color w:val="595959" w:themeColor="text1" w:themeTint="A6"/>
          <w:sz w:val="25"/>
          <w:szCs w:val="25"/>
        </w:rPr>
      </w:pPr>
      <w:r w:rsidRPr="00D21605">
        <w:rPr>
          <w:color w:val="595959" w:themeColor="text1" w:themeTint="A6"/>
          <w:sz w:val="25"/>
          <w:szCs w:val="25"/>
          <w:rtl/>
        </w:rPr>
        <w:t xml:space="preserve">يشكل الماء والطاقة والغذاء ركائز أساسية في الحياة اليومية للمغاربة وفي صمود الاقتصاد الوطني. فكل قرار في مجال الطاقة له انعكاسات مباشرة على الماء، وكل اختيار فلاحي يؤثر على الأمن </w:t>
      </w:r>
      <w:r w:rsidRPr="00D21605">
        <w:rPr>
          <w:rFonts w:hint="cs"/>
          <w:color w:val="595959" w:themeColor="text1" w:themeTint="A6"/>
          <w:sz w:val="25"/>
          <w:szCs w:val="25"/>
          <w:rtl/>
        </w:rPr>
        <w:t>الغذائي، و</w:t>
      </w:r>
      <w:r w:rsidRPr="00D21605">
        <w:rPr>
          <w:color w:val="595959" w:themeColor="text1" w:themeTint="A6"/>
          <w:sz w:val="25"/>
          <w:szCs w:val="25"/>
          <w:rtl/>
        </w:rPr>
        <w:t>استعمال الموارد المائية،</w:t>
      </w:r>
      <w:r w:rsidRPr="00D21605">
        <w:rPr>
          <w:rFonts w:hint="cs"/>
          <w:color w:val="595959" w:themeColor="text1" w:themeTint="A6"/>
          <w:sz w:val="25"/>
          <w:szCs w:val="25"/>
          <w:rtl/>
        </w:rPr>
        <w:t xml:space="preserve"> و</w:t>
      </w:r>
      <w:r w:rsidRPr="00D21605">
        <w:rPr>
          <w:color w:val="595959" w:themeColor="text1" w:themeTint="A6"/>
          <w:sz w:val="25"/>
          <w:szCs w:val="25"/>
          <w:rtl/>
        </w:rPr>
        <w:t>الطلب على الطاقة.</w:t>
      </w:r>
    </w:p>
    <w:p w:rsidR="00D21605" w:rsidRPr="00D21605" w:rsidRDefault="00D21605" w:rsidP="00D21605">
      <w:pPr>
        <w:bidi/>
        <w:jc w:val="both"/>
        <w:rPr>
          <w:color w:val="595959" w:themeColor="text1" w:themeTint="A6"/>
          <w:sz w:val="25"/>
          <w:szCs w:val="25"/>
        </w:rPr>
      </w:pPr>
    </w:p>
    <w:p w:rsidR="00D21605" w:rsidRDefault="00D21605" w:rsidP="00D21605">
      <w:pPr>
        <w:bidi/>
        <w:jc w:val="both"/>
        <w:rPr>
          <w:color w:val="595959" w:themeColor="text1" w:themeTint="A6"/>
          <w:sz w:val="25"/>
          <w:szCs w:val="25"/>
        </w:rPr>
      </w:pPr>
      <w:r w:rsidRPr="00D21605">
        <w:rPr>
          <w:color w:val="595959" w:themeColor="text1" w:themeTint="A6"/>
          <w:sz w:val="25"/>
          <w:szCs w:val="25"/>
          <w:rtl/>
        </w:rPr>
        <w:t xml:space="preserve">ولم يعد من الممكن معالجة هذه القضايا بشكل منفصل. إذ تروم </w:t>
      </w:r>
      <w:r w:rsidRPr="00D21605">
        <w:rPr>
          <w:rFonts w:hint="cs"/>
          <w:color w:val="595959" w:themeColor="text1" w:themeTint="A6"/>
          <w:sz w:val="25"/>
          <w:szCs w:val="25"/>
          <w:rtl/>
        </w:rPr>
        <w:t>الدراسة</w:t>
      </w:r>
      <w:r w:rsidRPr="00D21605">
        <w:rPr>
          <w:color w:val="595959" w:themeColor="text1" w:themeTint="A6"/>
          <w:sz w:val="25"/>
          <w:szCs w:val="25"/>
          <w:rtl/>
        </w:rPr>
        <w:t xml:space="preserve"> فهم هذه الترابطات العميقة وقياسها واستشرافها، بما يتيح تنوير</w:t>
      </w:r>
      <w:r w:rsidRPr="00D21605">
        <w:rPr>
          <w:rFonts w:hint="cs"/>
          <w:color w:val="595959" w:themeColor="text1" w:themeTint="A6"/>
          <w:sz w:val="25"/>
          <w:szCs w:val="25"/>
          <w:rtl/>
        </w:rPr>
        <w:t xml:space="preserve"> الاختيارات</w:t>
      </w:r>
      <w:r w:rsidRPr="00D21605">
        <w:rPr>
          <w:color w:val="595959" w:themeColor="text1" w:themeTint="A6"/>
          <w:sz w:val="25"/>
          <w:szCs w:val="25"/>
          <w:rtl/>
        </w:rPr>
        <w:t xml:space="preserve"> العمومية على المدى ال</w:t>
      </w:r>
      <w:r w:rsidRPr="00D21605">
        <w:rPr>
          <w:rFonts w:hint="cs"/>
          <w:color w:val="595959" w:themeColor="text1" w:themeTint="A6"/>
          <w:sz w:val="25"/>
          <w:szCs w:val="25"/>
          <w:rtl/>
        </w:rPr>
        <w:t>بعيد</w:t>
      </w:r>
      <w:r w:rsidRPr="00D21605">
        <w:rPr>
          <w:color w:val="595959" w:themeColor="text1" w:themeTint="A6"/>
          <w:sz w:val="25"/>
          <w:szCs w:val="25"/>
          <w:rtl/>
        </w:rPr>
        <w:t>.</w:t>
      </w:r>
    </w:p>
    <w:p w:rsidR="00146C82" w:rsidRDefault="00146C82" w:rsidP="00146C82">
      <w:pPr>
        <w:bidi/>
        <w:jc w:val="both"/>
        <w:rPr>
          <w:color w:val="595959" w:themeColor="text1" w:themeTint="A6"/>
          <w:sz w:val="25"/>
          <w:szCs w:val="25"/>
        </w:rPr>
      </w:pPr>
    </w:p>
    <w:p w:rsidR="00146C82" w:rsidRPr="00146C82" w:rsidRDefault="00146C82" w:rsidP="00146C82">
      <w:pPr>
        <w:bidi/>
        <w:spacing w:line="336" w:lineRule="auto"/>
        <w:jc w:val="both"/>
        <w:rPr>
          <w:b/>
          <w:bCs/>
          <w:color w:val="595959" w:themeColor="text1" w:themeTint="A6"/>
          <w:sz w:val="25"/>
          <w:szCs w:val="25"/>
        </w:rPr>
      </w:pPr>
      <w:r w:rsidRPr="00146C82">
        <w:rPr>
          <w:b/>
          <w:bCs/>
          <w:color w:val="595959" w:themeColor="text1" w:themeTint="A6"/>
          <w:sz w:val="25"/>
          <w:szCs w:val="25"/>
          <w:rtl/>
        </w:rPr>
        <w:t>مقاربة استشرافية دقيقة في خدمة القرار العمومي</w:t>
      </w:r>
    </w:p>
    <w:p w:rsidR="00146C82" w:rsidRPr="00146C82" w:rsidRDefault="00146C82" w:rsidP="00146C82">
      <w:pPr>
        <w:bidi/>
        <w:jc w:val="both"/>
        <w:rPr>
          <w:color w:val="595959" w:themeColor="text1" w:themeTint="A6"/>
        </w:rPr>
      </w:pPr>
      <w:r w:rsidRPr="00146C82">
        <w:rPr>
          <w:color w:val="595959" w:themeColor="text1" w:themeTint="A6"/>
          <w:sz w:val="25"/>
          <w:szCs w:val="25"/>
          <w:rtl/>
        </w:rPr>
        <w:t>تم تصميم هذه الدراسة وفق مقاربة تجمع بين البعدين النوعي والكمي، من خلال توظيف الذكاء الجماعي متعدد الفاعلين، والاستشراف الاستراتيجي، والنمذجة الاقتصادية والبيئية. وستُمكّن من بناء سيناريوهات متباينة في أفق 2040، وقياس</w:t>
      </w:r>
      <w:r w:rsidRPr="00146C82">
        <w:rPr>
          <w:color w:val="595959" w:themeColor="text1" w:themeTint="A6"/>
          <w:rtl/>
        </w:rPr>
        <w:t xml:space="preserve"> آثارها السوسيو-اقتصادية والمجالية، وتحديد المسارات الممكنة </w:t>
      </w:r>
      <w:r w:rsidRPr="00146C82">
        <w:rPr>
          <w:rFonts w:hint="cs"/>
          <w:color w:val="595959" w:themeColor="text1" w:themeTint="A6"/>
          <w:rtl/>
        </w:rPr>
        <w:t>والاختيارات</w:t>
      </w:r>
      <w:r w:rsidRPr="00146C82">
        <w:rPr>
          <w:color w:val="595959" w:themeColor="text1" w:themeTint="A6"/>
          <w:rtl/>
        </w:rPr>
        <w:t xml:space="preserve"> الضرورية لضمان تدبير مستدام ومرن للموارد.</w:t>
      </w:r>
    </w:p>
    <w:p w:rsidR="00146C82" w:rsidRDefault="00146C82" w:rsidP="00146C82">
      <w:pPr>
        <w:bidi/>
        <w:jc w:val="both"/>
        <w:rPr>
          <w:color w:val="595959" w:themeColor="text1" w:themeTint="A6"/>
          <w:sz w:val="25"/>
          <w:szCs w:val="25"/>
        </w:rPr>
      </w:pPr>
      <w:r w:rsidRPr="00146C82">
        <w:rPr>
          <w:color w:val="595959" w:themeColor="text1" w:themeTint="A6"/>
          <w:sz w:val="25"/>
          <w:szCs w:val="25"/>
          <w:rtl/>
        </w:rPr>
        <w:lastRenderedPageBreak/>
        <w:t>كما تروم هذه المقاربة البين-قطاعية إبراز أوجه التكامل والاختيارات المهيكلة بين سياسات الماء والطاقة والغذاء، وربط هذه الاختيارات بانعكاساتها على النمو، والتشغيل، والقدرة الشرائية، ورفاه الأسر، والتوازنات الماكرو-اقتصادية.</w:t>
      </w:r>
    </w:p>
    <w:p w:rsidR="00194859" w:rsidRDefault="00194859" w:rsidP="00194859">
      <w:pPr>
        <w:bidi/>
        <w:jc w:val="both"/>
        <w:rPr>
          <w:color w:val="595959" w:themeColor="text1" w:themeTint="A6"/>
          <w:sz w:val="25"/>
          <w:szCs w:val="25"/>
        </w:rPr>
      </w:pPr>
    </w:p>
    <w:p w:rsidR="00194859" w:rsidRPr="00194859" w:rsidRDefault="00194859" w:rsidP="00194859">
      <w:pPr>
        <w:bidi/>
        <w:spacing w:line="336" w:lineRule="auto"/>
        <w:jc w:val="both"/>
        <w:rPr>
          <w:b/>
          <w:bCs/>
          <w:color w:val="595959" w:themeColor="text1" w:themeTint="A6"/>
          <w:sz w:val="25"/>
          <w:szCs w:val="25"/>
        </w:rPr>
      </w:pPr>
      <w:r w:rsidRPr="00194859">
        <w:rPr>
          <w:b/>
          <w:bCs/>
          <w:color w:val="595959" w:themeColor="text1" w:themeTint="A6"/>
          <w:sz w:val="25"/>
          <w:szCs w:val="25"/>
          <w:rtl/>
        </w:rPr>
        <w:t>تحالف مؤسساتي في خدمة المواطن</w:t>
      </w:r>
    </w:p>
    <w:p w:rsidR="00194859" w:rsidRDefault="00194859" w:rsidP="00194859">
      <w:pPr>
        <w:bidi/>
        <w:jc w:val="both"/>
        <w:rPr>
          <w:color w:val="595959" w:themeColor="text1" w:themeTint="A6"/>
          <w:sz w:val="25"/>
          <w:szCs w:val="25"/>
        </w:rPr>
      </w:pPr>
      <w:r w:rsidRPr="00194859">
        <w:rPr>
          <w:color w:val="595959" w:themeColor="text1" w:themeTint="A6"/>
          <w:sz w:val="25"/>
          <w:szCs w:val="25"/>
          <w:rtl/>
        </w:rPr>
        <w:t>تُنجز</w:t>
      </w:r>
      <w:r w:rsidRPr="00194859">
        <w:rPr>
          <w:color w:val="595959" w:themeColor="text1" w:themeTint="A6"/>
          <w:sz w:val="25"/>
          <w:szCs w:val="25"/>
        </w:rPr>
        <w:t xml:space="preserve"> </w:t>
      </w:r>
      <w:r w:rsidRPr="00194859">
        <w:rPr>
          <w:rFonts w:hint="cs"/>
          <w:color w:val="595959" w:themeColor="text1" w:themeTint="A6"/>
          <w:sz w:val="25"/>
          <w:szCs w:val="25"/>
          <w:rtl/>
        </w:rPr>
        <w:t>هذه</w:t>
      </w:r>
      <w:r w:rsidRPr="00194859">
        <w:rPr>
          <w:color w:val="595959" w:themeColor="text1" w:themeTint="A6"/>
          <w:sz w:val="25"/>
          <w:szCs w:val="25"/>
        </w:rPr>
        <w:t xml:space="preserve"> </w:t>
      </w:r>
      <w:r w:rsidRPr="00194859">
        <w:rPr>
          <w:rFonts w:hint="cs"/>
          <w:color w:val="595959" w:themeColor="text1" w:themeTint="A6"/>
          <w:sz w:val="25"/>
          <w:szCs w:val="25"/>
          <w:rtl/>
        </w:rPr>
        <w:t>الدراسة بتنسيق</w:t>
      </w:r>
      <w:r w:rsidRPr="00194859">
        <w:rPr>
          <w:color w:val="595959" w:themeColor="text1" w:themeTint="A6"/>
          <w:sz w:val="25"/>
          <w:szCs w:val="25"/>
          <w:rtl/>
        </w:rPr>
        <w:t xml:space="preserve"> وثيق مع القطاعات المعنية، وبمشاركة خبراء وفاعلي المجتمع المدني وصناع القرار في إطار مقاربة تشاركية، لتتموقع كأداة للمساعدة على اتخاذ القرار الاستراتيجي.</w:t>
      </w:r>
    </w:p>
    <w:p w:rsidR="00194859" w:rsidRPr="00194859" w:rsidRDefault="00194859" w:rsidP="00194859">
      <w:pPr>
        <w:bidi/>
        <w:jc w:val="both"/>
        <w:rPr>
          <w:color w:val="595959" w:themeColor="text1" w:themeTint="A6"/>
          <w:sz w:val="25"/>
          <w:szCs w:val="25"/>
        </w:rPr>
      </w:pPr>
    </w:p>
    <w:p w:rsidR="00194859" w:rsidRDefault="00194859" w:rsidP="00194859">
      <w:pPr>
        <w:bidi/>
        <w:jc w:val="both"/>
        <w:rPr>
          <w:color w:val="595959" w:themeColor="text1" w:themeTint="A6"/>
          <w:sz w:val="25"/>
          <w:szCs w:val="25"/>
        </w:rPr>
      </w:pPr>
      <w:r w:rsidRPr="00194859">
        <w:rPr>
          <w:color w:val="595959" w:themeColor="text1" w:themeTint="A6"/>
          <w:sz w:val="25"/>
          <w:szCs w:val="25"/>
          <w:rtl/>
        </w:rPr>
        <w:t xml:space="preserve">وبعيداً عن النماذج والسيناريوهات، يظل </w:t>
      </w:r>
      <w:r w:rsidRPr="00194859">
        <w:rPr>
          <w:rFonts w:hint="cs"/>
          <w:color w:val="595959" w:themeColor="text1" w:themeTint="A6"/>
          <w:sz w:val="25"/>
          <w:szCs w:val="25"/>
          <w:rtl/>
        </w:rPr>
        <w:t>الرهان في</w:t>
      </w:r>
      <w:r w:rsidRPr="00194859">
        <w:rPr>
          <w:color w:val="595959" w:themeColor="text1" w:themeTint="A6"/>
          <w:sz w:val="25"/>
          <w:szCs w:val="25"/>
          <w:rtl/>
        </w:rPr>
        <w:t xml:space="preserve"> جوهره، رهانا مواطناً: ضمان ولوج منصف إلى الماء والطاقة، وتعزيز الأمن الغذائي بأسعار معقولة، وتقوية القدرة على الصمود أمام الصدمات المناخية والاقتصادية، والحد من الفوارق الاجتماعية والمجالية.</w:t>
      </w:r>
    </w:p>
    <w:p w:rsidR="00194859" w:rsidRPr="00194859" w:rsidRDefault="00194859" w:rsidP="00194859">
      <w:pPr>
        <w:bidi/>
        <w:jc w:val="both"/>
        <w:rPr>
          <w:color w:val="595959" w:themeColor="text1" w:themeTint="A6"/>
          <w:sz w:val="25"/>
          <w:szCs w:val="25"/>
        </w:rPr>
      </w:pPr>
    </w:p>
    <w:p w:rsidR="00B15F16" w:rsidRPr="001E3474" w:rsidRDefault="00194859" w:rsidP="00F12E8B">
      <w:pPr>
        <w:bidi/>
        <w:jc w:val="both"/>
        <w:rPr>
          <w:rFonts w:ascii="Garamond" w:hAnsi="Garamond"/>
          <w:color w:val="595959" w:themeColor="text1" w:themeTint="A6"/>
          <w:sz w:val="25"/>
          <w:szCs w:val="25"/>
          <w:lang w:val="fr-MA"/>
        </w:rPr>
      </w:pPr>
      <w:r w:rsidRPr="00194859">
        <w:rPr>
          <w:color w:val="595959" w:themeColor="text1" w:themeTint="A6"/>
          <w:sz w:val="25"/>
          <w:szCs w:val="25"/>
          <w:rtl/>
        </w:rPr>
        <w:t>ومن خلال وضع التدبير المندمج لترابط الماء–الطاقة–الغذاء في صلب الاستشراف الوطني، تسعى المندوبية السامية للتخطيط إلى الإسهام في بناء فعل عمومي أكثر انسجاماً ووضوحاً وفعالية، في خدمة دولة استراتيجية تستبق وتتخذ القرار استناداً إلى المعطيات والأثر.</w:t>
      </w:r>
      <w:bookmarkStart w:id="0" w:name="_GoBack"/>
      <w:bookmarkEnd w:id="0"/>
    </w:p>
    <w:p w:rsidR="00754F03" w:rsidRPr="00754F03" w:rsidRDefault="00754F03" w:rsidP="00754F03">
      <w:pPr>
        <w:jc w:val="both"/>
        <w:rPr>
          <w:rFonts w:ascii="Garamond" w:hAnsi="Garamond"/>
          <w:sz w:val="25"/>
          <w:szCs w:val="25"/>
          <w:lang w:val="fr-MA"/>
        </w:rPr>
      </w:pPr>
    </w:p>
    <w:sectPr w:rsidR="00754F03" w:rsidRPr="00754F03" w:rsidSect="00E20901">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CD5" w:rsidRDefault="00A92CD5">
      <w:r>
        <w:separator/>
      </w:r>
    </w:p>
  </w:endnote>
  <w:endnote w:type="continuationSeparator" w:id="1">
    <w:p w:rsidR="00A92CD5" w:rsidRDefault="00A92CD5">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F619A"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EF619A"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0E5127">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0E5127">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EF619A">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CD5" w:rsidRDefault="00A92CD5">
      <w:r>
        <w:separator/>
      </w:r>
    </w:p>
  </w:footnote>
  <w:footnote w:type="continuationSeparator" w:id="1">
    <w:p w:rsidR="00A92CD5" w:rsidRDefault="00A92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-1325880</wp:posOffset>
          </wp:positionH>
          <wp:positionV relativeFrom="paragraph">
            <wp:posOffset>-437515</wp:posOffset>
          </wp:positionV>
          <wp:extent cx="8702675" cy="5041900"/>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64CEB"/>
    <w:multiLevelType w:val="hybridMultilevel"/>
    <w:tmpl w:val="67709ECE"/>
    <w:lvl w:ilvl="0" w:tplc="0DB4F23E">
      <w:start w:val="2"/>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7A130FBA"/>
    <w:multiLevelType w:val="multilevel"/>
    <w:tmpl w:val="262A8B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4"/>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59394"/>
    <o:shapelayout v:ext="edit">
      <o:idmap v:ext="edit" data="2"/>
    </o:shapelayout>
  </w:hdrShapeDefaults>
  <w:footnotePr>
    <w:footnote w:id="0"/>
    <w:footnote w:id="1"/>
  </w:footnotePr>
  <w:endnotePr>
    <w:endnote w:id="0"/>
    <w:endnote w:id="1"/>
  </w:endnotePr>
  <w:compat/>
  <w:rsids>
    <w:rsidRoot w:val="00A7067D"/>
    <w:rsid w:val="000025B3"/>
    <w:rsid w:val="00012388"/>
    <w:rsid w:val="0001390E"/>
    <w:rsid w:val="00013A7F"/>
    <w:rsid w:val="00013C22"/>
    <w:rsid w:val="000152BC"/>
    <w:rsid w:val="000205FA"/>
    <w:rsid w:val="00024095"/>
    <w:rsid w:val="00027850"/>
    <w:rsid w:val="00033903"/>
    <w:rsid w:val="000364AB"/>
    <w:rsid w:val="0004000B"/>
    <w:rsid w:val="00050781"/>
    <w:rsid w:val="00050A6E"/>
    <w:rsid w:val="00053619"/>
    <w:rsid w:val="000554EE"/>
    <w:rsid w:val="00057A22"/>
    <w:rsid w:val="00060321"/>
    <w:rsid w:val="00064386"/>
    <w:rsid w:val="0006553F"/>
    <w:rsid w:val="00065DCD"/>
    <w:rsid w:val="00070037"/>
    <w:rsid w:val="00081BE5"/>
    <w:rsid w:val="00085E86"/>
    <w:rsid w:val="000A3BE9"/>
    <w:rsid w:val="000A4F68"/>
    <w:rsid w:val="000B2A3E"/>
    <w:rsid w:val="000B6EA6"/>
    <w:rsid w:val="000C5E54"/>
    <w:rsid w:val="000C7682"/>
    <w:rsid w:val="000D25AF"/>
    <w:rsid w:val="000E21D3"/>
    <w:rsid w:val="000E5127"/>
    <w:rsid w:val="000E7503"/>
    <w:rsid w:val="000E7BB9"/>
    <w:rsid w:val="000F408A"/>
    <w:rsid w:val="00100AF5"/>
    <w:rsid w:val="001063C7"/>
    <w:rsid w:val="00107113"/>
    <w:rsid w:val="00114C7E"/>
    <w:rsid w:val="00116B4A"/>
    <w:rsid w:val="00120AF1"/>
    <w:rsid w:val="001217AF"/>
    <w:rsid w:val="0012265F"/>
    <w:rsid w:val="00137652"/>
    <w:rsid w:val="001379C2"/>
    <w:rsid w:val="001437B0"/>
    <w:rsid w:val="00146C82"/>
    <w:rsid w:val="0015016F"/>
    <w:rsid w:val="00153DC3"/>
    <w:rsid w:val="00155095"/>
    <w:rsid w:val="00155EBB"/>
    <w:rsid w:val="001630F0"/>
    <w:rsid w:val="0016363C"/>
    <w:rsid w:val="001640AC"/>
    <w:rsid w:val="00164889"/>
    <w:rsid w:val="00173DF2"/>
    <w:rsid w:val="001744A2"/>
    <w:rsid w:val="00174719"/>
    <w:rsid w:val="00176CC0"/>
    <w:rsid w:val="00177EC0"/>
    <w:rsid w:val="00181EFF"/>
    <w:rsid w:val="00194859"/>
    <w:rsid w:val="001A1A9C"/>
    <w:rsid w:val="001A282E"/>
    <w:rsid w:val="001A7093"/>
    <w:rsid w:val="001B4AB1"/>
    <w:rsid w:val="001B6D0B"/>
    <w:rsid w:val="001C3920"/>
    <w:rsid w:val="001C4BE1"/>
    <w:rsid w:val="001D07F7"/>
    <w:rsid w:val="001D0B13"/>
    <w:rsid w:val="001D34E6"/>
    <w:rsid w:val="001D57E1"/>
    <w:rsid w:val="001E05D5"/>
    <w:rsid w:val="001E3474"/>
    <w:rsid w:val="001F1343"/>
    <w:rsid w:val="001F3482"/>
    <w:rsid w:val="001F4836"/>
    <w:rsid w:val="001F6AD9"/>
    <w:rsid w:val="002019A3"/>
    <w:rsid w:val="00205A6A"/>
    <w:rsid w:val="00206659"/>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64E77"/>
    <w:rsid w:val="00271922"/>
    <w:rsid w:val="0028585A"/>
    <w:rsid w:val="00285F6D"/>
    <w:rsid w:val="00286F23"/>
    <w:rsid w:val="00290B88"/>
    <w:rsid w:val="002A281B"/>
    <w:rsid w:val="002A5379"/>
    <w:rsid w:val="002A5A7C"/>
    <w:rsid w:val="002A688F"/>
    <w:rsid w:val="002A7062"/>
    <w:rsid w:val="002B27EA"/>
    <w:rsid w:val="002C02CC"/>
    <w:rsid w:val="002C09B2"/>
    <w:rsid w:val="002C25CF"/>
    <w:rsid w:val="002C6433"/>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048"/>
    <w:rsid w:val="00376C2C"/>
    <w:rsid w:val="00376C4A"/>
    <w:rsid w:val="003771E3"/>
    <w:rsid w:val="00380647"/>
    <w:rsid w:val="00385013"/>
    <w:rsid w:val="0039063A"/>
    <w:rsid w:val="00393B90"/>
    <w:rsid w:val="00393EF8"/>
    <w:rsid w:val="003A0BAE"/>
    <w:rsid w:val="003A14B5"/>
    <w:rsid w:val="003A5CB2"/>
    <w:rsid w:val="003B7C9A"/>
    <w:rsid w:val="003C104F"/>
    <w:rsid w:val="003C131B"/>
    <w:rsid w:val="003C357A"/>
    <w:rsid w:val="003C3DAC"/>
    <w:rsid w:val="003C620C"/>
    <w:rsid w:val="003E5DDB"/>
    <w:rsid w:val="003F28EA"/>
    <w:rsid w:val="003F445E"/>
    <w:rsid w:val="00401D3E"/>
    <w:rsid w:val="00403A20"/>
    <w:rsid w:val="0041796D"/>
    <w:rsid w:val="004275D6"/>
    <w:rsid w:val="00446DB7"/>
    <w:rsid w:val="00447FBC"/>
    <w:rsid w:val="00455540"/>
    <w:rsid w:val="00473ABF"/>
    <w:rsid w:val="004744FF"/>
    <w:rsid w:val="00481E24"/>
    <w:rsid w:val="00484E8D"/>
    <w:rsid w:val="00487904"/>
    <w:rsid w:val="0049060D"/>
    <w:rsid w:val="004A1173"/>
    <w:rsid w:val="004A225B"/>
    <w:rsid w:val="004A73C5"/>
    <w:rsid w:val="004B2CCC"/>
    <w:rsid w:val="004B3780"/>
    <w:rsid w:val="004B3B09"/>
    <w:rsid w:val="004B42B1"/>
    <w:rsid w:val="004B4D2F"/>
    <w:rsid w:val="004B5569"/>
    <w:rsid w:val="004B6126"/>
    <w:rsid w:val="004B66EA"/>
    <w:rsid w:val="004C43FD"/>
    <w:rsid w:val="004E36E2"/>
    <w:rsid w:val="004E67F8"/>
    <w:rsid w:val="004F553E"/>
    <w:rsid w:val="004F572F"/>
    <w:rsid w:val="004F57F8"/>
    <w:rsid w:val="004F70A7"/>
    <w:rsid w:val="005052E3"/>
    <w:rsid w:val="005126CC"/>
    <w:rsid w:val="005178FE"/>
    <w:rsid w:val="0052635A"/>
    <w:rsid w:val="00537897"/>
    <w:rsid w:val="00541C46"/>
    <w:rsid w:val="00542043"/>
    <w:rsid w:val="00542E3A"/>
    <w:rsid w:val="00547ECD"/>
    <w:rsid w:val="00550169"/>
    <w:rsid w:val="005542B7"/>
    <w:rsid w:val="005549EE"/>
    <w:rsid w:val="00564AE3"/>
    <w:rsid w:val="0057148E"/>
    <w:rsid w:val="00571918"/>
    <w:rsid w:val="005746EB"/>
    <w:rsid w:val="005754A6"/>
    <w:rsid w:val="0057589F"/>
    <w:rsid w:val="005814DE"/>
    <w:rsid w:val="00582403"/>
    <w:rsid w:val="00590430"/>
    <w:rsid w:val="00590E1B"/>
    <w:rsid w:val="00594250"/>
    <w:rsid w:val="00594D60"/>
    <w:rsid w:val="00595235"/>
    <w:rsid w:val="005A7061"/>
    <w:rsid w:val="005B0675"/>
    <w:rsid w:val="005B3582"/>
    <w:rsid w:val="005B48EA"/>
    <w:rsid w:val="005C1DD3"/>
    <w:rsid w:val="005C28E5"/>
    <w:rsid w:val="005C707A"/>
    <w:rsid w:val="005C7D21"/>
    <w:rsid w:val="005D0550"/>
    <w:rsid w:val="005D14CD"/>
    <w:rsid w:val="005D486E"/>
    <w:rsid w:val="005D71A1"/>
    <w:rsid w:val="005D72D0"/>
    <w:rsid w:val="005E3BDC"/>
    <w:rsid w:val="005E4938"/>
    <w:rsid w:val="00603CC4"/>
    <w:rsid w:val="00604836"/>
    <w:rsid w:val="00610ADF"/>
    <w:rsid w:val="00611B94"/>
    <w:rsid w:val="00613BEE"/>
    <w:rsid w:val="0061442D"/>
    <w:rsid w:val="00621623"/>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0598C"/>
    <w:rsid w:val="00707AC0"/>
    <w:rsid w:val="007135A9"/>
    <w:rsid w:val="007206D4"/>
    <w:rsid w:val="007273F0"/>
    <w:rsid w:val="007305FD"/>
    <w:rsid w:val="00730CFE"/>
    <w:rsid w:val="007320F2"/>
    <w:rsid w:val="00737D26"/>
    <w:rsid w:val="00737E9A"/>
    <w:rsid w:val="007417CF"/>
    <w:rsid w:val="007418E0"/>
    <w:rsid w:val="00754F03"/>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2741"/>
    <w:rsid w:val="00794363"/>
    <w:rsid w:val="00796547"/>
    <w:rsid w:val="00797E3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601D"/>
    <w:rsid w:val="008360E3"/>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A5F"/>
    <w:rsid w:val="008A2CAA"/>
    <w:rsid w:val="008A4CF7"/>
    <w:rsid w:val="008A6A9C"/>
    <w:rsid w:val="008B1707"/>
    <w:rsid w:val="008B1E6D"/>
    <w:rsid w:val="008B32BE"/>
    <w:rsid w:val="008B6DBF"/>
    <w:rsid w:val="008C2C3C"/>
    <w:rsid w:val="008C79BB"/>
    <w:rsid w:val="008D1587"/>
    <w:rsid w:val="008D38D9"/>
    <w:rsid w:val="008D767F"/>
    <w:rsid w:val="008E57C2"/>
    <w:rsid w:val="008E5D6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299E"/>
    <w:rsid w:val="00965163"/>
    <w:rsid w:val="009660B3"/>
    <w:rsid w:val="009674B4"/>
    <w:rsid w:val="00970294"/>
    <w:rsid w:val="009750B7"/>
    <w:rsid w:val="009801E4"/>
    <w:rsid w:val="00984C53"/>
    <w:rsid w:val="00990C6F"/>
    <w:rsid w:val="00996F92"/>
    <w:rsid w:val="009A205F"/>
    <w:rsid w:val="009A2769"/>
    <w:rsid w:val="009A3A8A"/>
    <w:rsid w:val="009A5280"/>
    <w:rsid w:val="009B2B2B"/>
    <w:rsid w:val="009C0E61"/>
    <w:rsid w:val="009C1063"/>
    <w:rsid w:val="009D0EEB"/>
    <w:rsid w:val="009D1867"/>
    <w:rsid w:val="009D3F74"/>
    <w:rsid w:val="009D664A"/>
    <w:rsid w:val="009E1925"/>
    <w:rsid w:val="009E3005"/>
    <w:rsid w:val="009E4032"/>
    <w:rsid w:val="009E4BD5"/>
    <w:rsid w:val="009F3563"/>
    <w:rsid w:val="009F5937"/>
    <w:rsid w:val="00A028B9"/>
    <w:rsid w:val="00A03537"/>
    <w:rsid w:val="00A03BBB"/>
    <w:rsid w:val="00A05663"/>
    <w:rsid w:val="00A062BD"/>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2DF6"/>
    <w:rsid w:val="00A74F2D"/>
    <w:rsid w:val="00A76F8C"/>
    <w:rsid w:val="00A821C4"/>
    <w:rsid w:val="00A8308B"/>
    <w:rsid w:val="00A834E9"/>
    <w:rsid w:val="00A859EE"/>
    <w:rsid w:val="00A87B84"/>
    <w:rsid w:val="00A92CD5"/>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14CE3"/>
    <w:rsid w:val="00B15F16"/>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50C"/>
    <w:rsid w:val="00B8462E"/>
    <w:rsid w:val="00B84D1B"/>
    <w:rsid w:val="00B855EA"/>
    <w:rsid w:val="00B869E2"/>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639FC"/>
    <w:rsid w:val="00C66442"/>
    <w:rsid w:val="00C77AA4"/>
    <w:rsid w:val="00C92504"/>
    <w:rsid w:val="00C92E38"/>
    <w:rsid w:val="00C94FAA"/>
    <w:rsid w:val="00CA2232"/>
    <w:rsid w:val="00CB055F"/>
    <w:rsid w:val="00CB05C8"/>
    <w:rsid w:val="00CB21EC"/>
    <w:rsid w:val="00CB3A44"/>
    <w:rsid w:val="00CC289A"/>
    <w:rsid w:val="00CC5A17"/>
    <w:rsid w:val="00CC5F3B"/>
    <w:rsid w:val="00CD6E99"/>
    <w:rsid w:val="00CD7C5C"/>
    <w:rsid w:val="00CE08CE"/>
    <w:rsid w:val="00CE718A"/>
    <w:rsid w:val="00CE7BB5"/>
    <w:rsid w:val="00CF26AE"/>
    <w:rsid w:val="00CF3217"/>
    <w:rsid w:val="00D01031"/>
    <w:rsid w:val="00D068A7"/>
    <w:rsid w:val="00D07E75"/>
    <w:rsid w:val="00D12FA1"/>
    <w:rsid w:val="00D14BAE"/>
    <w:rsid w:val="00D15EC7"/>
    <w:rsid w:val="00D21605"/>
    <w:rsid w:val="00D224CC"/>
    <w:rsid w:val="00D25594"/>
    <w:rsid w:val="00D27E45"/>
    <w:rsid w:val="00D30672"/>
    <w:rsid w:val="00D30B74"/>
    <w:rsid w:val="00D40AE4"/>
    <w:rsid w:val="00D44D1C"/>
    <w:rsid w:val="00D46A93"/>
    <w:rsid w:val="00D4763E"/>
    <w:rsid w:val="00D60382"/>
    <w:rsid w:val="00D71FF6"/>
    <w:rsid w:val="00D820EB"/>
    <w:rsid w:val="00D82174"/>
    <w:rsid w:val="00D8345C"/>
    <w:rsid w:val="00DB27A9"/>
    <w:rsid w:val="00DB293A"/>
    <w:rsid w:val="00DB41D2"/>
    <w:rsid w:val="00DB4566"/>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560A"/>
    <w:rsid w:val="00E52A17"/>
    <w:rsid w:val="00E52E24"/>
    <w:rsid w:val="00E54E88"/>
    <w:rsid w:val="00E62E93"/>
    <w:rsid w:val="00E643D8"/>
    <w:rsid w:val="00E6596F"/>
    <w:rsid w:val="00E6702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F13CA"/>
    <w:rsid w:val="00EF619A"/>
    <w:rsid w:val="00F1016F"/>
    <w:rsid w:val="00F106AB"/>
    <w:rsid w:val="00F11331"/>
    <w:rsid w:val="00F12E8B"/>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1E60"/>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5AB"/>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488</Words>
  <Characters>2685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8</cp:revision>
  <cp:lastPrinted>2012-11-26T10:50:00Z</cp:lastPrinted>
  <dcterms:created xsi:type="dcterms:W3CDTF">2026-02-11T16:42:00Z</dcterms:created>
  <dcterms:modified xsi:type="dcterms:W3CDTF">2026-02-11T17:01:00Z</dcterms:modified>
</cp:coreProperties>
</file>