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A51" w:rsidRDefault="00B959FE">
      <w:pPr>
        <w:bidi/>
        <w:spacing w:before="240" w:after="240"/>
        <w:ind w:left="283" w:hanging="141"/>
      </w:pPr>
      <w:r>
        <w:t xml:space="preserve">                                                              </w:t>
      </w:r>
    </w:p>
    <w:p w:rsidR="00111C33" w:rsidRDefault="00111C33" w:rsidP="00111C33">
      <w:pPr>
        <w:jc w:val="center"/>
        <w:rPr>
          <w:rFonts w:ascii="Calibri" w:eastAsia="Calibri" w:hAnsi="Calibri" w:cs="Calibri"/>
          <w:b/>
          <w:bCs/>
          <w:sz w:val="26"/>
          <w:szCs w:val="26"/>
        </w:rPr>
      </w:pPr>
      <w:r>
        <w:rPr>
          <w:rFonts w:ascii="Calibri" w:eastAsia="Calibri" w:hAnsi="Calibri" w:cs="Calibri"/>
          <w:b/>
          <w:bCs/>
          <w:sz w:val="26"/>
          <w:szCs w:val="26"/>
        </w:rPr>
        <w:t>Communiqué de presse</w:t>
      </w:r>
    </w:p>
    <w:p w:rsidR="00111C33" w:rsidRDefault="00111C33" w:rsidP="00111C33">
      <w:pPr>
        <w:jc w:val="center"/>
        <w:rPr>
          <w:rFonts w:ascii="Calibri" w:eastAsia="Calibri" w:hAnsi="Calibri" w:cs="Calibri"/>
        </w:rPr>
      </w:pPr>
    </w:p>
    <w:p w:rsidR="00111C33" w:rsidRDefault="00111C33" w:rsidP="00111C33">
      <w:pPr>
        <w:jc w:val="center"/>
        <w:rPr>
          <w:rFonts w:ascii="Calibri" w:eastAsia="Calibri" w:hAnsi="Calibri" w:cs="Calibri"/>
          <w:sz w:val="24"/>
          <w:szCs w:val="24"/>
        </w:rPr>
      </w:pPr>
      <w:r>
        <w:rPr>
          <w:rFonts w:ascii="Calibri" w:eastAsia="Calibri" w:hAnsi="Calibri" w:cs="Calibri"/>
          <w:b/>
          <w:bCs/>
          <w:sz w:val="24"/>
          <w:szCs w:val="24"/>
        </w:rPr>
        <w:t>Jeunes NEET au Maroc : Profilage statistique au profit de l’action publique</w:t>
      </w:r>
    </w:p>
    <w:p w:rsidR="00111C33" w:rsidRDefault="00111C33" w:rsidP="00111C33">
      <w:pPr>
        <w:jc w:val="both"/>
        <w:rPr>
          <w:rFonts w:ascii="Calibri" w:eastAsia="Calibri" w:hAnsi="Calibri" w:cs="Calibri"/>
          <w:b/>
          <w:bCs/>
          <w:sz w:val="24"/>
          <w:szCs w:val="24"/>
        </w:rPr>
      </w:pPr>
      <w:bookmarkStart w:id="0" w:name="_heading=h.furgyyxe785i" w:colFirst="0" w:colLast="0"/>
      <w:bookmarkEnd w:id="0"/>
    </w:p>
    <w:p w:rsidR="00111C33" w:rsidRDefault="00111C33" w:rsidP="00111C33">
      <w:pPr>
        <w:jc w:val="both"/>
        <w:rPr>
          <w:rFonts w:ascii="Calibri" w:eastAsia="Calibri" w:hAnsi="Calibri" w:cs="Calibri"/>
          <w:sz w:val="24"/>
          <w:szCs w:val="24"/>
        </w:rPr>
      </w:pPr>
      <w:bookmarkStart w:id="1" w:name="_heading=h.5qrc7nphano9" w:colFirst="0" w:colLast="0"/>
      <w:bookmarkEnd w:id="1"/>
      <w:r>
        <w:rPr>
          <w:rFonts w:ascii="Calibri" w:eastAsia="Calibri" w:hAnsi="Calibri" w:cs="Calibri"/>
          <w:b/>
          <w:bCs/>
          <w:sz w:val="24"/>
          <w:szCs w:val="24"/>
        </w:rPr>
        <w:t xml:space="preserve">RABAT le 14/ 04/ 2026 </w:t>
      </w:r>
      <w:r>
        <w:rPr>
          <w:rFonts w:ascii="Calibri" w:eastAsia="Calibri" w:hAnsi="Calibri" w:cs="Calibri"/>
          <w:sz w:val="24"/>
          <w:szCs w:val="24"/>
        </w:rPr>
        <w:t xml:space="preserve"> </w:t>
      </w:r>
    </w:p>
    <w:p w:rsidR="00111C33" w:rsidRPr="00111C33" w:rsidRDefault="00111C33" w:rsidP="00111C33">
      <w:pPr>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Au Maroc, comme dans l’ensemble de la région Moyen-Orient et Afrique du Nord, la situation des jeunes NEET demeure un défi structurel. Environ un jeune sur trois âgé de 15 à 29 ans est concerné, avec des taux particulièrement élevés chez les jeunes femmes. Une large part des jeunes NEET se trouve en situation d’inactivité plutôt que de chômage, ce qui met en évidence des obstacles persistants à l’accès aux opportunités économiques et sociales.</w:t>
      </w:r>
    </w:p>
    <w:p w:rsidR="00111C33" w:rsidRPr="00111C33" w:rsidRDefault="00111C33" w:rsidP="00111C33">
      <w:pPr>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Les principaux résultats d’un nouveau rapport sur les jeunes NEET au Maroc, ont été présentés à Rabat le 14 avril 2026.</w:t>
      </w:r>
    </w:p>
    <w:p w:rsidR="00111C33" w:rsidRPr="00111C33" w:rsidRDefault="00111C33" w:rsidP="00111C33">
      <w:pPr>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Le lancement du rapport a eu lieu lors d’un atelier national organisé par le Haut-Commissariat au Plan (HCP), en partenariat avec l’OIT et l’Union européenne, en présence de participants issus d’institutions publiques, de partenaires techniques et financiers, ainsi que d’organisations de la société civile.</w:t>
      </w:r>
    </w:p>
    <w:p w:rsidR="00111C33" w:rsidRPr="00111C33" w:rsidRDefault="00111C33" w:rsidP="00111C33">
      <w:pPr>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Fondé sur les données des enquêtes nationales sur l’emploi du HCP, le rapport permet d’affiner la compréhension des profils et des parcours des jeunes concernés. Il montre notamment que les réalités vécues diffèrent fortement selon le sexe, le niveau d’éducation, le lieu de résidence et la proximité avec les services d’accompagnement et les débouchés professionnels.</w:t>
      </w:r>
    </w:p>
    <w:p w:rsidR="00111C33" w:rsidRPr="00111C33" w:rsidRDefault="00111C33" w:rsidP="00111C33">
      <w:pPr>
        <w:spacing w:before="240" w:after="240"/>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Aujourd’hui, 2,9 millions de jeunes marocains âgés de 15 à 29 ans ne sont ni en emploi, ni en études, ni en formation. Derrière ce chiffre global, le rapport met en évidence des fractures profondes : près de 72 % des NEET sont des femmes, tandis que près de trois sur quatre ne disposent d’aucun diplôme qualifiant. Près de la moitié ont entre 25 et 29 ans, ce qui souligne un risque accru de basculement dans le statut NEET après 24 ans, à un moment charnière de la transitio</w:t>
      </w:r>
      <w:r w:rsidRPr="00111C33">
        <w:rPr>
          <w:rFonts w:asciiTheme="majorHAnsi" w:eastAsia="Calibri" w:hAnsiTheme="majorHAnsi" w:cstheme="majorHAnsi"/>
          <w:sz w:val="24"/>
          <w:szCs w:val="24"/>
          <w:highlight w:val="white"/>
        </w:rPr>
        <w:t>n de l'école et au mar</w:t>
      </w:r>
      <w:r w:rsidRPr="00111C33">
        <w:rPr>
          <w:rFonts w:asciiTheme="majorHAnsi" w:eastAsia="Calibri" w:hAnsiTheme="majorHAnsi" w:cstheme="majorHAnsi"/>
          <w:sz w:val="24"/>
          <w:szCs w:val="24"/>
        </w:rPr>
        <w:t xml:space="preserve">ché du travail. Les disparités territoriales sont également marquées, avec des taux régionaux variant de 28 % à près de 40 %, appelant des réponses adaptées aux contextes locaux, fondées sur une connaissance fine des réalités. </w:t>
      </w:r>
    </w:p>
    <w:p w:rsidR="00111C33" w:rsidRPr="00111C33" w:rsidRDefault="00111C33" w:rsidP="00111C33">
      <w:pPr>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Au-delà du diagnostic, cette initiative contribue à renforcer l’utilisation des données statistiques nationales pour éclairer l’action publique. Les échanges lors de l’atelier ont également permis d’approfondir les implications opérationnelles de ces résultats, notamment en matière de coordination des interventions, d’adaptation aux profils et de cohérence des réponses.</w:t>
      </w:r>
    </w:p>
    <w:p w:rsidR="00111C33" w:rsidRDefault="00111C33" w:rsidP="00111C33">
      <w:pPr>
        <w:jc w:val="both"/>
        <w:rPr>
          <w:rFonts w:asciiTheme="majorHAnsi" w:eastAsia="Calibri" w:hAnsiTheme="majorHAnsi" w:cstheme="majorHAnsi"/>
          <w:i/>
          <w:iCs/>
          <w:sz w:val="24"/>
          <w:szCs w:val="24"/>
        </w:rPr>
      </w:pPr>
      <w:bookmarkStart w:id="2" w:name="_heading=h.hz5v2o7yq95r" w:colFirst="0" w:colLast="0"/>
      <w:bookmarkEnd w:id="2"/>
    </w:p>
    <w:p w:rsidR="00111C33" w:rsidRDefault="00111C33" w:rsidP="00111C33">
      <w:pPr>
        <w:jc w:val="both"/>
        <w:rPr>
          <w:rFonts w:asciiTheme="majorHAnsi" w:eastAsia="Calibri" w:hAnsiTheme="majorHAnsi" w:cstheme="majorHAnsi"/>
          <w:i/>
          <w:iCs/>
          <w:sz w:val="24"/>
          <w:szCs w:val="24"/>
        </w:rPr>
      </w:pPr>
    </w:p>
    <w:p w:rsidR="00111C33" w:rsidRDefault="00111C33" w:rsidP="00111C33">
      <w:pPr>
        <w:jc w:val="both"/>
        <w:rPr>
          <w:rFonts w:asciiTheme="majorHAnsi" w:eastAsia="Calibri" w:hAnsiTheme="majorHAnsi" w:cstheme="majorHAnsi"/>
          <w:i/>
          <w:iCs/>
          <w:sz w:val="24"/>
          <w:szCs w:val="24"/>
        </w:rPr>
      </w:pPr>
    </w:p>
    <w:p w:rsidR="00111C33" w:rsidRDefault="00111C33" w:rsidP="00111C33">
      <w:pPr>
        <w:jc w:val="both"/>
        <w:rPr>
          <w:rFonts w:asciiTheme="majorHAnsi" w:eastAsia="Calibri" w:hAnsiTheme="majorHAnsi" w:cstheme="majorHAnsi"/>
          <w:i/>
          <w:iCs/>
          <w:sz w:val="24"/>
          <w:szCs w:val="24"/>
        </w:rPr>
      </w:pPr>
      <w:r w:rsidRPr="00111C33">
        <w:rPr>
          <w:rFonts w:asciiTheme="majorHAnsi" w:eastAsia="Calibri" w:hAnsiTheme="majorHAnsi" w:cstheme="majorHAnsi"/>
          <w:i/>
          <w:iCs/>
          <w:sz w:val="24"/>
          <w:szCs w:val="24"/>
        </w:rPr>
        <w:t xml:space="preserve">« Ce rapport constitue une avancée importante pour mieux comprendre les réalités des jeunes NEET au Maroc. Il met en évidence des fractures structurelles profondes qui traversent la </w:t>
      </w:r>
    </w:p>
    <w:p w:rsidR="00111C33" w:rsidRDefault="00111C33" w:rsidP="00111C33">
      <w:pPr>
        <w:jc w:val="both"/>
        <w:rPr>
          <w:rFonts w:asciiTheme="majorHAnsi" w:eastAsia="Calibri" w:hAnsiTheme="majorHAnsi" w:cstheme="majorHAnsi"/>
          <w:i/>
          <w:iCs/>
          <w:sz w:val="24"/>
          <w:szCs w:val="24"/>
        </w:rPr>
      </w:pPr>
    </w:p>
    <w:p w:rsidR="00111C33" w:rsidRDefault="00111C33" w:rsidP="00111C33">
      <w:pPr>
        <w:jc w:val="both"/>
        <w:rPr>
          <w:rFonts w:asciiTheme="majorHAnsi" w:eastAsia="Calibri" w:hAnsiTheme="majorHAnsi" w:cstheme="majorHAnsi"/>
          <w:i/>
          <w:iCs/>
          <w:sz w:val="24"/>
          <w:szCs w:val="24"/>
        </w:rPr>
      </w:pPr>
      <w:proofErr w:type="gramStart"/>
      <w:r w:rsidRPr="00111C33">
        <w:rPr>
          <w:rFonts w:asciiTheme="majorHAnsi" w:eastAsia="Calibri" w:hAnsiTheme="majorHAnsi" w:cstheme="majorHAnsi"/>
          <w:i/>
          <w:iCs/>
          <w:sz w:val="24"/>
          <w:szCs w:val="24"/>
        </w:rPr>
        <w:t>jeunesse</w:t>
      </w:r>
      <w:proofErr w:type="gramEnd"/>
      <w:r w:rsidRPr="00111C33">
        <w:rPr>
          <w:rFonts w:asciiTheme="majorHAnsi" w:eastAsia="Calibri" w:hAnsiTheme="majorHAnsi" w:cstheme="majorHAnsi"/>
          <w:i/>
          <w:iCs/>
          <w:sz w:val="24"/>
          <w:szCs w:val="24"/>
        </w:rPr>
        <w:t xml:space="preserve"> marocaine et confirment que le phénomène des NEET ne saurait être appréhendé de manière uniforme. Le débat a engendré un fort appel pour un changement d’échelle dans l’action publique, fondé sur des données et analyses fines</w:t>
      </w:r>
      <w:r>
        <w:rPr>
          <w:rFonts w:asciiTheme="majorHAnsi" w:eastAsia="Calibri" w:hAnsiTheme="majorHAnsi" w:cstheme="majorHAnsi"/>
          <w:i/>
          <w:iCs/>
          <w:sz w:val="24"/>
          <w:szCs w:val="24"/>
        </w:rPr>
        <w:t xml:space="preserve"> et des réponses différenciées.</w:t>
      </w:r>
      <w:r w:rsidRPr="00111C33">
        <w:rPr>
          <w:rFonts w:asciiTheme="majorHAnsi" w:eastAsia="Calibri" w:hAnsiTheme="majorHAnsi" w:cstheme="majorHAnsi"/>
          <w:i/>
          <w:iCs/>
          <w:sz w:val="24"/>
          <w:szCs w:val="24"/>
        </w:rPr>
        <w:t xml:space="preserve"> »</w:t>
      </w:r>
      <w:r w:rsidRPr="00111C33">
        <w:rPr>
          <w:rFonts w:asciiTheme="majorHAnsi" w:eastAsia="Calibri" w:hAnsiTheme="majorHAnsi" w:cstheme="majorHAnsi"/>
          <w:i/>
          <w:iCs/>
          <w:sz w:val="24"/>
          <w:szCs w:val="24"/>
        </w:rPr>
        <w:t xml:space="preserve">, a déclaré M. Ayache </w:t>
      </w:r>
      <w:proofErr w:type="spellStart"/>
      <w:r w:rsidRPr="00111C33">
        <w:rPr>
          <w:rFonts w:asciiTheme="majorHAnsi" w:eastAsia="Calibri" w:hAnsiTheme="majorHAnsi" w:cstheme="majorHAnsi"/>
          <w:i/>
          <w:iCs/>
          <w:sz w:val="24"/>
          <w:szCs w:val="24"/>
        </w:rPr>
        <w:t>Khellaf</w:t>
      </w:r>
      <w:proofErr w:type="spellEnd"/>
      <w:r w:rsidRPr="00111C33">
        <w:rPr>
          <w:rFonts w:asciiTheme="majorHAnsi" w:eastAsia="Calibri" w:hAnsiTheme="majorHAnsi" w:cstheme="majorHAnsi"/>
          <w:i/>
          <w:iCs/>
          <w:sz w:val="24"/>
          <w:szCs w:val="24"/>
        </w:rPr>
        <w:t xml:space="preserve"> – Secrétaire Général du Haut-Commissariat au Plan.</w:t>
      </w:r>
      <w:bookmarkStart w:id="3" w:name="_heading=h.noxh7g5ug71t" w:colFirst="0" w:colLast="0"/>
      <w:bookmarkEnd w:id="3"/>
    </w:p>
    <w:p w:rsidR="00111C33" w:rsidRDefault="00111C33" w:rsidP="00111C33">
      <w:pPr>
        <w:jc w:val="both"/>
        <w:rPr>
          <w:rFonts w:asciiTheme="majorHAnsi" w:eastAsia="Calibri" w:hAnsiTheme="majorHAnsi" w:cstheme="majorHAnsi"/>
          <w:i/>
          <w:iCs/>
          <w:sz w:val="24"/>
          <w:szCs w:val="24"/>
        </w:rPr>
      </w:pPr>
    </w:p>
    <w:p w:rsidR="00111C33" w:rsidRPr="00111C33" w:rsidRDefault="00111C33" w:rsidP="00111C33">
      <w:pPr>
        <w:jc w:val="both"/>
        <w:rPr>
          <w:rFonts w:asciiTheme="majorHAnsi" w:eastAsia="Calibri" w:hAnsiTheme="majorHAnsi" w:cstheme="majorHAnsi"/>
          <w:i/>
          <w:iCs/>
          <w:sz w:val="24"/>
          <w:szCs w:val="24"/>
        </w:rPr>
      </w:pPr>
      <w:r w:rsidRPr="00111C33">
        <w:rPr>
          <w:rFonts w:asciiTheme="majorHAnsi" w:eastAsia="Calibri" w:hAnsiTheme="majorHAnsi" w:cstheme="majorHAnsi"/>
          <w:i/>
          <w:iCs/>
          <w:sz w:val="24"/>
          <w:szCs w:val="24"/>
        </w:rPr>
        <w:t>« Les défis liés à l’insertion des jeunes NEET appellent des réponses structurelles pour mieux aligner les besoins des entreprises et les profils disponibles. À la Confédération Générale des Entreprises du Maroc, nous sommes convaincus du rôle clé de la formation, notamment à travers l’alternance et des modèles comme les Instituts de Gestion Déléguée, qui rapprochent formation et secteur privé. Nous plaçons ainsi l’employabilité des jeunes au cœur de notre engagement, pour en faire les forces vives de demain et un levier de croissance. »,</w:t>
      </w:r>
      <w:r>
        <w:rPr>
          <w:rFonts w:asciiTheme="majorHAnsi" w:eastAsia="Calibri" w:hAnsiTheme="majorHAnsi" w:cstheme="majorHAnsi"/>
          <w:sz w:val="24"/>
          <w:szCs w:val="24"/>
        </w:rPr>
        <w:t xml:space="preserve"> </w:t>
      </w:r>
      <w:r w:rsidRPr="00111C33">
        <w:rPr>
          <w:rFonts w:asciiTheme="majorHAnsi" w:eastAsia="Calibri" w:hAnsiTheme="majorHAnsi" w:cstheme="majorHAnsi"/>
          <w:i/>
          <w:iCs/>
          <w:sz w:val="24"/>
          <w:szCs w:val="24"/>
        </w:rPr>
        <w:t xml:space="preserve">a souligné M. Toufik </w:t>
      </w:r>
      <w:proofErr w:type="spellStart"/>
      <w:r w:rsidRPr="00111C33">
        <w:rPr>
          <w:rFonts w:asciiTheme="majorHAnsi" w:eastAsia="Calibri" w:hAnsiTheme="majorHAnsi" w:cstheme="majorHAnsi"/>
          <w:i/>
          <w:iCs/>
          <w:sz w:val="24"/>
          <w:szCs w:val="24"/>
        </w:rPr>
        <w:t>Cherradi</w:t>
      </w:r>
      <w:proofErr w:type="spellEnd"/>
      <w:r w:rsidRPr="00111C33">
        <w:rPr>
          <w:rFonts w:asciiTheme="majorHAnsi" w:eastAsia="Calibri" w:hAnsiTheme="majorHAnsi" w:cstheme="majorHAnsi"/>
          <w:i/>
          <w:iCs/>
          <w:sz w:val="24"/>
          <w:szCs w:val="24"/>
        </w:rPr>
        <w:t xml:space="preserve"> – Membre du bureau de la commission du capital humain de la CGEM.</w:t>
      </w:r>
    </w:p>
    <w:p w:rsidR="00111C33" w:rsidRDefault="00111C33" w:rsidP="00111C33">
      <w:pPr>
        <w:jc w:val="both"/>
        <w:rPr>
          <w:rFonts w:asciiTheme="majorHAnsi" w:eastAsia="Calibri" w:hAnsiTheme="majorHAnsi" w:cstheme="majorHAnsi"/>
          <w:i/>
          <w:iCs/>
          <w:sz w:val="24"/>
          <w:szCs w:val="24"/>
        </w:rPr>
      </w:pPr>
    </w:p>
    <w:p w:rsidR="00111C33" w:rsidRPr="00111C33" w:rsidRDefault="00111C33" w:rsidP="00111C33">
      <w:pPr>
        <w:jc w:val="both"/>
        <w:rPr>
          <w:rFonts w:asciiTheme="majorHAnsi" w:eastAsia="Calibri" w:hAnsiTheme="majorHAnsi" w:cstheme="majorHAnsi"/>
          <w:i/>
          <w:iCs/>
          <w:sz w:val="24"/>
          <w:szCs w:val="24"/>
        </w:rPr>
      </w:pPr>
      <w:r w:rsidRPr="00111C33">
        <w:rPr>
          <w:rFonts w:asciiTheme="majorHAnsi" w:eastAsia="Calibri" w:hAnsiTheme="majorHAnsi" w:cstheme="majorHAnsi"/>
          <w:i/>
          <w:iCs/>
          <w:sz w:val="24"/>
          <w:szCs w:val="24"/>
        </w:rPr>
        <w:t xml:space="preserve">« La question des </w:t>
      </w:r>
      <w:proofErr w:type="spellStart"/>
      <w:r w:rsidRPr="00111C33">
        <w:rPr>
          <w:rFonts w:asciiTheme="majorHAnsi" w:eastAsia="Calibri" w:hAnsiTheme="majorHAnsi" w:cstheme="majorHAnsi"/>
          <w:i/>
          <w:iCs/>
          <w:sz w:val="24"/>
          <w:szCs w:val="24"/>
        </w:rPr>
        <w:t>NEETs</w:t>
      </w:r>
      <w:proofErr w:type="spellEnd"/>
      <w:r w:rsidRPr="00111C33">
        <w:rPr>
          <w:rFonts w:asciiTheme="majorHAnsi" w:eastAsia="Calibri" w:hAnsiTheme="majorHAnsi" w:cstheme="majorHAnsi"/>
          <w:i/>
          <w:iCs/>
          <w:sz w:val="24"/>
          <w:szCs w:val="24"/>
        </w:rPr>
        <w:t xml:space="preserve"> est </w:t>
      </w:r>
      <w:r>
        <w:rPr>
          <w:rFonts w:asciiTheme="majorHAnsi" w:eastAsia="Calibri" w:hAnsiTheme="majorHAnsi" w:cstheme="majorHAnsi"/>
          <w:i/>
          <w:iCs/>
          <w:sz w:val="24"/>
          <w:szCs w:val="24"/>
        </w:rPr>
        <w:t>préoccupante tant dans l’Union européenne</w:t>
      </w:r>
      <w:bookmarkStart w:id="4" w:name="_GoBack"/>
      <w:bookmarkEnd w:id="4"/>
      <w:r>
        <w:rPr>
          <w:rFonts w:asciiTheme="majorHAnsi" w:eastAsia="Calibri" w:hAnsiTheme="majorHAnsi" w:cstheme="majorHAnsi"/>
          <w:i/>
          <w:iCs/>
          <w:sz w:val="24"/>
          <w:szCs w:val="24"/>
        </w:rPr>
        <w:t xml:space="preserve"> </w:t>
      </w:r>
      <w:r w:rsidRPr="00111C33">
        <w:rPr>
          <w:rFonts w:asciiTheme="majorHAnsi" w:eastAsia="Calibri" w:hAnsiTheme="majorHAnsi" w:cstheme="majorHAnsi"/>
          <w:i/>
          <w:iCs/>
          <w:sz w:val="24"/>
          <w:szCs w:val="24"/>
        </w:rPr>
        <w:t>qu’au Maroc et exige des pouvoirs publics des actions concrètes. Pour le Maroc, nous sommes convaincus que cette analyse contribuera efficacement à nourrir une compréhension partagée, à renforcer le dialogue entre les acteurs et, in fine, à améliorer l’efficacité des politiques publiques. »,</w:t>
      </w:r>
      <w:r w:rsidRPr="00111C33">
        <w:rPr>
          <w:rFonts w:asciiTheme="majorHAnsi" w:eastAsia="Calibri" w:hAnsiTheme="majorHAnsi" w:cstheme="majorHAnsi"/>
          <w:sz w:val="24"/>
          <w:szCs w:val="24"/>
        </w:rPr>
        <w:t xml:space="preserve"> </w:t>
      </w:r>
      <w:r w:rsidRPr="00111C33">
        <w:rPr>
          <w:rFonts w:asciiTheme="majorHAnsi" w:eastAsia="Calibri" w:hAnsiTheme="majorHAnsi" w:cstheme="majorHAnsi"/>
          <w:i/>
          <w:iCs/>
          <w:sz w:val="24"/>
          <w:szCs w:val="24"/>
        </w:rPr>
        <w:t xml:space="preserve">a rappelé M. </w:t>
      </w:r>
      <w:proofErr w:type="spellStart"/>
      <w:r w:rsidRPr="00111C33">
        <w:rPr>
          <w:rFonts w:asciiTheme="majorHAnsi" w:eastAsia="Calibri" w:hAnsiTheme="majorHAnsi" w:cstheme="majorHAnsi"/>
          <w:i/>
          <w:iCs/>
          <w:sz w:val="24"/>
          <w:szCs w:val="24"/>
        </w:rPr>
        <w:t>Eric</w:t>
      </w:r>
      <w:proofErr w:type="spellEnd"/>
      <w:r w:rsidRPr="00111C33">
        <w:rPr>
          <w:rFonts w:asciiTheme="majorHAnsi" w:eastAsia="Calibri" w:hAnsiTheme="majorHAnsi" w:cstheme="majorHAnsi"/>
          <w:i/>
          <w:iCs/>
          <w:sz w:val="24"/>
          <w:szCs w:val="24"/>
        </w:rPr>
        <w:t xml:space="preserve"> </w:t>
      </w:r>
      <w:proofErr w:type="spellStart"/>
      <w:r w:rsidRPr="00111C33">
        <w:rPr>
          <w:rFonts w:asciiTheme="majorHAnsi" w:eastAsia="Calibri" w:hAnsiTheme="majorHAnsi" w:cstheme="majorHAnsi"/>
          <w:i/>
          <w:iCs/>
          <w:sz w:val="24"/>
          <w:szCs w:val="24"/>
        </w:rPr>
        <w:t>Trotemann</w:t>
      </w:r>
      <w:proofErr w:type="spellEnd"/>
      <w:r w:rsidRPr="00111C33">
        <w:rPr>
          <w:rFonts w:asciiTheme="majorHAnsi" w:eastAsia="Calibri" w:hAnsiTheme="majorHAnsi" w:cstheme="majorHAnsi"/>
          <w:i/>
          <w:iCs/>
          <w:sz w:val="24"/>
          <w:szCs w:val="24"/>
        </w:rPr>
        <w:t xml:space="preserve"> – Chef de Coopération de la Délégation de l’Union européenne au Maroc.</w:t>
      </w:r>
    </w:p>
    <w:p w:rsidR="00111C33" w:rsidRPr="00111C33" w:rsidRDefault="00111C33" w:rsidP="00111C33">
      <w:pPr>
        <w:jc w:val="both"/>
        <w:rPr>
          <w:rFonts w:asciiTheme="majorHAnsi" w:eastAsia="Calibri" w:hAnsiTheme="majorHAnsi" w:cstheme="majorHAnsi"/>
          <w:i/>
          <w:iCs/>
          <w:sz w:val="24"/>
          <w:szCs w:val="24"/>
        </w:rPr>
      </w:pPr>
      <w:r w:rsidRPr="00111C33">
        <w:rPr>
          <w:rFonts w:asciiTheme="majorHAnsi" w:eastAsia="Calibri" w:hAnsiTheme="majorHAnsi" w:cstheme="majorHAnsi"/>
          <w:i/>
          <w:iCs/>
          <w:sz w:val="24"/>
          <w:szCs w:val="24"/>
        </w:rPr>
        <w:t xml:space="preserve">« L’approche pragmatique des associations accompagnant les jeunes NEET repose sur une </w:t>
      </w:r>
      <w:proofErr w:type="spellStart"/>
      <w:r w:rsidRPr="00111C33">
        <w:rPr>
          <w:rFonts w:asciiTheme="majorHAnsi" w:eastAsia="Calibri" w:hAnsiTheme="majorHAnsi" w:cstheme="majorHAnsi"/>
          <w:i/>
          <w:iCs/>
          <w:sz w:val="24"/>
          <w:szCs w:val="24"/>
        </w:rPr>
        <w:t>co</w:t>
      </w:r>
      <w:proofErr w:type="spellEnd"/>
      <w:r w:rsidRPr="00111C33">
        <w:rPr>
          <w:rFonts w:asciiTheme="majorHAnsi" w:eastAsia="Calibri" w:hAnsiTheme="majorHAnsi" w:cstheme="majorHAnsi"/>
          <w:i/>
          <w:iCs/>
          <w:sz w:val="24"/>
          <w:szCs w:val="24"/>
        </w:rPr>
        <w:t xml:space="preserve">-construction étroite avec les entreprises, afin de former des jeunes aptes à répondre aux exigences du marché et à renforcer la compétitivité des entreprises marocaines. Cela implique des formations adaptées, accessibles quel que soit le niveau de scolarisation, ainsi qu’une valorisation des métiers, avec des prérequis clairement définis, afin d’assurer un meilleur appariement entre l’offre et la demande. » a précisé Mme Leila </w:t>
      </w:r>
      <w:proofErr w:type="spellStart"/>
      <w:r w:rsidRPr="00111C33">
        <w:rPr>
          <w:rFonts w:asciiTheme="majorHAnsi" w:eastAsia="Calibri" w:hAnsiTheme="majorHAnsi" w:cstheme="majorHAnsi"/>
          <w:i/>
          <w:iCs/>
          <w:sz w:val="24"/>
          <w:szCs w:val="24"/>
        </w:rPr>
        <w:t>Benhima</w:t>
      </w:r>
      <w:proofErr w:type="spellEnd"/>
      <w:r w:rsidRPr="00111C33">
        <w:rPr>
          <w:rFonts w:asciiTheme="majorHAnsi" w:eastAsia="Calibri" w:hAnsiTheme="majorHAnsi" w:cstheme="majorHAnsi"/>
          <w:i/>
          <w:iCs/>
          <w:sz w:val="24"/>
          <w:szCs w:val="24"/>
        </w:rPr>
        <w:t xml:space="preserve"> Cherif – Présidente de l’association l’Heure Joyeuse.</w:t>
      </w:r>
    </w:p>
    <w:p w:rsidR="00111C33" w:rsidRPr="00111C33" w:rsidRDefault="00111C33" w:rsidP="00111C33">
      <w:pPr>
        <w:jc w:val="both"/>
        <w:rPr>
          <w:rFonts w:asciiTheme="majorHAnsi" w:eastAsia="Calibri" w:hAnsiTheme="majorHAnsi" w:cstheme="majorHAnsi"/>
          <w:sz w:val="24"/>
          <w:szCs w:val="24"/>
        </w:rPr>
      </w:pPr>
      <w:r w:rsidRPr="00111C33">
        <w:rPr>
          <w:rFonts w:asciiTheme="majorHAnsi" w:eastAsia="Calibri" w:hAnsiTheme="majorHAnsi" w:cstheme="majorHAnsi"/>
          <w:sz w:val="24"/>
          <w:szCs w:val="24"/>
        </w:rPr>
        <w:t>Les résultats du profilage alimenteront les réflexions sur l’évolution des services publics de l’emploi. Ils contribueront également au débat national sur l’amélioration du ciblage, de la cohérence et de l’impact des politiques publiques en faveur des jeunes.</w:t>
      </w:r>
    </w:p>
    <w:p w:rsidR="001B7A51" w:rsidRPr="00111C33" w:rsidRDefault="001B7A51">
      <w:pPr>
        <w:bidi/>
        <w:spacing w:before="240" w:after="240"/>
        <w:jc w:val="both"/>
      </w:pPr>
    </w:p>
    <w:p w:rsidR="001B7A51" w:rsidRDefault="001B7A51"/>
    <w:sectPr w:rsidR="001B7A51">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32D" w:rsidRDefault="00F4732D" w:rsidP="00FA57A3">
      <w:pPr>
        <w:spacing w:line="240" w:lineRule="auto"/>
      </w:pPr>
      <w:r>
        <w:separator/>
      </w:r>
    </w:p>
  </w:endnote>
  <w:endnote w:type="continuationSeparator" w:id="0">
    <w:p w:rsidR="00F4732D" w:rsidRDefault="00F4732D" w:rsidP="00FA5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717C3C-9FCC-4A48-9B55-8F72C4AA97A7}"/>
    <w:embedBold r:id="rId2" w:fontKey="{AA773828-7ECD-4122-AF65-C406B498E06A}"/>
    <w:embedItalic r:id="rId3" w:fontKey="{67AA2FD5-2F97-4C21-BECB-FA0455D41667}"/>
  </w:font>
  <w:font w:name="Cambria">
    <w:panose1 w:val="02040503050406030204"/>
    <w:charset w:val="00"/>
    <w:family w:val="roman"/>
    <w:pitch w:val="variable"/>
    <w:sig w:usb0="E00006FF" w:usb1="420024FF" w:usb2="02000000" w:usb3="00000000" w:csb0="0000019F" w:csb1="00000000"/>
    <w:embedRegular r:id="rId4" w:fontKey="{DA836726-2657-420B-B34E-4FFB2C95E83C}"/>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32D" w:rsidRDefault="00F4732D" w:rsidP="00FA57A3">
      <w:pPr>
        <w:spacing w:line="240" w:lineRule="auto"/>
      </w:pPr>
      <w:r>
        <w:separator/>
      </w:r>
    </w:p>
  </w:footnote>
  <w:footnote w:type="continuationSeparator" w:id="0">
    <w:p w:rsidR="00F4732D" w:rsidRDefault="00F4732D" w:rsidP="00FA57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7A3" w:rsidRPr="00FA57A3" w:rsidRDefault="00FA57A3" w:rsidP="00FA57A3">
    <w:pPr>
      <w:pStyle w:val="En-tte"/>
      <w:ind w:left="-709" w:hanging="720"/>
      <w:jc w:val="right"/>
    </w:pPr>
    <w:r>
      <w:rPr>
        <w:noProof/>
        <w:lang w:val="en-US"/>
      </w:rPr>
      <w:drawing>
        <wp:inline distT="114300" distB="114300" distL="114300" distR="114300" wp14:anchorId="62789AAC" wp14:editId="47D29A7E">
          <wp:extent cx="1504950" cy="5397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5176" cy="539831"/>
                  </a:xfrm>
                  <a:prstGeom prst="rect">
                    <a:avLst/>
                  </a:prstGeom>
                  <a:ln/>
                </pic:spPr>
              </pic:pic>
            </a:graphicData>
          </a:graphic>
        </wp:inline>
      </w:drawing>
    </w:r>
    <w:r>
      <w:t xml:space="preserve">                                                                                     </w:t>
    </w:r>
    <w:r>
      <w:rPr>
        <w:noProof/>
        <w:lang w:val="en-US"/>
      </w:rPr>
      <w:drawing>
        <wp:inline distT="114300" distB="114300" distL="114300" distR="114300" wp14:anchorId="34186AC6" wp14:editId="27C507C5">
          <wp:extent cx="971550" cy="80137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71858" cy="80162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A51"/>
    <w:rsid w:val="00111C33"/>
    <w:rsid w:val="001B7A51"/>
    <w:rsid w:val="00B959FE"/>
    <w:rsid w:val="00F4732D"/>
    <w:rsid w:val="00FA57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3B87"/>
  <w15:docId w15:val="{C9E212FD-59A9-47BE-8ABF-A146EBDC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En-tte">
    <w:name w:val="header"/>
    <w:basedOn w:val="Normal"/>
    <w:link w:val="En-tteCar"/>
    <w:uiPriority w:val="99"/>
    <w:unhideWhenUsed/>
    <w:rsid w:val="00FA57A3"/>
    <w:pPr>
      <w:tabs>
        <w:tab w:val="center" w:pos="4703"/>
        <w:tab w:val="right" w:pos="9406"/>
      </w:tabs>
      <w:spacing w:line="240" w:lineRule="auto"/>
    </w:pPr>
  </w:style>
  <w:style w:type="character" w:customStyle="1" w:styleId="En-tteCar">
    <w:name w:val="En-tête Car"/>
    <w:basedOn w:val="Policepardfaut"/>
    <w:link w:val="En-tte"/>
    <w:uiPriority w:val="99"/>
    <w:rsid w:val="00FA57A3"/>
  </w:style>
  <w:style w:type="paragraph" w:styleId="Pieddepage">
    <w:name w:val="footer"/>
    <w:basedOn w:val="Normal"/>
    <w:link w:val="PieddepageCar"/>
    <w:uiPriority w:val="99"/>
    <w:unhideWhenUsed/>
    <w:rsid w:val="00FA57A3"/>
    <w:pPr>
      <w:tabs>
        <w:tab w:val="center" w:pos="4703"/>
        <w:tab w:val="right" w:pos="9406"/>
      </w:tabs>
      <w:spacing w:line="240" w:lineRule="auto"/>
    </w:pPr>
  </w:style>
  <w:style w:type="character" w:customStyle="1" w:styleId="PieddepageCar">
    <w:name w:val="Pied de page Car"/>
    <w:basedOn w:val="Policepardfaut"/>
    <w:link w:val="Pieddepage"/>
    <w:uiPriority w:val="99"/>
    <w:rsid w:val="00FA5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2026-04-21T10:05:00Z</dcterms:created>
  <dcterms:modified xsi:type="dcterms:W3CDTF">2026-04-21T10:10:00Z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214b2986-705e-412d-af2d-d61008eb7b30</vt:lpwstr>
  </property>
</Properties>
</file>