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80" w:rsidRPr="00AB63C5" w:rsidRDefault="00511E80" w:rsidP="000E670C">
      <w:pPr>
        <w:pStyle w:val="Titre"/>
        <w:spacing w:line="400" w:lineRule="exact"/>
        <w:ind w:firstLine="720"/>
        <w:jc w:val="right"/>
        <w:rPr>
          <w:i/>
          <w:iCs/>
          <w:strike/>
          <w:sz w:val="24"/>
          <w:szCs w:val="24"/>
          <w:vertAlign w:val="subscript"/>
          <w:rtl/>
        </w:rPr>
      </w:pPr>
    </w:p>
    <w:p w:rsidR="00511E80" w:rsidRDefault="00511E80" w:rsidP="000E670C">
      <w:pPr>
        <w:pStyle w:val="Titre"/>
        <w:spacing w:line="400" w:lineRule="exact"/>
        <w:ind w:firstLine="720"/>
        <w:jc w:val="right"/>
        <w:rPr>
          <w:sz w:val="24"/>
          <w:szCs w:val="24"/>
          <w:rtl/>
        </w:rPr>
      </w:pPr>
    </w:p>
    <w:p w:rsidR="00003D85" w:rsidRDefault="00003D85" w:rsidP="000E670C">
      <w:pPr>
        <w:pStyle w:val="Titre"/>
        <w:spacing w:line="400" w:lineRule="exact"/>
        <w:ind w:firstLine="720"/>
        <w:jc w:val="right"/>
        <w:rPr>
          <w:sz w:val="24"/>
          <w:szCs w:val="24"/>
        </w:rPr>
      </w:pPr>
    </w:p>
    <w:p w:rsidR="00605B3C" w:rsidRPr="0079170F" w:rsidRDefault="007512EB" w:rsidP="00BC3ED2">
      <w:pPr>
        <w:pStyle w:val="Titre"/>
        <w:spacing w:line="400" w:lineRule="exact"/>
        <w:ind w:firstLine="720"/>
        <w:jc w:val="right"/>
        <w:rPr>
          <w:sz w:val="24"/>
          <w:szCs w:val="24"/>
        </w:rPr>
      </w:pPr>
      <w:r>
        <w:rPr>
          <w:sz w:val="24"/>
          <w:szCs w:val="24"/>
        </w:rPr>
        <w:t>Casablanca</w:t>
      </w:r>
      <w:r w:rsidR="00605B3C" w:rsidRPr="0079170F">
        <w:rPr>
          <w:sz w:val="24"/>
          <w:szCs w:val="24"/>
        </w:rPr>
        <w:t>, le</w:t>
      </w:r>
      <w:r w:rsidR="00CE139A" w:rsidRPr="0079170F">
        <w:rPr>
          <w:sz w:val="24"/>
          <w:szCs w:val="24"/>
        </w:rPr>
        <w:t xml:space="preserve"> </w:t>
      </w:r>
      <w:r w:rsidR="00BC3ED2">
        <w:rPr>
          <w:sz w:val="24"/>
          <w:szCs w:val="24"/>
        </w:rPr>
        <w:t>20</w:t>
      </w:r>
      <w:r w:rsidR="00CC70A7" w:rsidRPr="0079170F">
        <w:rPr>
          <w:sz w:val="24"/>
          <w:szCs w:val="24"/>
        </w:rPr>
        <w:t xml:space="preserve"> </w:t>
      </w:r>
      <w:r w:rsidR="00CB3743" w:rsidRPr="0079170F">
        <w:rPr>
          <w:sz w:val="24"/>
          <w:szCs w:val="24"/>
        </w:rPr>
        <w:t>j</w:t>
      </w:r>
      <w:r w:rsidR="00453975" w:rsidRPr="0079170F">
        <w:rPr>
          <w:sz w:val="24"/>
          <w:szCs w:val="24"/>
        </w:rPr>
        <w:t>anvier</w:t>
      </w:r>
      <w:r w:rsidR="00605B3C" w:rsidRPr="0079170F">
        <w:rPr>
          <w:sz w:val="24"/>
          <w:szCs w:val="24"/>
        </w:rPr>
        <w:t xml:space="preserve"> 20</w:t>
      </w:r>
      <w:r w:rsidR="00453975" w:rsidRPr="0079170F">
        <w:rPr>
          <w:sz w:val="24"/>
          <w:szCs w:val="24"/>
        </w:rPr>
        <w:t>1</w:t>
      </w:r>
      <w:r w:rsidR="006C3706" w:rsidRPr="0079170F">
        <w:rPr>
          <w:sz w:val="24"/>
          <w:szCs w:val="24"/>
        </w:rPr>
        <w:t>5</w:t>
      </w:r>
    </w:p>
    <w:p w:rsidR="00B401AC" w:rsidRPr="0079170F" w:rsidRDefault="00A26269" w:rsidP="000E670C">
      <w:pPr>
        <w:pStyle w:val="Titre"/>
        <w:ind w:firstLine="720"/>
        <w:rPr>
          <w:sz w:val="32"/>
          <w:szCs w:val="32"/>
          <w:u w:val="single"/>
        </w:rPr>
      </w:pPr>
      <w:r>
        <w:rPr>
          <w:sz w:val="32"/>
          <w:szCs w:val="32"/>
          <w:u w:val="single"/>
        </w:rPr>
        <w:t xml:space="preserve">       </w:t>
      </w:r>
    </w:p>
    <w:p w:rsidR="00B401AC" w:rsidRPr="0079170F" w:rsidRDefault="00B401AC" w:rsidP="000E670C">
      <w:pPr>
        <w:pStyle w:val="Titre"/>
        <w:ind w:firstLine="720"/>
        <w:rPr>
          <w:sz w:val="32"/>
          <w:szCs w:val="32"/>
        </w:rPr>
      </w:pPr>
    </w:p>
    <w:p w:rsidR="004D3467" w:rsidRPr="0079170F" w:rsidRDefault="004D3467" w:rsidP="000E670C">
      <w:pPr>
        <w:pStyle w:val="Titre"/>
        <w:ind w:firstLine="720"/>
        <w:rPr>
          <w:sz w:val="32"/>
          <w:szCs w:val="32"/>
        </w:rPr>
      </w:pPr>
      <w:r w:rsidRPr="0079170F">
        <w:rPr>
          <w:sz w:val="32"/>
          <w:szCs w:val="32"/>
        </w:rPr>
        <w:t xml:space="preserve">Situation </w:t>
      </w:r>
      <w:r w:rsidR="00605B3C" w:rsidRPr="0079170F">
        <w:rPr>
          <w:sz w:val="32"/>
          <w:szCs w:val="32"/>
        </w:rPr>
        <w:t>économi</w:t>
      </w:r>
      <w:r w:rsidRPr="0079170F">
        <w:rPr>
          <w:sz w:val="32"/>
          <w:szCs w:val="32"/>
        </w:rPr>
        <w:t>que</w:t>
      </w:r>
      <w:r w:rsidR="00CB3743" w:rsidRPr="0079170F">
        <w:rPr>
          <w:sz w:val="32"/>
          <w:szCs w:val="32"/>
        </w:rPr>
        <w:t xml:space="preserve"> </w:t>
      </w:r>
      <w:r w:rsidR="000774D8" w:rsidRPr="0079170F">
        <w:rPr>
          <w:sz w:val="32"/>
          <w:szCs w:val="32"/>
        </w:rPr>
        <w:t>nationale</w:t>
      </w:r>
      <w:r w:rsidR="00CB3743" w:rsidRPr="0079170F">
        <w:rPr>
          <w:sz w:val="32"/>
          <w:szCs w:val="32"/>
        </w:rPr>
        <w:t xml:space="preserve"> </w:t>
      </w:r>
      <w:r w:rsidR="000774D8" w:rsidRPr="0079170F">
        <w:rPr>
          <w:sz w:val="32"/>
          <w:szCs w:val="32"/>
        </w:rPr>
        <w:t>e</w:t>
      </w:r>
      <w:r w:rsidR="003A784E" w:rsidRPr="0079170F">
        <w:rPr>
          <w:sz w:val="32"/>
          <w:szCs w:val="32"/>
        </w:rPr>
        <w:t xml:space="preserve">n </w:t>
      </w:r>
      <w:r w:rsidR="00F6715B" w:rsidRPr="0079170F">
        <w:rPr>
          <w:sz w:val="32"/>
          <w:szCs w:val="32"/>
        </w:rPr>
        <w:t>20</w:t>
      </w:r>
      <w:r w:rsidR="006C3706" w:rsidRPr="0079170F">
        <w:rPr>
          <w:sz w:val="32"/>
          <w:szCs w:val="32"/>
        </w:rPr>
        <w:t>14</w:t>
      </w:r>
      <w:r w:rsidR="00F6715B" w:rsidRPr="0079170F">
        <w:rPr>
          <w:sz w:val="32"/>
          <w:szCs w:val="32"/>
        </w:rPr>
        <w:t xml:space="preserve"> </w:t>
      </w:r>
    </w:p>
    <w:p w:rsidR="00605B3C" w:rsidRPr="0079170F" w:rsidRDefault="004D3467" w:rsidP="000E670C">
      <w:pPr>
        <w:pStyle w:val="Titre"/>
        <w:ind w:firstLine="720"/>
        <w:rPr>
          <w:sz w:val="32"/>
          <w:szCs w:val="32"/>
        </w:rPr>
      </w:pPr>
      <w:r w:rsidRPr="0079170F">
        <w:rPr>
          <w:sz w:val="32"/>
          <w:szCs w:val="32"/>
        </w:rPr>
        <w:t>E</w:t>
      </w:r>
      <w:r w:rsidR="00F6715B" w:rsidRPr="0079170F">
        <w:rPr>
          <w:sz w:val="32"/>
          <w:szCs w:val="32"/>
        </w:rPr>
        <w:t>t</w:t>
      </w:r>
      <w:r w:rsidRPr="0079170F">
        <w:rPr>
          <w:sz w:val="32"/>
          <w:szCs w:val="32"/>
        </w:rPr>
        <w:t xml:space="preserve"> perspectives en</w:t>
      </w:r>
      <w:r w:rsidR="00F6715B" w:rsidRPr="0079170F">
        <w:rPr>
          <w:sz w:val="32"/>
          <w:szCs w:val="32"/>
        </w:rPr>
        <w:t xml:space="preserve"> </w:t>
      </w:r>
      <w:r w:rsidR="00605B3C" w:rsidRPr="0079170F">
        <w:rPr>
          <w:sz w:val="32"/>
          <w:szCs w:val="32"/>
        </w:rPr>
        <w:t>20</w:t>
      </w:r>
      <w:r w:rsidR="00CB3743" w:rsidRPr="0079170F">
        <w:rPr>
          <w:sz w:val="32"/>
          <w:szCs w:val="32"/>
        </w:rPr>
        <w:t>1</w:t>
      </w:r>
      <w:r w:rsidR="006C3706" w:rsidRPr="0079170F">
        <w:rPr>
          <w:sz w:val="32"/>
          <w:szCs w:val="32"/>
        </w:rPr>
        <w:t>5</w:t>
      </w:r>
    </w:p>
    <w:p w:rsidR="008829DB" w:rsidRPr="008A69B5" w:rsidRDefault="008829DB" w:rsidP="008829DB">
      <w:pPr>
        <w:pStyle w:val="Titre"/>
        <w:ind w:firstLine="720"/>
        <w:rPr>
          <w:rFonts w:ascii="Book Antiqua" w:hAnsi="Book Antiqua"/>
          <w:b w:val="0"/>
          <w:bCs w:val="0"/>
        </w:rPr>
      </w:pPr>
      <w:r w:rsidRPr="008A69B5">
        <w:rPr>
          <w:rFonts w:ascii="Book Antiqua" w:hAnsi="Book Antiqua" w:cs="Calibri"/>
          <w:b w:val="0"/>
          <w:color w:val="000000"/>
        </w:rPr>
        <w:t xml:space="preserve">                     </w:t>
      </w:r>
    </w:p>
    <w:p w:rsidR="008829DB" w:rsidRPr="008829DB" w:rsidRDefault="008829DB" w:rsidP="00255258">
      <w:pPr>
        <w:numPr>
          <w:ilvl w:val="0"/>
          <w:numId w:val="28"/>
        </w:numPr>
        <w:tabs>
          <w:tab w:val="clear" w:pos="927"/>
          <w:tab w:val="num" w:pos="3195"/>
        </w:tabs>
        <w:spacing w:line="360" w:lineRule="exact"/>
        <w:ind w:left="1066" w:hanging="357"/>
        <w:jc w:val="both"/>
        <w:rPr>
          <w:b w:val="0"/>
          <w:bCs w:val="0"/>
          <w:sz w:val="28"/>
          <w:szCs w:val="28"/>
        </w:rPr>
      </w:pPr>
      <w:r w:rsidRPr="008829DB">
        <w:rPr>
          <w:b w:val="0"/>
          <w:bCs w:val="0"/>
          <w:sz w:val="28"/>
          <w:szCs w:val="28"/>
        </w:rPr>
        <w:t xml:space="preserve">Ralentissement de la croissance économique en 2014 à 2,6% et son amélioration à </w:t>
      </w:r>
      <w:r w:rsidR="00255258">
        <w:rPr>
          <w:b w:val="0"/>
          <w:bCs w:val="0"/>
          <w:sz w:val="28"/>
          <w:szCs w:val="28"/>
        </w:rPr>
        <w:t>4</w:t>
      </w:r>
      <w:r w:rsidRPr="008829DB">
        <w:rPr>
          <w:b w:val="0"/>
          <w:bCs w:val="0"/>
          <w:sz w:val="28"/>
          <w:szCs w:val="28"/>
        </w:rPr>
        <w:t>,</w:t>
      </w:r>
      <w:r w:rsidR="00255258">
        <w:rPr>
          <w:b w:val="0"/>
          <w:bCs w:val="0"/>
          <w:sz w:val="28"/>
          <w:szCs w:val="28"/>
        </w:rPr>
        <w:t>8</w:t>
      </w:r>
      <w:r w:rsidRPr="008829DB">
        <w:rPr>
          <w:b w:val="0"/>
          <w:bCs w:val="0"/>
          <w:sz w:val="28"/>
          <w:szCs w:val="28"/>
        </w:rPr>
        <w:t>% en 2015;</w:t>
      </w:r>
    </w:p>
    <w:p w:rsidR="008829DB" w:rsidRPr="008829DB" w:rsidRDefault="008829DB" w:rsidP="008829DB">
      <w:pPr>
        <w:widowControl w:val="0"/>
        <w:numPr>
          <w:ilvl w:val="0"/>
          <w:numId w:val="28"/>
        </w:numPr>
        <w:tabs>
          <w:tab w:val="clear" w:pos="927"/>
          <w:tab w:val="num" w:pos="3195"/>
        </w:tabs>
        <w:adjustRightInd w:val="0"/>
        <w:spacing w:line="360" w:lineRule="exact"/>
        <w:ind w:left="1066" w:hanging="357"/>
        <w:jc w:val="both"/>
        <w:rPr>
          <w:b w:val="0"/>
          <w:bCs w:val="0"/>
          <w:sz w:val="28"/>
          <w:szCs w:val="28"/>
        </w:rPr>
      </w:pPr>
      <w:r w:rsidRPr="008829DB">
        <w:rPr>
          <w:b w:val="0"/>
          <w:bCs w:val="0"/>
          <w:sz w:val="28"/>
          <w:szCs w:val="28"/>
        </w:rPr>
        <w:t xml:space="preserve">Reprise des activités non agricoles de 1,8% en 2013 à 3,4% de croissance en 2014 et à 4,1% en 2015; </w:t>
      </w:r>
    </w:p>
    <w:p w:rsidR="008829DB" w:rsidRPr="008829DB" w:rsidRDefault="008829DB" w:rsidP="00255258">
      <w:pPr>
        <w:widowControl w:val="0"/>
        <w:numPr>
          <w:ilvl w:val="0"/>
          <w:numId w:val="28"/>
        </w:numPr>
        <w:tabs>
          <w:tab w:val="clear" w:pos="927"/>
          <w:tab w:val="num" w:pos="3195"/>
        </w:tabs>
        <w:adjustRightInd w:val="0"/>
        <w:spacing w:line="360" w:lineRule="exact"/>
        <w:ind w:left="1066" w:hanging="357"/>
        <w:jc w:val="both"/>
        <w:rPr>
          <w:b w:val="0"/>
          <w:bCs w:val="0"/>
          <w:sz w:val="28"/>
          <w:szCs w:val="28"/>
        </w:rPr>
      </w:pPr>
      <w:r w:rsidRPr="008829DB">
        <w:rPr>
          <w:b w:val="0"/>
          <w:bCs w:val="0"/>
          <w:sz w:val="28"/>
          <w:szCs w:val="28"/>
        </w:rPr>
        <w:t>Légère hausse de l’inflation, appréhendée par le prix implicite du PIB, de 0,4% en 2014 à 0,</w:t>
      </w:r>
      <w:r w:rsidR="00255258">
        <w:rPr>
          <w:b w:val="0"/>
          <w:bCs w:val="0"/>
          <w:sz w:val="28"/>
          <w:szCs w:val="28"/>
        </w:rPr>
        <w:t>8</w:t>
      </w:r>
      <w:r w:rsidRPr="008829DB">
        <w:rPr>
          <w:b w:val="0"/>
          <w:bCs w:val="0"/>
          <w:sz w:val="28"/>
          <w:szCs w:val="28"/>
        </w:rPr>
        <w:t>% en 2015 ;</w:t>
      </w:r>
    </w:p>
    <w:p w:rsidR="008829DB" w:rsidRPr="008829DB" w:rsidRDefault="008829DB" w:rsidP="00525982">
      <w:pPr>
        <w:numPr>
          <w:ilvl w:val="0"/>
          <w:numId w:val="28"/>
        </w:numPr>
        <w:tabs>
          <w:tab w:val="clear" w:pos="927"/>
          <w:tab w:val="num" w:pos="3195"/>
        </w:tabs>
        <w:spacing w:line="360" w:lineRule="exact"/>
        <w:ind w:left="1066" w:hanging="357"/>
        <w:jc w:val="both"/>
        <w:rPr>
          <w:b w:val="0"/>
          <w:bCs w:val="0"/>
          <w:sz w:val="28"/>
          <w:szCs w:val="28"/>
        </w:rPr>
      </w:pPr>
      <w:r w:rsidRPr="008829DB">
        <w:rPr>
          <w:b w:val="0"/>
          <w:bCs w:val="0"/>
          <w:sz w:val="28"/>
          <w:szCs w:val="28"/>
        </w:rPr>
        <w:t xml:space="preserve">Allégement du déficit courant des échanges extérieurs, passant  de 7,6% du PIB en 2013 à </w:t>
      </w:r>
      <w:r w:rsidR="00525982">
        <w:rPr>
          <w:b w:val="0"/>
          <w:bCs w:val="0"/>
          <w:sz w:val="28"/>
          <w:szCs w:val="28"/>
        </w:rPr>
        <w:t>6</w:t>
      </w:r>
      <w:r w:rsidRPr="008829DB">
        <w:rPr>
          <w:b w:val="0"/>
          <w:bCs w:val="0"/>
          <w:sz w:val="28"/>
          <w:szCs w:val="28"/>
        </w:rPr>
        <w:t>,</w:t>
      </w:r>
      <w:r w:rsidR="00525982">
        <w:rPr>
          <w:b w:val="0"/>
          <w:bCs w:val="0"/>
          <w:sz w:val="28"/>
          <w:szCs w:val="28"/>
        </w:rPr>
        <w:t>0</w:t>
      </w:r>
      <w:r w:rsidRPr="008829DB">
        <w:rPr>
          <w:b w:val="0"/>
          <w:bCs w:val="0"/>
          <w:sz w:val="28"/>
          <w:szCs w:val="28"/>
        </w:rPr>
        <w:t xml:space="preserve">% en 2014 </w:t>
      </w:r>
      <w:r w:rsidR="002815D3">
        <w:rPr>
          <w:b w:val="0"/>
          <w:bCs w:val="0"/>
          <w:sz w:val="28"/>
          <w:szCs w:val="28"/>
        </w:rPr>
        <w:t xml:space="preserve">avant de revenir </w:t>
      </w:r>
      <w:r w:rsidRPr="008829DB">
        <w:rPr>
          <w:b w:val="0"/>
          <w:bCs w:val="0"/>
          <w:sz w:val="28"/>
          <w:szCs w:val="28"/>
        </w:rPr>
        <w:t>à 6,</w:t>
      </w:r>
      <w:r w:rsidR="00932635">
        <w:rPr>
          <w:b w:val="0"/>
          <w:bCs w:val="0"/>
          <w:sz w:val="28"/>
          <w:szCs w:val="28"/>
        </w:rPr>
        <w:t>1</w:t>
      </w:r>
      <w:r w:rsidRPr="008829DB">
        <w:rPr>
          <w:b w:val="0"/>
          <w:bCs w:val="0"/>
          <w:sz w:val="28"/>
          <w:szCs w:val="28"/>
        </w:rPr>
        <w:t>% en 2015 ;</w:t>
      </w:r>
    </w:p>
    <w:p w:rsidR="00226F0D" w:rsidRPr="00226F0D" w:rsidRDefault="00814EBB" w:rsidP="00814EBB">
      <w:pPr>
        <w:numPr>
          <w:ilvl w:val="0"/>
          <w:numId w:val="28"/>
        </w:numPr>
        <w:tabs>
          <w:tab w:val="clear" w:pos="927"/>
          <w:tab w:val="num" w:pos="3195"/>
        </w:tabs>
        <w:spacing w:line="360" w:lineRule="exact"/>
        <w:ind w:left="1066" w:hanging="357"/>
        <w:jc w:val="both"/>
        <w:rPr>
          <w:b w:val="0"/>
          <w:bCs w:val="0"/>
          <w:sz w:val="28"/>
          <w:szCs w:val="28"/>
        </w:rPr>
      </w:pPr>
      <w:r>
        <w:rPr>
          <w:b w:val="0"/>
          <w:bCs w:val="0"/>
          <w:sz w:val="28"/>
          <w:szCs w:val="28"/>
        </w:rPr>
        <w:t>S</w:t>
      </w:r>
      <w:r w:rsidRPr="00226F0D">
        <w:rPr>
          <w:b w:val="0"/>
          <w:bCs w:val="0"/>
          <w:sz w:val="28"/>
          <w:szCs w:val="28"/>
        </w:rPr>
        <w:t>tabilis</w:t>
      </w:r>
      <w:r>
        <w:rPr>
          <w:b w:val="0"/>
          <w:bCs w:val="0"/>
          <w:sz w:val="28"/>
          <w:szCs w:val="28"/>
        </w:rPr>
        <w:t>ation de l</w:t>
      </w:r>
      <w:r w:rsidR="00226F0D" w:rsidRPr="00226F0D">
        <w:rPr>
          <w:b w:val="0"/>
          <w:bCs w:val="0"/>
          <w:sz w:val="28"/>
          <w:szCs w:val="28"/>
        </w:rPr>
        <w:t xml:space="preserve">a dette publique </w:t>
      </w:r>
      <w:r w:rsidR="002F0D29">
        <w:rPr>
          <w:b w:val="0"/>
          <w:bCs w:val="0"/>
          <w:sz w:val="28"/>
          <w:szCs w:val="28"/>
        </w:rPr>
        <w:t xml:space="preserve">globale </w:t>
      </w:r>
      <w:r w:rsidR="00226F0D" w:rsidRPr="00226F0D">
        <w:rPr>
          <w:b w:val="0"/>
          <w:bCs w:val="0"/>
          <w:sz w:val="28"/>
          <w:szCs w:val="28"/>
        </w:rPr>
        <w:t xml:space="preserve">à 78,6%  </w:t>
      </w:r>
      <w:r w:rsidR="00AB63C5" w:rsidRPr="00226F0D">
        <w:rPr>
          <w:b w:val="0"/>
          <w:bCs w:val="0"/>
          <w:sz w:val="28"/>
          <w:szCs w:val="28"/>
        </w:rPr>
        <w:t xml:space="preserve">du PIB </w:t>
      </w:r>
      <w:r w:rsidR="008A5F02" w:rsidRPr="00226F0D">
        <w:rPr>
          <w:b w:val="0"/>
          <w:bCs w:val="0"/>
          <w:sz w:val="28"/>
          <w:szCs w:val="28"/>
        </w:rPr>
        <w:t xml:space="preserve">en 2014 </w:t>
      </w:r>
      <w:r w:rsidR="008A5F02">
        <w:rPr>
          <w:b w:val="0"/>
          <w:bCs w:val="0"/>
          <w:sz w:val="28"/>
          <w:szCs w:val="28"/>
        </w:rPr>
        <w:t xml:space="preserve">et </w:t>
      </w:r>
      <w:r w:rsidR="00AB63C5">
        <w:rPr>
          <w:b w:val="0"/>
          <w:bCs w:val="0"/>
          <w:sz w:val="28"/>
          <w:szCs w:val="28"/>
        </w:rPr>
        <w:t xml:space="preserve">en </w:t>
      </w:r>
      <w:r w:rsidR="00226F0D" w:rsidRPr="00226F0D">
        <w:rPr>
          <w:b w:val="0"/>
          <w:bCs w:val="0"/>
          <w:sz w:val="28"/>
          <w:szCs w:val="28"/>
        </w:rPr>
        <w:t>2015</w:t>
      </w:r>
      <w:r w:rsidR="00AB63C5" w:rsidRPr="00AB63C5">
        <w:rPr>
          <w:b w:val="0"/>
          <w:bCs w:val="0"/>
          <w:sz w:val="28"/>
          <w:szCs w:val="28"/>
        </w:rPr>
        <w:t xml:space="preserve"> </w:t>
      </w:r>
      <w:r w:rsidR="00AB63C5">
        <w:rPr>
          <w:b w:val="0"/>
          <w:bCs w:val="0"/>
          <w:sz w:val="28"/>
          <w:szCs w:val="28"/>
        </w:rPr>
        <w:t xml:space="preserve">au lieu </w:t>
      </w:r>
      <w:r w:rsidR="00AB63C5" w:rsidRPr="00226F0D">
        <w:rPr>
          <w:b w:val="0"/>
          <w:bCs w:val="0"/>
          <w:sz w:val="28"/>
          <w:szCs w:val="28"/>
        </w:rPr>
        <w:t>de 75,5% en 2013</w:t>
      </w:r>
      <w:r w:rsidR="00226F0D" w:rsidRPr="00226F0D">
        <w:rPr>
          <w:b w:val="0"/>
          <w:bCs w:val="0"/>
          <w:sz w:val="28"/>
          <w:szCs w:val="28"/>
        </w:rPr>
        <w:t>. Celle du Trésor passerait de 63,5% en 2013 à 64,</w:t>
      </w:r>
      <w:r w:rsidR="00226F0D" w:rsidRPr="00226F0D">
        <w:rPr>
          <w:rFonts w:hint="cs"/>
          <w:b w:val="0"/>
          <w:bCs w:val="0"/>
          <w:sz w:val="28"/>
          <w:szCs w:val="28"/>
          <w:rtl/>
        </w:rPr>
        <w:t>3</w:t>
      </w:r>
      <w:r w:rsidR="00226F0D" w:rsidRPr="00226F0D">
        <w:rPr>
          <w:b w:val="0"/>
          <w:bCs w:val="0"/>
          <w:sz w:val="28"/>
          <w:szCs w:val="28"/>
        </w:rPr>
        <w:t>% du PIB en 2014 et baisserait à 63,6% en 2015.</w:t>
      </w:r>
    </w:p>
    <w:p w:rsidR="008829DB" w:rsidRDefault="008829DB" w:rsidP="008829DB">
      <w:pPr>
        <w:pStyle w:val="Titre"/>
        <w:ind w:firstLine="720"/>
        <w:rPr>
          <w:b w:val="0"/>
          <w:bCs w:val="0"/>
          <w:sz w:val="32"/>
          <w:szCs w:val="32"/>
        </w:rPr>
      </w:pPr>
    </w:p>
    <w:p w:rsidR="00490F67" w:rsidRPr="00490F67" w:rsidRDefault="00490F67" w:rsidP="000E670C">
      <w:pPr>
        <w:spacing w:before="200" w:after="240" w:line="400" w:lineRule="exact"/>
        <w:ind w:firstLine="720"/>
        <w:jc w:val="both"/>
        <w:rPr>
          <w:b w:val="0"/>
          <w:bCs w:val="0"/>
          <w:sz w:val="28"/>
          <w:szCs w:val="28"/>
          <w:rtl/>
        </w:rPr>
      </w:pPr>
      <w:r w:rsidRPr="00490F67">
        <w:rPr>
          <w:b w:val="0"/>
          <w:bCs w:val="0"/>
          <w:sz w:val="28"/>
          <w:szCs w:val="28"/>
        </w:rPr>
        <w:t>Le budget économique prévisionnel 2015 présente une révision du budget économique exploratoire 201</w:t>
      </w:r>
      <w:r>
        <w:rPr>
          <w:b w:val="0"/>
          <w:bCs w:val="0"/>
          <w:sz w:val="28"/>
          <w:szCs w:val="28"/>
        </w:rPr>
        <w:t>5</w:t>
      </w:r>
      <w:r w:rsidRPr="00490F67">
        <w:rPr>
          <w:b w:val="0"/>
          <w:bCs w:val="0"/>
          <w:sz w:val="28"/>
          <w:szCs w:val="28"/>
        </w:rPr>
        <w:t xml:space="preserve"> publié au mois de juin 201</w:t>
      </w:r>
      <w:r>
        <w:rPr>
          <w:b w:val="0"/>
          <w:bCs w:val="0"/>
          <w:sz w:val="28"/>
          <w:szCs w:val="28"/>
        </w:rPr>
        <w:t>4</w:t>
      </w:r>
      <w:r w:rsidRPr="00490F67">
        <w:rPr>
          <w:b w:val="0"/>
          <w:bCs w:val="0"/>
          <w:sz w:val="28"/>
          <w:szCs w:val="28"/>
        </w:rPr>
        <w:t>. Il s’agit d’une nouvelle estimation de la croissance de l’économie nationale en 201</w:t>
      </w:r>
      <w:r>
        <w:rPr>
          <w:b w:val="0"/>
          <w:bCs w:val="0"/>
          <w:sz w:val="28"/>
          <w:szCs w:val="28"/>
        </w:rPr>
        <w:t>4</w:t>
      </w:r>
      <w:r w:rsidRPr="00490F67">
        <w:rPr>
          <w:b w:val="0"/>
          <w:bCs w:val="0"/>
          <w:sz w:val="28"/>
          <w:szCs w:val="28"/>
        </w:rPr>
        <w:t xml:space="preserve"> et de la révision des perspectives économiques de 201</w:t>
      </w:r>
      <w:r>
        <w:rPr>
          <w:b w:val="0"/>
          <w:bCs w:val="0"/>
          <w:sz w:val="28"/>
          <w:szCs w:val="28"/>
        </w:rPr>
        <w:t>5</w:t>
      </w:r>
      <w:r w:rsidRPr="00490F67">
        <w:rPr>
          <w:b w:val="0"/>
          <w:bCs w:val="0"/>
          <w:sz w:val="28"/>
          <w:szCs w:val="28"/>
        </w:rPr>
        <w:t xml:space="preserve"> et leurs effets sur les équilibres macroéconomiques internes et externes et sur le financement de l’économie.</w:t>
      </w:r>
    </w:p>
    <w:p w:rsidR="00ED7A69" w:rsidRDefault="00D073CD" w:rsidP="006D2CA2">
      <w:pPr>
        <w:spacing w:before="200" w:after="240" w:line="400" w:lineRule="exact"/>
        <w:ind w:firstLine="720"/>
        <w:jc w:val="both"/>
        <w:rPr>
          <w:b w:val="0"/>
          <w:bCs w:val="0"/>
          <w:sz w:val="28"/>
          <w:szCs w:val="28"/>
        </w:rPr>
      </w:pPr>
      <w:r w:rsidRPr="0079170F">
        <w:rPr>
          <w:b w:val="0"/>
          <w:bCs w:val="0"/>
          <w:sz w:val="28"/>
          <w:szCs w:val="28"/>
        </w:rPr>
        <w:t>Ce</w:t>
      </w:r>
      <w:r>
        <w:rPr>
          <w:b w:val="0"/>
          <w:bCs w:val="0"/>
          <w:sz w:val="28"/>
          <w:szCs w:val="28"/>
        </w:rPr>
        <w:t xml:space="preserve">s nouvelles perspectives prennent en </w:t>
      </w:r>
      <w:r w:rsidR="006D2CA2">
        <w:rPr>
          <w:b w:val="0"/>
          <w:bCs w:val="0"/>
          <w:sz w:val="28"/>
          <w:szCs w:val="28"/>
        </w:rPr>
        <w:t>compte</w:t>
      </w:r>
      <w:r>
        <w:rPr>
          <w:b w:val="0"/>
          <w:bCs w:val="0"/>
          <w:sz w:val="28"/>
          <w:szCs w:val="28"/>
        </w:rPr>
        <w:t xml:space="preserve"> l</w:t>
      </w:r>
      <w:r w:rsidRPr="0079170F">
        <w:rPr>
          <w:b w:val="0"/>
          <w:bCs w:val="0"/>
          <w:sz w:val="28"/>
          <w:szCs w:val="28"/>
        </w:rPr>
        <w:t xml:space="preserve">es dispositions de la loi de finances 2015, </w:t>
      </w:r>
      <w:r>
        <w:rPr>
          <w:b w:val="0"/>
          <w:bCs w:val="0"/>
          <w:sz w:val="28"/>
          <w:szCs w:val="28"/>
        </w:rPr>
        <w:t>l</w:t>
      </w:r>
      <w:r w:rsidRPr="00931E30">
        <w:rPr>
          <w:b w:val="0"/>
          <w:bCs w:val="0"/>
          <w:sz w:val="28"/>
          <w:szCs w:val="28"/>
        </w:rPr>
        <w:t xml:space="preserve">es résultats </w:t>
      </w:r>
      <w:r w:rsidR="008A5F02">
        <w:rPr>
          <w:b w:val="0"/>
          <w:bCs w:val="0"/>
          <w:sz w:val="28"/>
          <w:szCs w:val="28"/>
        </w:rPr>
        <w:t xml:space="preserve">des </w:t>
      </w:r>
      <w:r w:rsidRPr="0079170F">
        <w:rPr>
          <w:b w:val="0"/>
          <w:bCs w:val="0"/>
          <w:sz w:val="28"/>
          <w:szCs w:val="28"/>
        </w:rPr>
        <w:t xml:space="preserve">comptes </w:t>
      </w:r>
      <w:r>
        <w:rPr>
          <w:b w:val="0"/>
          <w:bCs w:val="0"/>
          <w:sz w:val="28"/>
          <w:szCs w:val="28"/>
        </w:rPr>
        <w:t xml:space="preserve">nationaux </w:t>
      </w:r>
      <w:r w:rsidR="006D2CA2">
        <w:rPr>
          <w:b w:val="0"/>
          <w:bCs w:val="0"/>
          <w:sz w:val="28"/>
          <w:szCs w:val="28"/>
        </w:rPr>
        <w:t xml:space="preserve">et </w:t>
      </w:r>
      <w:r w:rsidR="006D2CA2" w:rsidRPr="00931E30">
        <w:rPr>
          <w:b w:val="0"/>
          <w:bCs w:val="0"/>
          <w:sz w:val="28"/>
          <w:szCs w:val="28"/>
        </w:rPr>
        <w:t xml:space="preserve">des enquêtes </w:t>
      </w:r>
      <w:r w:rsidR="006D2CA2">
        <w:rPr>
          <w:b w:val="0"/>
          <w:bCs w:val="0"/>
          <w:sz w:val="28"/>
          <w:szCs w:val="28"/>
        </w:rPr>
        <w:t>et études réalisées</w:t>
      </w:r>
      <w:r w:rsidRPr="00931E30">
        <w:rPr>
          <w:b w:val="0"/>
          <w:bCs w:val="0"/>
          <w:sz w:val="28"/>
          <w:szCs w:val="28"/>
        </w:rPr>
        <w:t xml:space="preserve"> par le Haut-commissariat au Plan </w:t>
      </w:r>
      <w:r w:rsidR="006D2CA2">
        <w:rPr>
          <w:b w:val="0"/>
          <w:bCs w:val="0"/>
          <w:sz w:val="28"/>
          <w:szCs w:val="28"/>
        </w:rPr>
        <w:t xml:space="preserve">aux niveaux trimestriels ainsi que les données monétaires et financières fournies par les services du Ministère des finances </w:t>
      </w:r>
      <w:r w:rsidR="009459B0">
        <w:rPr>
          <w:b w:val="0"/>
          <w:bCs w:val="0"/>
          <w:sz w:val="28"/>
          <w:szCs w:val="28"/>
        </w:rPr>
        <w:t>et la banque centrale</w:t>
      </w:r>
      <w:r>
        <w:rPr>
          <w:b w:val="0"/>
          <w:bCs w:val="0"/>
          <w:sz w:val="28"/>
          <w:szCs w:val="28"/>
        </w:rPr>
        <w:t xml:space="preserve">. </w:t>
      </w:r>
    </w:p>
    <w:p w:rsidR="00D073CD" w:rsidRDefault="001C66F2" w:rsidP="009459B0">
      <w:pPr>
        <w:spacing w:before="200" w:after="240" w:line="400" w:lineRule="exact"/>
        <w:ind w:firstLine="720"/>
        <w:jc w:val="both"/>
        <w:rPr>
          <w:b w:val="0"/>
          <w:bCs w:val="0"/>
          <w:sz w:val="28"/>
          <w:szCs w:val="28"/>
        </w:rPr>
      </w:pPr>
      <w:r>
        <w:rPr>
          <w:b w:val="0"/>
          <w:bCs w:val="0"/>
          <w:sz w:val="28"/>
          <w:szCs w:val="28"/>
        </w:rPr>
        <w:t xml:space="preserve">Ces  perspectives </w:t>
      </w:r>
      <w:r w:rsidR="009459B0">
        <w:rPr>
          <w:b w:val="0"/>
          <w:bCs w:val="0"/>
          <w:sz w:val="28"/>
          <w:szCs w:val="28"/>
        </w:rPr>
        <w:t>se basent, par ailleurs</w:t>
      </w:r>
      <w:r>
        <w:rPr>
          <w:b w:val="0"/>
          <w:bCs w:val="0"/>
          <w:sz w:val="28"/>
          <w:szCs w:val="28"/>
        </w:rPr>
        <w:t>,</w:t>
      </w:r>
      <w:r w:rsidRPr="00931E30">
        <w:rPr>
          <w:b w:val="0"/>
          <w:bCs w:val="0"/>
          <w:sz w:val="28"/>
          <w:szCs w:val="28"/>
        </w:rPr>
        <w:t xml:space="preserve"> sur la base </w:t>
      </w:r>
      <w:r>
        <w:rPr>
          <w:b w:val="0"/>
          <w:bCs w:val="0"/>
          <w:sz w:val="28"/>
          <w:szCs w:val="28"/>
        </w:rPr>
        <w:t>d’une bonne campagne agricole</w:t>
      </w:r>
      <w:r w:rsidRPr="00931E30">
        <w:rPr>
          <w:b w:val="0"/>
          <w:bCs w:val="0"/>
          <w:sz w:val="28"/>
          <w:szCs w:val="28"/>
        </w:rPr>
        <w:t xml:space="preserve"> 201</w:t>
      </w:r>
      <w:r>
        <w:rPr>
          <w:b w:val="0"/>
          <w:bCs w:val="0"/>
          <w:sz w:val="28"/>
          <w:szCs w:val="28"/>
        </w:rPr>
        <w:t>4</w:t>
      </w:r>
      <w:r w:rsidRPr="00931E30">
        <w:rPr>
          <w:b w:val="0"/>
          <w:bCs w:val="0"/>
          <w:sz w:val="28"/>
          <w:szCs w:val="28"/>
        </w:rPr>
        <w:t>/201</w:t>
      </w:r>
      <w:r>
        <w:rPr>
          <w:b w:val="0"/>
          <w:bCs w:val="0"/>
          <w:sz w:val="28"/>
          <w:szCs w:val="28"/>
        </w:rPr>
        <w:t xml:space="preserve">5, et </w:t>
      </w:r>
      <w:r w:rsidRPr="00931E30">
        <w:rPr>
          <w:b w:val="0"/>
          <w:bCs w:val="0"/>
          <w:sz w:val="28"/>
          <w:szCs w:val="28"/>
        </w:rPr>
        <w:t>intègrent les</w:t>
      </w:r>
      <w:r w:rsidRPr="0079170F">
        <w:rPr>
          <w:b w:val="0"/>
          <w:bCs w:val="0"/>
          <w:sz w:val="28"/>
          <w:szCs w:val="28"/>
        </w:rPr>
        <w:t xml:space="preserve"> nouvelles </w:t>
      </w:r>
      <w:r w:rsidR="009459B0">
        <w:rPr>
          <w:b w:val="0"/>
          <w:bCs w:val="0"/>
          <w:sz w:val="28"/>
          <w:szCs w:val="28"/>
        </w:rPr>
        <w:t xml:space="preserve">évolutions de la situation </w:t>
      </w:r>
      <w:r w:rsidRPr="0079170F">
        <w:rPr>
          <w:b w:val="0"/>
          <w:bCs w:val="0"/>
          <w:sz w:val="28"/>
          <w:szCs w:val="28"/>
        </w:rPr>
        <w:t xml:space="preserve">de l'environnement </w:t>
      </w:r>
      <w:r>
        <w:rPr>
          <w:b w:val="0"/>
          <w:bCs w:val="0"/>
          <w:sz w:val="28"/>
          <w:szCs w:val="28"/>
        </w:rPr>
        <w:t xml:space="preserve">national et </w:t>
      </w:r>
      <w:r w:rsidRPr="0079170F">
        <w:rPr>
          <w:b w:val="0"/>
          <w:bCs w:val="0"/>
          <w:sz w:val="28"/>
          <w:szCs w:val="28"/>
        </w:rPr>
        <w:t xml:space="preserve">international </w:t>
      </w:r>
      <w:r>
        <w:rPr>
          <w:b w:val="0"/>
          <w:bCs w:val="0"/>
          <w:sz w:val="28"/>
          <w:szCs w:val="28"/>
        </w:rPr>
        <w:t>retenues p</w:t>
      </w:r>
      <w:r w:rsidRPr="0079170F">
        <w:rPr>
          <w:b w:val="0"/>
          <w:bCs w:val="0"/>
          <w:sz w:val="28"/>
          <w:szCs w:val="28"/>
        </w:rPr>
        <w:t>our l’année 2015</w:t>
      </w:r>
      <w:r w:rsidR="00D073CD" w:rsidRPr="0079170F">
        <w:rPr>
          <w:b w:val="0"/>
          <w:bCs w:val="0"/>
          <w:sz w:val="28"/>
          <w:szCs w:val="28"/>
        </w:rPr>
        <w:t xml:space="preserve">. </w:t>
      </w:r>
      <w:r w:rsidR="00D073CD">
        <w:rPr>
          <w:b w:val="0"/>
          <w:bCs w:val="0"/>
          <w:sz w:val="28"/>
          <w:szCs w:val="28"/>
        </w:rPr>
        <w:t xml:space="preserve"> </w:t>
      </w:r>
    </w:p>
    <w:p w:rsidR="00741CB6" w:rsidRPr="0079170F" w:rsidRDefault="00741CB6" w:rsidP="00741CB6">
      <w:pPr>
        <w:spacing w:before="200" w:after="240" w:line="400" w:lineRule="exact"/>
        <w:ind w:firstLine="720"/>
        <w:jc w:val="both"/>
        <w:rPr>
          <w:rFonts w:ascii="Book Antiqua" w:hAnsi="Book Antiqua"/>
          <w:b w:val="0"/>
          <w:bCs w:val="0"/>
          <w:sz w:val="32"/>
          <w:szCs w:val="32"/>
          <w:u w:val="single"/>
        </w:rPr>
      </w:pPr>
      <w:r w:rsidRPr="0079170F">
        <w:rPr>
          <w:rFonts w:ascii="Book Antiqua" w:hAnsi="Book Antiqua"/>
          <w:bCs w:val="0"/>
          <w:sz w:val="32"/>
          <w:szCs w:val="32"/>
          <w:u w:val="single"/>
        </w:rPr>
        <w:lastRenderedPageBreak/>
        <w:t xml:space="preserve">1. L’environnement international </w:t>
      </w:r>
    </w:p>
    <w:p w:rsidR="005E734E" w:rsidRPr="005E734E" w:rsidRDefault="005E734E" w:rsidP="005E734E">
      <w:pPr>
        <w:autoSpaceDE w:val="0"/>
        <w:autoSpaceDN w:val="0"/>
        <w:adjustRightInd w:val="0"/>
        <w:spacing w:before="200" w:after="240" w:line="400" w:lineRule="exact"/>
        <w:ind w:firstLine="720"/>
        <w:jc w:val="both"/>
        <w:rPr>
          <w:b w:val="0"/>
          <w:bCs w:val="0"/>
          <w:sz w:val="28"/>
          <w:szCs w:val="28"/>
        </w:rPr>
      </w:pPr>
      <w:r w:rsidRPr="005E734E">
        <w:rPr>
          <w:b w:val="0"/>
          <w:bCs w:val="0"/>
          <w:sz w:val="28"/>
          <w:szCs w:val="28"/>
        </w:rPr>
        <w:t>Selon les dernières perspectives établies par les institutions internationales, une amélioration de la situation économique mondiale est attendue en 2015, mais avec des divergences marquées entre les grandes économies. Dans les pays avancés, la croissance devrait être plus forte aux États-Unis et au Royaume-Uni que dans la zone euro et au Japon. Dans les économies émergentes, la croissance s’essoufflerait en Chine, resterait modeste en Russie et au Brésil, mais repartirait à un rythme régulier en Inde, en Afrique du Sud et en Indonésie. Globalement, la croissance mondiale passerait de 3,3% en 2014 à 3,7% en 2015</w:t>
      </w:r>
      <w:r w:rsidRPr="00814EBB">
        <w:rPr>
          <w:b w:val="0"/>
          <w:bCs w:val="0"/>
          <w:sz w:val="28"/>
          <w:szCs w:val="28"/>
          <w:vertAlign w:val="superscript"/>
        </w:rPr>
        <w:footnoteReference w:id="2"/>
      </w:r>
      <w:r w:rsidRPr="005E734E">
        <w:rPr>
          <w:b w:val="0"/>
          <w:bCs w:val="0"/>
          <w:sz w:val="28"/>
          <w:szCs w:val="28"/>
        </w:rPr>
        <w:t xml:space="preserve">. </w:t>
      </w:r>
    </w:p>
    <w:p w:rsidR="005E734E" w:rsidRPr="005E734E" w:rsidRDefault="005E734E" w:rsidP="00814EBB">
      <w:pPr>
        <w:autoSpaceDE w:val="0"/>
        <w:autoSpaceDN w:val="0"/>
        <w:adjustRightInd w:val="0"/>
        <w:spacing w:before="200" w:after="240" w:line="400" w:lineRule="exact"/>
        <w:ind w:firstLine="720"/>
        <w:jc w:val="both"/>
        <w:rPr>
          <w:b w:val="0"/>
          <w:bCs w:val="0"/>
          <w:sz w:val="28"/>
          <w:szCs w:val="28"/>
        </w:rPr>
      </w:pPr>
      <w:r w:rsidRPr="005E734E">
        <w:rPr>
          <w:b w:val="0"/>
          <w:bCs w:val="0"/>
          <w:sz w:val="28"/>
          <w:szCs w:val="28"/>
        </w:rPr>
        <w:t>Concernant l’accroissement du commerce mondial, il se redresserait plus rapidement que celui du PIB mondial, passant de 3% en 2014 à 4,5% en 2015, sans toutefois retrouver les rythmes de croissance antérieurs à la crise, lorsqu’ils augmentaient deux fois plus rapidement que le PIB à l’échelle mondiale. Deux facteurs principaux expliqueraient, en grande partie, cette baisse de l’élasticité du commerce mondial depuis la crise : d’une part, la faiblesse du commerce intra-</w:t>
      </w:r>
      <w:r w:rsidR="00814EBB">
        <w:rPr>
          <w:b w:val="0"/>
          <w:bCs w:val="0"/>
          <w:sz w:val="28"/>
          <w:szCs w:val="28"/>
        </w:rPr>
        <w:t>UE</w:t>
      </w:r>
      <w:r w:rsidRPr="005E734E">
        <w:rPr>
          <w:b w:val="0"/>
          <w:bCs w:val="0"/>
          <w:sz w:val="28"/>
          <w:szCs w:val="28"/>
        </w:rPr>
        <w:t>, du fait de l’insuffisance de la demande intérieure dans la zone euro et, d’autre part, la baisse de la contribution de l’UE dans l’activité mondiale après la crise.</w:t>
      </w:r>
    </w:p>
    <w:p w:rsidR="007512EB" w:rsidRDefault="005E734E" w:rsidP="00AA34F5">
      <w:pPr>
        <w:autoSpaceDE w:val="0"/>
        <w:autoSpaceDN w:val="0"/>
        <w:adjustRightInd w:val="0"/>
        <w:spacing w:before="200" w:after="240" w:line="400" w:lineRule="exact"/>
        <w:ind w:firstLine="720"/>
        <w:jc w:val="both"/>
        <w:rPr>
          <w:b w:val="0"/>
          <w:bCs w:val="0"/>
          <w:sz w:val="28"/>
          <w:szCs w:val="28"/>
        </w:rPr>
      </w:pPr>
      <w:r w:rsidRPr="005E734E">
        <w:rPr>
          <w:b w:val="0"/>
          <w:bCs w:val="0"/>
          <w:sz w:val="28"/>
          <w:szCs w:val="28"/>
        </w:rPr>
        <w:t>Sur le marché mondial des matières premières, la chute progressive des cours du pétrole brut, observée depuis l’été 2014, passant de 111,9$/baril en juin à 62,3$/baril en décembre 2014, puis aux alentours de 50 $/baril au début de 2015, milite pour une hausse contenue des prix prévue pour l’ensemble de l’année 2015. Ainsi, les prix ne devraient pas dépasser les 70$/baril</w:t>
      </w:r>
      <w:r w:rsidRPr="00814EBB">
        <w:rPr>
          <w:b w:val="0"/>
          <w:bCs w:val="0"/>
          <w:sz w:val="28"/>
          <w:szCs w:val="28"/>
          <w:vertAlign w:val="superscript"/>
        </w:rPr>
        <w:footnoteReference w:id="3"/>
      </w:r>
      <w:r w:rsidRPr="005E734E">
        <w:rPr>
          <w:b w:val="0"/>
          <w:bCs w:val="0"/>
          <w:sz w:val="28"/>
          <w:szCs w:val="28"/>
        </w:rPr>
        <w:t xml:space="preserve">. </w:t>
      </w:r>
    </w:p>
    <w:p w:rsidR="005E734E" w:rsidRPr="005E734E" w:rsidRDefault="005E734E" w:rsidP="00814EBB">
      <w:pPr>
        <w:autoSpaceDE w:val="0"/>
        <w:autoSpaceDN w:val="0"/>
        <w:adjustRightInd w:val="0"/>
        <w:spacing w:before="200" w:after="240" w:line="400" w:lineRule="exact"/>
        <w:ind w:firstLine="720"/>
        <w:jc w:val="both"/>
        <w:rPr>
          <w:b w:val="0"/>
          <w:bCs w:val="0"/>
          <w:sz w:val="28"/>
          <w:szCs w:val="28"/>
        </w:rPr>
      </w:pPr>
      <w:r w:rsidRPr="005E734E">
        <w:rPr>
          <w:b w:val="0"/>
          <w:bCs w:val="0"/>
          <w:sz w:val="28"/>
          <w:szCs w:val="28"/>
        </w:rPr>
        <w:t>Plusieurs facteurs expliquent cette détente, dont la diminution des tensions sur le marché physique avec une demande peu soutenue, notamment de la Chine et certains pays émergents, et une offre relativement abondante, associés à l’atténuation des tensions géopolitiques affectant les pays producteurs (Irak, Libye, Russie). Les prix des autres matières premières</w:t>
      </w:r>
      <w:r w:rsidR="00814EBB">
        <w:rPr>
          <w:b w:val="0"/>
          <w:bCs w:val="0"/>
          <w:sz w:val="28"/>
          <w:szCs w:val="28"/>
        </w:rPr>
        <w:t>,</w:t>
      </w:r>
      <w:r w:rsidRPr="005E734E">
        <w:rPr>
          <w:b w:val="0"/>
          <w:bCs w:val="0"/>
          <w:sz w:val="28"/>
          <w:szCs w:val="28"/>
        </w:rPr>
        <w:t xml:space="preserve"> hors énergie</w:t>
      </w:r>
      <w:r w:rsidR="00814EBB">
        <w:rPr>
          <w:b w:val="0"/>
          <w:bCs w:val="0"/>
          <w:sz w:val="28"/>
          <w:szCs w:val="28"/>
        </w:rPr>
        <w:t>,</w:t>
      </w:r>
      <w:r w:rsidRPr="005E734E">
        <w:rPr>
          <w:b w:val="0"/>
          <w:bCs w:val="0"/>
          <w:sz w:val="28"/>
          <w:szCs w:val="28"/>
        </w:rPr>
        <w:t xml:space="preserve"> connaîtraient</w:t>
      </w:r>
      <w:r w:rsidR="00814EBB">
        <w:rPr>
          <w:b w:val="0"/>
          <w:bCs w:val="0"/>
          <w:sz w:val="28"/>
          <w:szCs w:val="28"/>
        </w:rPr>
        <w:t xml:space="preserve"> </w:t>
      </w:r>
      <w:r w:rsidRPr="005E734E">
        <w:rPr>
          <w:b w:val="0"/>
          <w:bCs w:val="0"/>
          <w:sz w:val="28"/>
          <w:szCs w:val="28"/>
        </w:rPr>
        <w:t>également une certaine détente, en particulier ceux des produits agricoles et minéraux.</w:t>
      </w:r>
    </w:p>
    <w:p w:rsidR="005E734E" w:rsidRPr="005E734E" w:rsidRDefault="005E734E" w:rsidP="005E734E">
      <w:pPr>
        <w:autoSpaceDE w:val="0"/>
        <w:autoSpaceDN w:val="0"/>
        <w:adjustRightInd w:val="0"/>
        <w:spacing w:before="200" w:after="240" w:line="400" w:lineRule="exact"/>
        <w:ind w:firstLine="720"/>
        <w:jc w:val="both"/>
        <w:rPr>
          <w:b w:val="0"/>
          <w:bCs w:val="0"/>
          <w:sz w:val="28"/>
          <w:szCs w:val="28"/>
        </w:rPr>
      </w:pPr>
    </w:p>
    <w:p w:rsidR="005E734E" w:rsidRPr="005E734E" w:rsidRDefault="005E734E" w:rsidP="005E734E">
      <w:pPr>
        <w:autoSpaceDE w:val="0"/>
        <w:autoSpaceDN w:val="0"/>
        <w:adjustRightInd w:val="0"/>
        <w:spacing w:before="200" w:after="240" w:line="400" w:lineRule="exact"/>
        <w:ind w:firstLine="720"/>
        <w:jc w:val="both"/>
        <w:rPr>
          <w:b w:val="0"/>
          <w:bCs w:val="0"/>
          <w:sz w:val="28"/>
          <w:szCs w:val="28"/>
        </w:rPr>
      </w:pPr>
      <w:r w:rsidRPr="005E734E">
        <w:rPr>
          <w:b w:val="0"/>
          <w:bCs w:val="0"/>
          <w:sz w:val="28"/>
          <w:szCs w:val="28"/>
        </w:rPr>
        <w:t xml:space="preserve">Dans ce contexte, les tensions inflationnistes au niveau mondial devraient rester faibles en 2015. Les chutes marquées des prix du pétrole et des denrées alimentaires exerceraient de nouvelles pressions à la baisse sur l’inflation mondiale qui ne dépasserait pas 1,5%, contre 1,6% en 2014. De même que la croissance modérée des salaires et l’ampleur persistante des capacités inutilisées contiendraient les tensions sur les coûts. </w:t>
      </w:r>
    </w:p>
    <w:p w:rsidR="005E734E" w:rsidRPr="005E734E" w:rsidRDefault="005E734E" w:rsidP="005E734E">
      <w:pPr>
        <w:autoSpaceDE w:val="0"/>
        <w:autoSpaceDN w:val="0"/>
        <w:adjustRightInd w:val="0"/>
        <w:spacing w:before="200" w:after="240" w:line="400" w:lineRule="exact"/>
        <w:ind w:firstLine="720"/>
        <w:jc w:val="both"/>
        <w:rPr>
          <w:b w:val="0"/>
          <w:bCs w:val="0"/>
          <w:sz w:val="28"/>
          <w:szCs w:val="28"/>
        </w:rPr>
      </w:pPr>
      <w:r w:rsidRPr="005E734E">
        <w:rPr>
          <w:b w:val="0"/>
          <w:bCs w:val="0"/>
          <w:sz w:val="28"/>
          <w:szCs w:val="28"/>
        </w:rPr>
        <w:t>Sur les marchés de change, l’euro pourrait continuer sa dépréciation vis-à-vis du dollar, pour s’établir à 1,23 en moyenne en 2015, contre 1,33 en 2014, dans un contexte d’assouplissement monétaire.</w:t>
      </w:r>
    </w:p>
    <w:p w:rsidR="00ED7A69" w:rsidRDefault="00ED7A69" w:rsidP="000E670C">
      <w:pPr>
        <w:rPr>
          <w:rFonts w:ascii="Book Antiqua" w:hAnsi="Book Antiqua"/>
          <w:bCs w:val="0"/>
          <w:sz w:val="32"/>
          <w:szCs w:val="32"/>
          <w:u w:val="single"/>
        </w:rPr>
      </w:pPr>
    </w:p>
    <w:p w:rsidR="00305060" w:rsidRDefault="00305060" w:rsidP="000E670C">
      <w:pPr>
        <w:rPr>
          <w:rFonts w:ascii="Book Antiqua" w:hAnsi="Book Antiqua"/>
          <w:bCs w:val="0"/>
          <w:sz w:val="32"/>
          <w:szCs w:val="32"/>
          <w:u w:val="single"/>
        </w:rPr>
      </w:pPr>
      <w:r w:rsidRPr="0079170F">
        <w:rPr>
          <w:rFonts w:ascii="Book Antiqua" w:hAnsi="Book Antiqua"/>
          <w:bCs w:val="0"/>
          <w:sz w:val="32"/>
          <w:szCs w:val="32"/>
          <w:u w:val="single"/>
        </w:rPr>
        <w:t>2. L’évolution de l’économie nationale en 2014</w:t>
      </w:r>
    </w:p>
    <w:p w:rsidR="00B87F3B" w:rsidRPr="00746010" w:rsidRDefault="00B87F3B" w:rsidP="00B87F3B">
      <w:pPr>
        <w:spacing w:before="200" w:after="240" w:line="400" w:lineRule="exact"/>
        <w:ind w:firstLine="720"/>
        <w:jc w:val="both"/>
        <w:rPr>
          <w:b w:val="0"/>
          <w:bCs w:val="0"/>
          <w:sz w:val="28"/>
          <w:szCs w:val="28"/>
        </w:rPr>
      </w:pPr>
      <w:r w:rsidRPr="0079170F">
        <w:rPr>
          <w:b w:val="0"/>
          <w:bCs w:val="0"/>
          <w:sz w:val="28"/>
          <w:szCs w:val="28"/>
        </w:rPr>
        <w:t xml:space="preserve">L’économie nationale aurait </w:t>
      </w:r>
      <w:r>
        <w:rPr>
          <w:b w:val="0"/>
          <w:bCs w:val="0"/>
          <w:sz w:val="28"/>
          <w:szCs w:val="28"/>
        </w:rPr>
        <w:t xml:space="preserve">été marquée en 2014 par la décélération continue </w:t>
      </w:r>
      <w:r w:rsidRPr="00746010">
        <w:rPr>
          <w:b w:val="0"/>
          <w:bCs w:val="0"/>
          <w:sz w:val="28"/>
          <w:szCs w:val="28"/>
        </w:rPr>
        <w:t>du rythme de progression des crédits à l’économie</w:t>
      </w:r>
      <w:r>
        <w:rPr>
          <w:b w:val="0"/>
          <w:bCs w:val="0"/>
          <w:sz w:val="28"/>
          <w:szCs w:val="28"/>
        </w:rPr>
        <w:t>,</w:t>
      </w:r>
      <w:r w:rsidRPr="00746010">
        <w:rPr>
          <w:b w:val="0"/>
          <w:bCs w:val="0"/>
          <w:sz w:val="28"/>
          <w:szCs w:val="28"/>
        </w:rPr>
        <w:t xml:space="preserve"> </w:t>
      </w:r>
      <w:r>
        <w:rPr>
          <w:b w:val="0"/>
          <w:bCs w:val="0"/>
          <w:sz w:val="28"/>
          <w:szCs w:val="28"/>
        </w:rPr>
        <w:t xml:space="preserve">réduisant par conséquent, </w:t>
      </w:r>
      <w:r w:rsidRPr="00746010">
        <w:rPr>
          <w:b w:val="0"/>
          <w:bCs w:val="0"/>
          <w:sz w:val="28"/>
          <w:szCs w:val="28"/>
        </w:rPr>
        <w:t>le dynamisme des composantes de la demande</w:t>
      </w:r>
      <w:r>
        <w:rPr>
          <w:b w:val="0"/>
          <w:bCs w:val="0"/>
          <w:sz w:val="28"/>
          <w:szCs w:val="28"/>
        </w:rPr>
        <w:t>,</w:t>
      </w:r>
      <w:r w:rsidRPr="00746010">
        <w:rPr>
          <w:b w:val="0"/>
          <w:bCs w:val="0"/>
          <w:sz w:val="28"/>
          <w:szCs w:val="28"/>
        </w:rPr>
        <w:t xml:space="preserve"> notamment</w:t>
      </w:r>
      <w:r>
        <w:rPr>
          <w:b w:val="0"/>
          <w:bCs w:val="0"/>
          <w:sz w:val="28"/>
          <w:szCs w:val="28"/>
        </w:rPr>
        <w:t>,</w:t>
      </w:r>
      <w:r w:rsidRPr="00746010">
        <w:rPr>
          <w:b w:val="0"/>
          <w:bCs w:val="0"/>
          <w:sz w:val="28"/>
          <w:szCs w:val="28"/>
        </w:rPr>
        <w:t xml:space="preserve"> l’investissement et la consommation des ménages. </w:t>
      </w:r>
      <w:r>
        <w:rPr>
          <w:b w:val="0"/>
          <w:bCs w:val="0"/>
          <w:sz w:val="28"/>
          <w:szCs w:val="28"/>
        </w:rPr>
        <w:t>Néanmoins,  l</w:t>
      </w:r>
      <w:r w:rsidRPr="0079170F">
        <w:rPr>
          <w:b w:val="0"/>
          <w:bCs w:val="0"/>
          <w:sz w:val="28"/>
          <w:szCs w:val="28"/>
        </w:rPr>
        <w:t xml:space="preserve">’économie nationale </w:t>
      </w:r>
      <w:r>
        <w:rPr>
          <w:b w:val="0"/>
          <w:bCs w:val="0"/>
          <w:sz w:val="28"/>
          <w:szCs w:val="28"/>
        </w:rPr>
        <w:t>aurait</w:t>
      </w:r>
      <w:r w:rsidRPr="00746010">
        <w:rPr>
          <w:b w:val="0"/>
          <w:bCs w:val="0"/>
          <w:sz w:val="28"/>
          <w:szCs w:val="28"/>
        </w:rPr>
        <w:t xml:space="preserve"> </w:t>
      </w:r>
      <w:r>
        <w:rPr>
          <w:b w:val="0"/>
          <w:bCs w:val="0"/>
          <w:sz w:val="28"/>
          <w:szCs w:val="28"/>
        </w:rPr>
        <w:t xml:space="preserve">enregistré </w:t>
      </w:r>
      <w:r w:rsidRPr="0079170F">
        <w:rPr>
          <w:b w:val="0"/>
          <w:bCs w:val="0"/>
          <w:sz w:val="28"/>
          <w:szCs w:val="28"/>
        </w:rPr>
        <w:t xml:space="preserve">une amélioration des activités non agricoles </w:t>
      </w:r>
      <w:r>
        <w:rPr>
          <w:b w:val="0"/>
          <w:bCs w:val="0"/>
          <w:sz w:val="28"/>
          <w:szCs w:val="28"/>
        </w:rPr>
        <w:t>par rapport</w:t>
      </w:r>
      <w:r w:rsidRPr="0079170F">
        <w:rPr>
          <w:b w:val="0"/>
          <w:bCs w:val="0"/>
          <w:sz w:val="28"/>
          <w:szCs w:val="28"/>
        </w:rPr>
        <w:t xml:space="preserve"> aux résultats enregistrés en 2013</w:t>
      </w:r>
      <w:r>
        <w:rPr>
          <w:b w:val="0"/>
          <w:bCs w:val="0"/>
          <w:sz w:val="28"/>
          <w:szCs w:val="28"/>
        </w:rPr>
        <w:t xml:space="preserve"> et un allègement de  ses déficits interne et externe</w:t>
      </w:r>
      <w:r w:rsidRPr="0079170F">
        <w:rPr>
          <w:b w:val="0"/>
          <w:bCs w:val="0"/>
          <w:sz w:val="28"/>
          <w:szCs w:val="28"/>
        </w:rPr>
        <w:t xml:space="preserve">. </w:t>
      </w:r>
    </w:p>
    <w:p w:rsidR="009263E7" w:rsidRDefault="009263E7" w:rsidP="009263E7">
      <w:pPr>
        <w:widowControl w:val="0"/>
        <w:spacing w:before="200" w:after="240" w:line="400" w:lineRule="exact"/>
        <w:ind w:firstLine="720"/>
        <w:jc w:val="mediumKashida"/>
        <w:rPr>
          <w:rFonts w:ascii="Book Antiqua" w:hAnsi="Book Antiqua"/>
          <w:bCs w:val="0"/>
          <w:sz w:val="32"/>
          <w:szCs w:val="32"/>
          <w:u w:val="single"/>
        </w:rPr>
      </w:pPr>
      <w:r w:rsidRPr="003D63B9">
        <w:rPr>
          <w:b w:val="0"/>
          <w:bCs w:val="0"/>
          <w:sz w:val="28"/>
          <w:szCs w:val="28"/>
        </w:rPr>
        <w:t>2</w:t>
      </w:r>
      <w:r w:rsidRPr="0079170F">
        <w:rPr>
          <w:rFonts w:ascii="Book Antiqua" w:hAnsi="Book Antiqua"/>
          <w:bCs w:val="0"/>
          <w:sz w:val="32"/>
          <w:szCs w:val="32"/>
          <w:u w:val="single"/>
        </w:rPr>
        <w:t>.</w:t>
      </w:r>
      <w:r>
        <w:rPr>
          <w:rFonts w:ascii="Book Antiqua" w:hAnsi="Book Antiqua"/>
          <w:bCs w:val="0"/>
          <w:sz w:val="32"/>
          <w:szCs w:val="32"/>
          <w:u w:val="single"/>
        </w:rPr>
        <w:t>1 La croissance économique sectorielle</w:t>
      </w: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r w:rsidRPr="00662E50">
        <w:rPr>
          <w:rFonts w:ascii="Times New Roman" w:eastAsia="Times New Roman" w:hAnsi="Times New Roman" w:cs="Times New Roman"/>
          <w:sz w:val="28"/>
          <w:szCs w:val="28"/>
          <w:lang w:eastAsia="fr-FR" w:bidi="ar-SA"/>
        </w:rPr>
        <w:t xml:space="preserve">L’économie nationale aurait été marquée en 2014 par un ralentissement de la production marchande, attribuable à la contraction des activités agricoles et aux faibles performances de la construction et du tourisme. </w:t>
      </w:r>
    </w:p>
    <w:p w:rsid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r w:rsidRPr="00662E50">
        <w:rPr>
          <w:rFonts w:ascii="Times New Roman" w:eastAsia="Times New Roman" w:hAnsi="Times New Roman" w:cs="Times New Roman"/>
          <w:sz w:val="28"/>
          <w:szCs w:val="28"/>
          <w:lang w:eastAsia="fr-FR" w:bidi="ar-SA"/>
        </w:rPr>
        <w:t xml:space="preserve">Ce ralentissement aurait été plus accentué au premier trimestre, avant de s’amenuiser progressivement au cours de l’année, laissant place à un regain d’activité au cours </w:t>
      </w:r>
      <w:r w:rsidR="00CC7400" w:rsidRPr="00662E50">
        <w:rPr>
          <w:rFonts w:ascii="Times New Roman" w:eastAsia="Times New Roman" w:hAnsi="Times New Roman" w:cs="Times New Roman"/>
          <w:sz w:val="28"/>
          <w:szCs w:val="28"/>
          <w:lang w:eastAsia="fr-FR" w:bidi="ar-SA"/>
        </w:rPr>
        <w:t>des troisièmes et quatrièmes trimestres</w:t>
      </w:r>
      <w:r w:rsidRPr="00662E50">
        <w:rPr>
          <w:rFonts w:ascii="Times New Roman" w:eastAsia="Times New Roman" w:hAnsi="Times New Roman" w:cs="Times New Roman"/>
          <w:sz w:val="28"/>
          <w:szCs w:val="28"/>
          <w:lang w:eastAsia="fr-FR" w:bidi="ar-SA"/>
        </w:rPr>
        <w:t>. L’essentiel de cette reprise proviendrait des activités tertiaires et de certaines branches du secondaire, notamment les mines et l’industrie.</w:t>
      </w: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r w:rsidRPr="00662E50">
        <w:rPr>
          <w:rFonts w:ascii="Times New Roman" w:eastAsia="Times New Roman" w:hAnsi="Times New Roman" w:cs="Times New Roman"/>
          <w:sz w:val="28"/>
          <w:szCs w:val="28"/>
          <w:lang w:eastAsia="fr-FR" w:bidi="ar-SA"/>
        </w:rPr>
        <w:t xml:space="preserve">En revanche, le </w:t>
      </w:r>
      <w:r w:rsidRPr="000C7700">
        <w:rPr>
          <w:rFonts w:ascii="Times New Roman" w:eastAsia="Times New Roman" w:hAnsi="Times New Roman" w:cs="Times New Roman"/>
          <w:b/>
          <w:bCs/>
          <w:sz w:val="28"/>
          <w:szCs w:val="28"/>
          <w:lang w:eastAsia="fr-FR" w:bidi="ar-SA"/>
        </w:rPr>
        <w:t>secteur  primaire</w:t>
      </w:r>
      <w:r w:rsidRPr="00662E50">
        <w:rPr>
          <w:rFonts w:ascii="Times New Roman" w:eastAsia="Times New Roman" w:hAnsi="Times New Roman" w:cs="Times New Roman"/>
          <w:sz w:val="28"/>
          <w:szCs w:val="28"/>
          <w:lang w:eastAsia="fr-FR" w:bidi="ar-SA"/>
        </w:rPr>
        <w:t xml:space="preserve"> se serait maintenu, tout au long de l’année 2014, en dessous des niveaux réalisés en 2013, soustrayant près de 0,2 point à la croissance économique. </w:t>
      </w: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r w:rsidRPr="00662E50">
        <w:rPr>
          <w:rFonts w:ascii="Times New Roman" w:eastAsia="Times New Roman" w:hAnsi="Times New Roman" w:cs="Times New Roman"/>
          <w:sz w:val="28"/>
          <w:szCs w:val="28"/>
          <w:lang w:eastAsia="fr-FR" w:bidi="ar-SA"/>
        </w:rPr>
        <w:t xml:space="preserve">Les activités agricoles auraient été les plus affectées par une conjoncture défavorable en 2014, affichant une régression de 1,8%, en variation annuelle, au lieu de 19% une année auparavant. Cette inflexion à la baisse traduit, principalement, le recul des récoltes céréalières et des légumineuses de 29,5% et 10,4% respectivement, sous l’effet conjugué d’une baisse des superficies semées et des rendements dans les zones bour. Celles des cultures destinées à l’exportation ou à la transformation industrielle auraient, par contre, évolué à un rythme soutenu. La régression du volume de la production agricole se serait accompagnée par une réduction de 2% des prix agricoles, ayant principalement marqué les fruits et les légumes. </w:t>
      </w: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p>
    <w:p w:rsidR="00662E50" w:rsidRPr="00662E50" w:rsidRDefault="00662E50" w:rsidP="000C770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r w:rsidRPr="00662E50">
        <w:rPr>
          <w:rFonts w:ascii="Times New Roman" w:eastAsia="Times New Roman" w:hAnsi="Times New Roman" w:cs="Times New Roman"/>
          <w:sz w:val="28"/>
          <w:szCs w:val="28"/>
          <w:lang w:eastAsia="fr-FR" w:bidi="ar-SA"/>
        </w:rPr>
        <w:t xml:space="preserve"> Les activités de la pêche côtière se seraient, également, tassées, dans le sillage de la contraction des débarquements des céphalopodes et des algues. Au total, la </w:t>
      </w:r>
      <w:r w:rsidRPr="000C7700">
        <w:rPr>
          <w:rFonts w:ascii="Times New Roman" w:eastAsia="Times New Roman" w:hAnsi="Times New Roman" w:cs="Times New Roman"/>
          <w:b/>
          <w:bCs/>
          <w:sz w:val="28"/>
          <w:szCs w:val="28"/>
          <w:lang w:eastAsia="fr-FR" w:bidi="ar-SA"/>
        </w:rPr>
        <w:t>valeur ajoutée du secteur primaire</w:t>
      </w:r>
      <w:r w:rsidRPr="00662E50">
        <w:rPr>
          <w:rFonts w:ascii="Times New Roman" w:eastAsia="Times New Roman" w:hAnsi="Times New Roman" w:cs="Times New Roman"/>
          <w:sz w:val="28"/>
          <w:szCs w:val="28"/>
          <w:lang w:eastAsia="fr-FR" w:bidi="ar-SA"/>
        </w:rPr>
        <w:t xml:space="preserve"> se serait repliée de 1,</w:t>
      </w:r>
      <w:r w:rsidR="000C7700">
        <w:rPr>
          <w:rFonts w:ascii="Times New Roman" w:eastAsia="Times New Roman" w:hAnsi="Times New Roman" w:cs="Times New Roman"/>
          <w:sz w:val="28"/>
          <w:szCs w:val="28"/>
          <w:lang w:eastAsia="fr-FR" w:bidi="ar-SA"/>
        </w:rPr>
        <w:t>7</w:t>
      </w:r>
      <w:r w:rsidRPr="00662E50">
        <w:rPr>
          <w:rFonts w:ascii="Times New Roman" w:eastAsia="Times New Roman" w:hAnsi="Times New Roman" w:cs="Times New Roman"/>
          <w:sz w:val="28"/>
          <w:szCs w:val="28"/>
          <w:lang w:eastAsia="fr-FR" w:bidi="ar-SA"/>
        </w:rPr>
        <w:t>%, après une hausse de 18,7% en 2013.</w:t>
      </w: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r w:rsidRPr="00662E50">
        <w:rPr>
          <w:rFonts w:ascii="Times New Roman" w:eastAsia="Times New Roman" w:hAnsi="Times New Roman" w:cs="Times New Roman"/>
          <w:sz w:val="28"/>
          <w:szCs w:val="28"/>
          <w:lang w:eastAsia="fr-FR" w:bidi="ar-SA"/>
        </w:rPr>
        <w:t xml:space="preserve">Dans </w:t>
      </w:r>
      <w:r w:rsidRPr="000C7700">
        <w:rPr>
          <w:rFonts w:ascii="Times New Roman" w:eastAsia="Times New Roman" w:hAnsi="Times New Roman" w:cs="Times New Roman"/>
          <w:b/>
          <w:bCs/>
          <w:sz w:val="28"/>
          <w:szCs w:val="28"/>
          <w:lang w:eastAsia="fr-FR" w:bidi="ar-SA"/>
        </w:rPr>
        <w:t>le secteur secondaire</w:t>
      </w:r>
      <w:r w:rsidRPr="00662E50">
        <w:rPr>
          <w:rFonts w:ascii="Times New Roman" w:eastAsia="Times New Roman" w:hAnsi="Times New Roman" w:cs="Times New Roman"/>
          <w:sz w:val="28"/>
          <w:szCs w:val="28"/>
          <w:lang w:eastAsia="fr-FR" w:bidi="ar-SA"/>
        </w:rPr>
        <w:t>, et après une première moitié d’année en amélioration modérée, les activités des mines et de l’industrie auraient renoué avec des rythmes de croissance plus soutenus au second semestre 2014, favorisant un relèvement de la valeur ajoutée du secteur de 3%, en variation annuelle, au lieu de 0,3% en 2013.</w:t>
      </w: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r w:rsidRPr="00662E50">
        <w:rPr>
          <w:rFonts w:ascii="Times New Roman" w:eastAsia="Times New Roman" w:hAnsi="Times New Roman" w:cs="Times New Roman"/>
          <w:sz w:val="28"/>
          <w:szCs w:val="28"/>
          <w:lang w:eastAsia="fr-FR" w:bidi="ar-SA"/>
        </w:rPr>
        <w:t xml:space="preserve">L’activité minière serait restée le principal support de cette performance. C’est ainsi qu’après une croissance de 6,4% au premier trimestre, elle aurait réalisé un bond de près de 17% au second semestre, avec comme contrepartie une amélioration de sa contribution à la croissance de 0,6 point. La relance des ventes de phosphate adressées aux industries locales de transformation  aurait été confortée par la consolidation  des importations des pays de l’Amérique latine et de l’Afrique, notamment en DAP et TSP et par les effets d’une stratégie compétitive orientée vers la réduction des coûts de transport et l’amélioration des parts de marché. En conséquence, la production des minerais non-métalliques se serait accrue de 13,5%, favorisant une hausse de la valeur ajoutée minière de 11,5% en 2014, après -2,9% en 2013. </w:t>
      </w: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p>
    <w:p w:rsidR="00C902DE"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r w:rsidRPr="00662E50">
        <w:rPr>
          <w:rFonts w:ascii="Times New Roman" w:eastAsia="Times New Roman" w:hAnsi="Times New Roman" w:cs="Times New Roman"/>
          <w:sz w:val="28"/>
          <w:szCs w:val="28"/>
          <w:lang w:eastAsia="fr-FR" w:bidi="ar-SA"/>
        </w:rPr>
        <w:lastRenderedPageBreak/>
        <w:t xml:space="preserve">Dans </w:t>
      </w:r>
      <w:r w:rsidRPr="00C902DE">
        <w:rPr>
          <w:rFonts w:ascii="Times New Roman" w:eastAsia="Times New Roman" w:hAnsi="Times New Roman" w:cs="Times New Roman"/>
          <w:b/>
          <w:bCs/>
          <w:sz w:val="28"/>
          <w:szCs w:val="28"/>
          <w:lang w:eastAsia="fr-FR" w:bidi="ar-SA"/>
        </w:rPr>
        <w:t>l’industrie</w:t>
      </w:r>
      <w:r w:rsidRPr="00662E50">
        <w:rPr>
          <w:rFonts w:ascii="Times New Roman" w:eastAsia="Times New Roman" w:hAnsi="Times New Roman" w:cs="Times New Roman"/>
          <w:sz w:val="28"/>
          <w:szCs w:val="28"/>
          <w:lang w:eastAsia="fr-FR" w:bidi="ar-SA"/>
        </w:rPr>
        <w:t xml:space="preserve">, la valeur ajoutée, hors raffinage de pétrole, aurait progressé de 1,8% en 2014, après une croissance anémique de 0,8% en 2013. Les signes du regain des activités du secteur industriel se sont confirmés à la mi-2014, grâce notamment au raffermissement des branches traditionnellement performantes. L’activité se serait, en effet, améliorée au niveau des industries agroalimentaires, profitant de la hausse de la production des corps gras et des conserves des légumes et des fruits et au niveau des IMME, tirées principalement par le raffermissement des produits de l’automobile et de l’électronique. </w:t>
      </w: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r w:rsidRPr="00662E50">
        <w:rPr>
          <w:rFonts w:ascii="Times New Roman" w:eastAsia="Times New Roman" w:hAnsi="Times New Roman" w:cs="Times New Roman"/>
          <w:sz w:val="28"/>
          <w:szCs w:val="28"/>
          <w:lang w:eastAsia="fr-FR" w:bidi="ar-SA"/>
        </w:rPr>
        <w:t>En outre, la valeur ajoutée de la chimie et parachimie se serait redressée, après un premier semestre morose, profitant de la relance des ventes extérieures des engrais. Seules les industries liées au bâtiment et au raffinage du pétrole, confrontées à une contraction de leurs ventes sur le marché local, auraient accusé des régressions de 1% et 5%, respectivement en 2014.</w:t>
      </w: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p>
    <w:p w:rsidR="00662E50" w:rsidRPr="00662E50" w:rsidRDefault="00662E50" w:rsidP="00662E50">
      <w:pPr>
        <w:pStyle w:val="Paragraphedeliste"/>
        <w:tabs>
          <w:tab w:val="left" w:pos="284"/>
        </w:tabs>
        <w:spacing w:after="240" w:line="400" w:lineRule="exact"/>
        <w:ind w:left="0" w:firstLine="720"/>
        <w:jc w:val="both"/>
        <w:rPr>
          <w:rFonts w:ascii="Times New Roman" w:eastAsia="Times New Roman" w:hAnsi="Times New Roman" w:cs="Times New Roman"/>
          <w:sz w:val="28"/>
          <w:szCs w:val="28"/>
          <w:lang w:eastAsia="fr-FR" w:bidi="ar-SA"/>
        </w:rPr>
      </w:pPr>
      <w:r w:rsidRPr="00662E50">
        <w:rPr>
          <w:rFonts w:ascii="Times New Roman" w:eastAsia="Times New Roman" w:hAnsi="Times New Roman" w:cs="Times New Roman"/>
          <w:sz w:val="28"/>
          <w:szCs w:val="28"/>
          <w:lang w:eastAsia="fr-FR" w:bidi="ar-SA"/>
        </w:rPr>
        <w:t xml:space="preserve">Au niveau du </w:t>
      </w:r>
      <w:r w:rsidRPr="00C902DE">
        <w:rPr>
          <w:rFonts w:ascii="Times New Roman" w:eastAsia="Times New Roman" w:hAnsi="Times New Roman" w:cs="Times New Roman"/>
          <w:b/>
          <w:bCs/>
          <w:sz w:val="28"/>
          <w:szCs w:val="28"/>
          <w:lang w:eastAsia="fr-FR" w:bidi="ar-SA"/>
        </w:rPr>
        <w:t>bâtiment</w:t>
      </w:r>
      <w:r w:rsidRPr="00662E50">
        <w:rPr>
          <w:rFonts w:ascii="Times New Roman" w:eastAsia="Times New Roman" w:hAnsi="Times New Roman" w:cs="Times New Roman"/>
          <w:sz w:val="28"/>
          <w:szCs w:val="28"/>
          <w:lang w:eastAsia="fr-FR" w:bidi="ar-SA"/>
        </w:rPr>
        <w:t xml:space="preserve"> </w:t>
      </w:r>
      <w:r w:rsidRPr="00C902DE">
        <w:rPr>
          <w:rFonts w:ascii="Times New Roman" w:eastAsia="Times New Roman" w:hAnsi="Times New Roman" w:cs="Times New Roman"/>
          <w:b/>
          <w:bCs/>
          <w:sz w:val="28"/>
          <w:szCs w:val="28"/>
          <w:lang w:eastAsia="fr-FR" w:bidi="ar-SA"/>
        </w:rPr>
        <w:t>et des travaux publics</w:t>
      </w:r>
      <w:r w:rsidRPr="00662E50">
        <w:rPr>
          <w:rFonts w:ascii="Times New Roman" w:eastAsia="Times New Roman" w:hAnsi="Times New Roman" w:cs="Times New Roman"/>
          <w:sz w:val="28"/>
          <w:szCs w:val="28"/>
          <w:lang w:eastAsia="fr-FR" w:bidi="ar-SA"/>
        </w:rPr>
        <w:t>, l’activité aurait, par contre, poursuivi en 2014 son ralentissement amorcé en 2009. Pénalisée par le manque de dynamisme sur le marché de l’immobilier, elle aurait progressé de 0,4% seulement, après 1,4% et 2,1% respectivement en 2013 et 2012. A l’origine de ce ralentissement, la réduction de la production des logements ;  les achèvements des constructions neuves se sont inscrits en baisse de 12% au premier semestre 2014 et les mises en chantier des logements sociaux se sont repliées de 17%. Les conditions d’octroi des crédits pour les promoteurs se seraient, également, durcies dans le sillage de la faiblesse des transactions immobilières. Sur les onze premiers mois de l’année 2014, les crédits adressés aux promoteurs immobiliers se seraient infléchis de 5,7%, en variation annuelle.</w:t>
      </w: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r w:rsidRPr="00662E50">
        <w:rPr>
          <w:rFonts w:ascii="Times New Roman" w:eastAsia="Times New Roman" w:hAnsi="Times New Roman" w:cs="Times New Roman"/>
          <w:sz w:val="28"/>
          <w:szCs w:val="28"/>
          <w:lang w:eastAsia="fr-FR" w:bidi="ar-SA"/>
        </w:rPr>
        <w:t xml:space="preserve">Le </w:t>
      </w:r>
      <w:r w:rsidRPr="000C7700">
        <w:rPr>
          <w:rFonts w:ascii="Times New Roman" w:eastAsia="Times New Roman" w:hAnsi="Times New Roman" w:cs="Times New Roman"/>
          <w:b/>
          <w:bCs/>
          <w:sz w:val="28"/>
          <w:szCs w:val="28"/>
          <w:lang w:eastAsia="fr-FR" w:bidi="ar-SA"/>
        </w:rPr>
        <w:t>secteur tertiaire</w:t>
      </w:r>
      <w:r w:rsidRPr="00662E50">
        <w:rPr>
          <w:rFonts w:ascii="Times New Roman" w:eastAsia="Times New Roman" w:hAnsi="Times New Roman" w:cs="Times New Roman"/>
          <w:sz w:val="28"/>
          <w:szCs w:val="28"/>
          <w:lang w:eastAsia="fr-FR" w:bidi="ar-SA"/>
        </w:rPr>
        <w:t xml:space="preserve">, dont l’activité est orientée principalement vers le marché intérieur, aurait bénéficié de l’affermissement de la communication, du transport et des services sociaux. Au cours des cinq dernières années, les services de la santé et de l’éducation avaient constitué la composante la plus dynamique du secteur, assurant à eux seuls 24% de sa contribution à la croissance économique globale. En 2014, ils se seraient consolidés de 5%, en comparaison avec 2013. </w:t>
      </w: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r w:rsidRPr="00662E50">
        <w:rPr>
          <w:rFonts w:ascii="Times New Roman" w:eastAsia="Times New Roman" w:hAnsi="Times New Roman" w:cs="Times New Roman"/>
          <w:sz w:val="28"/>
          <w:szCs w:val="28"/>
          <w:lang w:eastAsia="fr-FR" w:bidi="ar-SA"/>
        </w:rPr>
        <w:lastRenderedPageBreak/>
        <w:t xml:space="preserve">La branche de </w:t>
      </w:r>
      <w:r w:rsidRPr="00C902DE">
        <w:rPr>
          <w:rFonts w:ascii="Times New Roman" w:eastAsia="Times New Roman" w:hAnsi="Times New Roman" w:cs="Times New Roman"/>
          <w:b/>
          <w:bCs/>
          <w:sz w:val="28"/>
          <w:szCs w:val="28"/>
          <w:lang w:eastAsia="fr-FR" w:bidi="ar-SA"/>
        </w:rPr>
        <w:t>la communication</w:t>
      </w:r>
      <w:r w:rsidRPr="00662E50">
        <w:rPr>
          <w:rFonts w:ascii="Times New Roman" w:eastAsia="Times New Roman" w:hAnsi="Times New Roman" w:cs="Times New Roman"/>
          <w:sz w:val="28"/>
          <w:szCs w:val="28"/>
          <w:lang w:eastAsia="fr-FR" w:bidi="ar-SA"/>
        </w:rPr>
        <w:t xml:space="preserve"> aurait, également, connu un dynamisme particulièrement marqué en 2014, favorisant une hausse de sa valeur ajoutée de 6%, au lieu de 2,8% une année plus tôt. Ce regain  aurait été appuyé par une expansion de la demande de produits technologiques tant des entreprises que des ménages. Au niveau des transports, l’activité serait restée bien orientée pendant la première moitié de 2014, affichant une hausse de 5% en variation  annuelle, avant de connaître une croissance plus modérée au cours de la seconde moitié de l’année 2014, attribuable au ralentissement du trafic aérien. </w:t>
      </w:r>
    </w:p>
    <w:p w:rsidR="00662E50" w:rsidRPr="00662E50" w:rsidRDefault="00662E50" w:rsidP="00662E5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p>
    <w:p w:rsidR="00662E50" w:rsidRDefault="00662E50" w:rsidP="000C770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r w:rsidRPr="00662E50">
        <w:rPr>
          <w:rFonts w:ascii="Times New Roman" w:eastAsia="Times New Roman" w:hAnsi="Times New Roman" w:cs="Times New Roman"/>
          <w:sz w:val="28"/>
          <w:szCs w:val="28"/>
          <w:lang w:eastAsia="fr-FR" w:bidi="ar-SA"/>
        </w:rPr>
        <w:t xml:space="preserve">En revanche, </w:t>
      </w:r>
      <w:r w:rsidRPr="00C902DE">
        <w:rPr>
          <w:rFonts w:ascii="Times New Roman" w:eastAsia="Times New Roman" w:hAnsi="Times New Roman" w:cs="Times New Roman"/>
          <w:b/>
          <w:bCs/>
          <w:sz w:val="28"/>
          <w:szCs w:val="28"/>
          <w:lang w:eastAsia="fr-FR" w:bidi="ar-SA"/>
        </w:rPr>
        <w:t>les services du tourisme et de la restauration</w:t>
      </w:r>
      <w:r w:rsidRPr="00662E50">
        <w:rPr>
          <w:rFonts w:ascii="Times New Roman" w:eastAsia="Times New Roman" w:hAnsi="Times New Roman" w:cs="Times New Roman"/>
          <w:sz w:val="28"/>
          <w:szCs w:val="28"/>
          <w:lang w:eastAsia="fr-FR" w:bidi="ar-SA"/>
        </w:rPr>
        <w:t xml:space="preserve"> se seraient inscrits à contre-courant, enregistrant un net ralentissement en 2014 ; le rythme de progression de leur valeur ajoutée ayant reflué, pour atteindre 2,6% seulement, au lieu de 4,6% en 2013. Globalement, </w:t>
      </w:r>
      <w:r w:rsidRPr="000C7700">
        <w:rPr>
          <w:rFonts w:ascii="Times New Roman" w:eastAsia="Times New Roman" w:hAnsi="Times New Roman" w:cs="Times New Roman"/>
          <w:b/>
          <w:bCs/>
          <w:sz w:val="28"/>
          <w:szCs w:val="28"/>
          <w:lang w:eastAsia="fr-FR" w:bidi="ar-SA"/>
        </w:rPr>
        <w:t>la valeur ajoutée du secteur tertiaire</w:t>
      </w:r>
      <w:r w:rsidRPr="00662E50">
        <w:rPr>
          <w:rFonts w:ascii="Times New Roman" w:eastAsia="Times New Roman" w:hAnsi="Times New Roman" w:cs="Times New Roman"/>
          <w:sz w:val="28"/>
          <w:szCs w:val="28"/>
          <w:lang w:eastAsia="fr-FR" w:bidi="ar-SA"/>
        </w:rPr>
        <w:t xml:space="preserve"> aurait enregistré une hausse de 3,7% en 2014, contribuant, ainsi, pour 1,7 point à la croissance économique globale. </w:t>
      </w:r>
    </w:p>
    <w:p w:rsidR="000C7700" w:rsidRPr="00662E50" w:rsidRDefault="000C7700" w:rsidP="000C7700">
      <w:pPr>
        <w:pStyle w:val="Paragraphedeliste"/>
        <w:spacing w:after="240" w:line="400" w:lineRule="exact"/>
        <w:ind w:left="0" w:firstLine="720"/>
        <w:jc w:val="both"/>
        <w:rPr>
          <w:rFonts w:ascii="Times New Roman" w:eastAsia="Times New Roman" w:hAnsi="Times New Roman" w:cs="Times New Roman"/>
          <w:sz w:val="28"/>
          <w:szCs w:val="28"/>
          <w:lang w:eastAsia="fr-FR" w:bidi="ar-SA"/>
        </w:rPr>
      </w:pPr>
    </w:p>
    <w:p w:rsidR="00662E50" w:rsidRPr="000C7700" w:rsidRDefault="00662E50" w:rsidP="000C7700">
      <w:pPr>
        <w:pStyle w:val="Paragraphedeliste"/>
        <w:spacing w:after="240" w:line="400" w:lineRule="exact"/>
        <w:ind w:left="0" w:firstLine="720"/>
        <w:jc w:val="both"/>
        <w:rPr>
          <w:rFonts w:ascii="Times New Roman" w:eastAsia="Times New Roman" w:hAnsi="Times New Roman" w:cs="Times New Roman"/>
          <w:b/>
          <w:bCs/>
          <w:sz w:val="28"/>
          <w:szCs w:val="28"/>
          <w:lang w:eastAsia="fr-FR" w:bidi="ar-SA"/>
        </w:rPr>
      </w:pPr>
      <w:r w:rsidRPr="00662E50">
        <w:rPr>
          <w:rFonts w:ascii="Times New Roman" w:eastAsia="Times New Roman" w:hAnsi="Times New Roman" w:cs="Times New Roman"/>
          <w:sz w:val="28"/>
          <w:szCs w:val="28"/>
          <w:lang w:eastAsia="fr-FR" w:bidi="ar-SA"/>
        </w:rPr>
        <w:t xml:space="preserve">Au total, </w:t>
      </w:r>
      <w:r w:rsidRPr="000C7700">
        <w:rPr>
          <w:rFonts w:ascii="Times New Roman" w:eastAsia="Times New Roman" w:hAnsi="Times New Roman" w:cs="Times New Roman"/>
          <w:b/>
          <w:bCs/>
          <w:sz w:val="28"/>
          <w:szCs w:val="28"/>
          <w:lang w:eastAsia="fr-FR" w:bidi="ar-SA"/>
        </w:rPr>
        <w:t>la valeur ajoutée de l’ensemble des branches</w:t>
      </w:r>
      <w:r w:rsidRPr="00662E50">
        <w:rPr>
          <w:rFonts w:ascii="Times New Roman" w:eastAsia="Times New Roman" w:hAnsi="Times New Roman" w:cs="Times New Roman"/>
          <w:sz w:val="28"/>
          <w:szCs w:val="28"/>
          <w:lang w:eastAsia="fr-FR" w:bidi="ar-SA"/>
        </w:rPr>
        <w:t xml:space="preserve"> aurait progressé de 2,</w:t>
      </w:r>
      <w:r w:rsidR="000C7700">
        <w:rPr>
          <w:rFonts w:ascii="Times New Roman" w:eastAsia="Times New Roman" w:hAnsi="Times New Roman" w:cs="Times New Roman"/>
          <w:sz w:val="28"/>
          <w:szCs w:val="28"/>
          <w:lang w:eastAsia="fr-FR" w:bidi="ar-SA"/>
        </w:rPr>
        <w:t>6</w:t>
      </w:r>
      <w:r w:rsidRPr="00662E50">
        <w:rPr>
          <w:rFonts w:ascii="Times New Roman" w:eastAsia="Times New Roman" w:hAnsi="Times New Roman" w:cs="Times New Roman"/>
          <w:sz w:val="28"/>
          <w:szCs w:val="28"/>
          <w:lang w:eastAsia="fr-FR" w:bidi="ar-SA"/>
        </w:rPr>
        <w:t xml:space="preserve">%, en 2014, au lieu de 4,3% en 2013. Ainsi, et compte-tenu d’une hausse de 2,8% des impôts nets de subventions, </w:t>
      </w:r>
      <w:r w:rsidRPr="000C7700">
        <w:rPr>
          <w:rFonts w:ascii="Times New Roman" w:eastAsia="Times New Roman" w:hAnsi="Times New Roman" w:cs="Times New Roman"/>
          <w:b/>
          <w:bCs/>
          <w:sz w:val="28"/>
          <w:szCs w:val="28"/>
          <w:lang w:eastAsia="fr-FR" w:bidi="ar-SA"/>
        </w:rPr>
        <w:t>la croissance économique globale se serait établie à 2,6% en 2014, au lieu  de 4,4% en 2013.</w:t>
      </w:r>
    </w:p>
    <w:p w:rsidR="00B878E4" w:rsidRDefault="00B878E4" w:rsidP="000E670C">
      <w:pPr>
        <w:widowControl w:val="0"/>
        <w:spacing w:before="200" w:after="240" w:line="400" w:lineRule="exact"/>
        <w:ind w:firstLine="720"/>
        <w:jc w:val="mediumKashida"/>
        <w:rPr>
          <w:rFonts w:ascii="Book Antiqua" w:hAnsi="Book Antiqua"/>
          <w:bCs w:val="0"/>
          <w:sz w:val="32"/>
          <w:szCs w:val="32"/>
          <w:u w:val="single"/>
        </w:rPr>
      </w:pPr>
      <w:r w:rsidRPr="0079170F">
        <w:rPr>
          <w:rFonts w:ascii="Book Antiqua" w:hAnsi="Book Antiqua"/>
          <w:bCs w:val="0"/>
          <w:sz w:val="32"/>
          <w:szCs w:val="32"/>
          <w:u w:val="single"/>
        </w:rPr>
        <w:t>2.2 Evolution de la demande</w:t>
      </w:r>
    </w:p>
    <w:p w:rsidR="00DC2904" w:rsidRDefault="00DC3A6B" w:rsidP="006E72CF">
      <w:pPr>
        <w:spacing w:before="200" w:after="240" w:line="400" w:lineRule="exact"/>
        <w:ind w:firstLine="720"/>
        <w:jc w:val="both"/>
        <w:rPr>
          <w:b w:val="0"/>
          <w:bCs w:val="0"/>
          <w:sz w:val="28"/>
          <w:szCs w:val="28"/>
          <w:lang w:bidi="ar-MA"/>
        </w:rPr>
      </w:pPr>
      <w:bookmarkStart w:id="0" w:name="_Toc328056272"/>
      <w:bookmarkStart w:id="1" w:name="_Toc328056526"/>
      <w:bookmarkStart w:id="2" w:name="_Toc202419673"/>
      <w:r w:rsidRPr="0079170F">
        <w:rPr>
          <w:b w:val="0"/>
          <w:bCs w:val="0"/>
          <w:sz w:val="28"/>
          <w:szCs w:val="28"/>
          <w:lang w:bidi="ar-MA"/>
        </w:rPr>
        <w:t>L</w:t>
      </w:r>
      <w:r w:rsidR="00C74334" w:rsidRPr="0079170F">
        <w:rPr>
          <w:b w:val="0"/>
          <w:bCs w:val="0"/>
          <w:sz w:val="28"/>
          <w:szCs w:val="28"/>
          <w:lang w:bidi="ar-MA"/>
        </w:rPr>
        <w:t>a demande intérieure aurait continué de soutenir la croissance économique</w:t>
      </w:r>
      <w:r w:rsidR="0042774F" w:rsidRPr="0079170F">
        <w:rPr>
          <w:b w:val="0"/>
          <w:bCs w:val="0"/>
          <w:sz w:val="28"/>
          <w:szCs w:val="28"/>
          <w:lang w:bidi="ar-MA"/>
        </w:rPr>
        <w:t xml:space="preserve"> en 2014</w:t>
      </w:r>
      <w:r w:rsidR="006E72CF">
        <w:rPr>
          <w:b w:val="0"/>
          <w:bCs w:val="0"/>
          <w:sz w:val="28"/>
          <w:szCs w:val="28"/>
          <w:lang w:bidi="ar-MA"/>
        </w:rPr>
        <w:t>,</w:t>
      </w:r>
      <w:r w:rsidR="00E53BE8">
        <w:rPr>
          <w:b w:val="0"/>
          <w:bCs w:val="0"/>
          <w:sz w:val="28"/>
          <w:szCs w:val="28"/>
          <w:lang w:bidi="ar-MA"/>
        </w:rPr>
        <w:t xml:space="preserve"> </w:t>
      </w:r>
      <w:r w:rsidR="00C74334" w:rsidRPr="0079170F">
        <w:rPr>
          <w:b w:val="0"/>
          <w:bCs w:val="0"/>
          <w:sz w:val="28"/>
          <w:szCs w:val="28"/>
          <w:lang w:bidi="ar-MA"/>
        </w:rPr>
        <w:t xml:space="preserve">malgré le ralentissement persistant de la consommation des ménages. </w:t>
      </w:r>
      <w:r w:rsidR="00E53BE8">
        <w:rPr>
          <w:b w:val="0"/>
          <w:bCs w:val="0"/>
          <w:sz w:val="28"/>
          <w:szCs w:val="28"/>
          <w:lang w:bidi="ar-MA"/>
        </w:rPr>
        <w:t>L</w:t>
      </w:r>
      <w:r w:rsidR="00C74334" w:rsidRPr="0079170F">
        <w:rPr>
          <w:b w:val="0"/>
          <w:bCs w:val="0"/>
          <w:sz w:val="28"/>
          <w:szCs w:val="28"/>
          <w:lang w:bidi="ar-MA"/>
        </w:rPr>
        <w:t xml:space="preserve">a demande extérieure nette </w:t>
      </w:r>
      <w:r w:rsidR="00E53BE8">
        <w:rPr>
          <w:b w:val="0"/>
          <w:bCs w:val="0"/>
          <w:sz w:val="28"/>
          <w:szCs w:val="28"/>
          <w:lang w:bidi="ar-MA"/>
        </w:rPr>
        <w:t xml:space="preserve">aurait enregistré une contribution négative à la croissance </w:t>
      </w:r>
      <w:r w:rsidR="00CB2DCE">
        <w:rPr>
          <w:b w:val="0"/>
          <w:bCs w:val="0"/>
          <w:sz w:val="28"/>
          <w:szCs w:val="28"/>
          <w:lang w:bidi="ar-MA"/>
        </w:rPr>
        <w:t xml:space="preserve">malgré </w:t>
      </w:r>
      <w:r w:rsidR="00723151">
        <w:rPr>
          <w:b w:val="0"/>
          <w:bCs w:val="0"/>
          <w:sz w:val="28"/>
          <w:szCs w:val="28"/>
          <w:lang w:bidi="ar-MA"/>
        </w:rPr>
        <w:t xml:space="preserve"> </w:t>
      </w:r>
      <w:r w:rsidR="002818DA">
        <w:rPr>
          <w:b w:val="0"/>
          <w:bCs w:val="0"/>
          <w:sz w:val="28"/>
          <w:szCs w:val="28"/>
          <w:lang w:bidi="ar-MA"/>
        </w:rPr>
        <w:t>l’amélioration</w:t>
      </w:r>
      <w:r w:rsidR="00CB2DCE">
        <w:rPr>
          <w:b w:val="0"/>
          <w:bCs w:val="0"/>
          <w:sz w:val="28"/>
          <w:szCs w:val="28"/>
          <w:lang w:bidi="ar-MA"/>
        </w:rPr>
        <w:t xml:space="preserve"> </w:t>
      </w:r>
      <w:r w:rsidR="00723151">
        <w:rPr>
          <w:b w:val="0"/>
          <w:bCs w:val="0"/>
          <w:sz w:val="28"/>
          <w:szCs w:val="28"/>
          <w:lang w:bidi="ar-MA"/>
        </w:rPr>
        <w:t>d</w:t>
      </w:r>
      <w:r w:rsidR="00CB2DCE">
        <w:rPr>
          <w:b w:val="0"/>
          <w:bCs w:val="0"/>
          <w:sz w:val="28"/>
          <w:szCs w:val="28"/>
          <w:lang w:bidi="ar-MA"/>
        </w:rPr>
        <w:t>es exportations</w:t>
      </w:r>
      <w:r w:rsidR="00DC2904">
        <w:rPr>
          <w:b w:val="0"/>
          <w:bCs w:val="0"/>
          <w:sz w:val="28"/>
          <w:szCs w:val="28"/>
          <w:lang w:bidi="ar-MA"/>
        </w:rPr>
        <w:t>.</w:t>
      </w:r>
    </w:p>
    <w:p w:rsidR="00F746AE" w:rsidRPr="0079170F" w:rsidRDefault="00CB2DCE" w:rsidP="00241888">
      <w:pPr>
        <w:spacing w:before="200" w:after="240" w:line="400" w:lineRule="exact"/>
        <w:ind w:firstLine="720"/>
        <w:jc w:val="both"/>
        <w:rPr>
          <w:b w:val="0"/>
          <w:bCs w:val="0"/>
          <w:sz w:val="28"/>
          <w:szCs w:val="28"/>
          <w:lang w:bidi="ar-MA"/>
        </w:rPr>
      </w:pPr>
      <w:r>
        <w:rPr>
          <w:b w:val="0"/>
          <w:bCs w:val="0"/>
          <w:sz w:val="28"/>
          <w:szCs w:val="28"/>
          <w:lang w:bidi="ar-MA"/>
        </w:rPr>
        <w:t xml:space="preserve"> </w:t>
      </w:r>
      <w:r w:rsidR="00DE661A">
        <w:rPr>
          <w:b w:val="0"/>
          <w:bCs w:val="0"/>
          <w:sz w:val="28"/>
          <w:szCs w:val="28"/>
          <w:lang w:bidi="ar-MA"/>
        </w:rPr>
        <w:t>L</w:t>
      </w:r>
      <w:r w:rsidR="00F746AE" w:rsidRPr="0079170F">
        <w:rPr>
          <w:b w:val="0"/>
          <w:bCs w:val="0"/>
          <w:sz w:val="28"/>
          <w:szCs w:val="28"/>
          <w:lang w:bidi="ar-MA"/>
        </w:rPr>
        <w:t>a consommation des ménages, affectée par la baisse des revenus des ménages ruraux</w:t>
      </w:r>
      <w:r w:rsidR="009143F7" w:rsidRPr="0079170F">
        <w:rPr>
          <w:b w:val="0"/>
          <w:bCs w:val="0"/>
          <w:sz w:val="28"/>
          <w:szCs w:val="28"/>
          <w:lang w:bidi="ar-MA"/>
        </w:rPr>
        <w:t>,</w:t>
      </w:r>
      <w:r w:rsidR="00F746AE" w:rsidRPr="0079170F">
        <w:rPr>
          <w:b w:val="0"/>
          <w:bCs w:val="0"/>
          <w:sz w:val="28"/>
          <w:szCs w:val="28"/>
          <w:lang w:bidi="ar-MA"/>
        </w:rPr>
        <w:t xml:space="preserve"> aurait réalisé une croissance en volume de 3% </w:t>
      </w:r>
      <w:r w:rsidR="002E64DA">
        <w:rPr>
          <w:b w:val="0"/>
          <w:bCs w:val="0"/>
          <w:sz w:val="28"/>
          <w:szCs w:val="28"/>
          <w:lang w:bidi="ar-MA"/>
        </w:rPr>
        <w:t xml:space="preserve">en 2014 </w:t>
      </w:r>
      <w:r w:rsidR="00F746AE" w:rsidRPr="0079170F">
        <w:rPr>
          <w:b w:val="0"/>
          <w:bCs w:val="0"/>
          <w:sz w:val="28"/>
          <w:szCs w:val="28"/>
          <w:lang w:bidi="ar-MA"/>
        </w:rPr>
        <w:t>au lieu de 3,7% en 2013</w:t>
      </w:r>
      <w:r w:rsidR="00AA39A2">
        <w:rPr>
          <w:b w:val="0"/>
          <w:bCs w:val="0"/>
          <w:sz w:val="28"/>
          <w:szCs w:val="28"/>
          <w:lang w:bidi="ar-MA"/>
        </w:rPr>
        <w:t>. Sa</w:t>
      </w:r>
      <w:r w:rsidR="00F746AE" w:rsidRPr="0079170F">
        <w:rPr>
          <w:b w:val="0"/>
          <w:bCs w:val="0"/>
          <w:sz w:val="28"/>
          <w:szCs w:val="28"/>
          <w:lang w:bidi="ar-MA"/>
        </w:rPr>
        <w:t xml:space="preserve"> contribu</w:t>
      </w:r>
      <w:r w:rsidR="00AA39A2">
        <w:rPr>
          <w:b w:val="0"/>
          <w:bCs w:val="0"/>
          <w:sz w:val="28"/>
          <w:szCs w:val="28"/>
          <w:lang w:bidi="ar-MA"/>
        </w:rPr>
        <w:t>tion</w:t>
      </w:r>
      <w:r w:rsidR="00F746AE" w:rsidRPr="0079170F">
        <w:rPr>
          <w:b w:val="0"/>
          <w:bCs w:val="0"/>
          <w:sz w:val="28"/>
          <w:szCs w:val="28"/>
          <w:lang w:bidi="ar-MA"/>
        </w:rPr>
        <w:t xml:space="preserve"> </w:t>
      </w:r>
      <w:r w:rsidR="00AA39A2" w:rsidRPr="0079170F">
        <w:rPr>
          <w:b w:val="0"/>
          <w:bCs w:val="0"/>
          <w:sz w:val="28"/>
          <w:szCs w:val="28"/>
          <w:lang w:bidi="ar-MA"/>
        </w:rPr>
        <w:t>à la croissance du PIB</w:t>
      </w:r>
      <w:r w:rsidR="00AA39A2">
        <w:rPr>
          <w:b w:val="0"/>
          <w:bCs w:val="0"/>
          <w:sz w:val="28"/>
          <w:szCs w:val="28"/>
          <w:lang w:bidi="ar-MA"/>
        </w:rPr>
        <w:t xml:space="preserve"> aurait été de</w:t>
      </w:r>
      <w:r w:rsidR="00F746AE" w:rsidRPr="0079170F">
        <w:rPr>
          <w:b w:val="0"/>
          <w:bCs w:val="0"/>
          <w:sz w:val="28"/>
          <w:szCs w:val="28"/>
          <w:lang w:bidi="ar-MA"/>
        </w:rPr>
        <w:t xml:space="preserve"> 1,</w:t>
      </w:r>
      <w:r w:rsidR="002818DA">
        <w:rPr>
          <w:b w:val="0"/>
          <w:bCs w:val="0"/>
          <w:sz w:val="28"/>
          <w:szCs w:val="28"/>
          <w:lang w:bidi="ar-MA"/>
        </w:rPr>
        <w:t>8</w:t>
      </w:r>
      <w:r w:rsidR="00F746AE" w:rsidRPr="0079170F">
        <w:rPr>
          <w:b w:val="0"/>
          <w:bCs w:val="0"/>
          <w:sz w:val="28"/>
          <w:szCs w:val="28"/>
          <w:lang w:bidi="ar-MA"/>
        </w:rPr>
        <w:t xml:space="preserve"> point au lieu de 2,2 en 2013. </w:t>
      </w:r>
      <w:r w:rsidR="002E64DA">
        <w:rPr>
          <w:b w:val="0"/>
          <w:bCs w:val="0"/>
          <w:sz w:val="28"/>
          <w:szCs w:val="28"/>
          <w:lang w:bidi="ar-MA"/>
        </w:rPr>
        <w:t>De son côté</w:t>
      </w:r>
      <w:r w:rsidR="00F746AE" w:rsidRPr="0079170F">
        <w:rPr>
          <w:b w:val="0"/>
          <w:bCs w:val="0"/>
          <w:sz w:val="28"/>
          <w:szCs w:val="28"/>
          <w:lang w:bidi="ar-MA"/>
        </w:rPr>
        <w:t xml:space="preserve">, </w:t>
      </w:r>
      <w:r w:rsidR="00241888">
        <w:rPr>
          <w:b w:val="0"/>
          <w:bCs w:val="0"/>
          <w:sz w:val="28"/>
          <w:szCs w:val="28"/>
          <w:lang w:bidi="ar-MA"/>
        </w:rPr>
        <w:t xml:space="preserve"> le </w:t>
      </w:r>
      <w:r w:rsidR="00241888" w:rsidRPr="0079170F">
        <w:rPr>
          <w:b w:val="0"/>
          <w:bCs w:val="0"/>
          <w:sz w:val="28"/>
          <w:szCs w:val="28"/>
          <w:lang w:bidi="ar-MA"/>
        </w:rPr>
        <w:t xml:space="preserve">rythme de croissance </w:t>
      </w:r>
      <w:r w:rsidR="00241888">
        <w:rPr>
          <w:b w:val="0"/>
          <w:bCs w:val="0"/>
          <w:sz w:val="28"/>
          <w:szCs w:val="28"/>
          <w:lang w:bidi="ar-MA"/>
        </w:rPr>
        <w:t xml:space="preserve">de </w:t>
      </w:r>
      <w:r w:rsidR="00F746AE" w:rsidRPr="0079170F">
        <w:rPr>
          <w:b w:val="0"/>
          <w:bCs w:val="0"/>
          <w:sz w:val="28"/>
          <w:szCs w:val="28"/>
          <w:lang w:bidi="ar-MA"/>
        </w:rPr>
        <w:t xml:space="preserve">la consommation des administrations publiques </w:t>
      </w:r>
      <w:r w:rsidR="00921B51" w:rsidRPr="0079170F">
        <w:rPr>
          <w:b w:val="0"/>
          <w:bCs w:val="0"/>
          <w:sz w:val="28"/>
          <w:szCs w:val="28"/>
          <w:lang w:bidi="ar-MA"/>
        </w:rPr>
        <w:t>au</w:t>
      </w:r>
      <w:r w:rsidR="00F746AE" w:rsidRPr="0079170F">
        <w:rPr>
          <w:b w:val="0"/>
          <w:bCs w:val="0"/>
          <w:sz w:val="28"/>
          <w:szCs w:val="28"/>
          <w:lang w:bidi="ar-MA"/>
        </w:rPr>
        <w:t xml:space="preserve">rait </w:t>
      </w:r>
      <w:r w:rsidR="00241888">
        <w:rPr>
          <w:b w:val="0"/>
          <w:bCs w:val="0"/>
          <w:sz w:val="28"/>
          <w:szCs w:val="28"/>
          <w:lang w:bidi="ar-MA"/>
        </w:rPr>
        <w:t>ralenti</w:t>
      </w:r>
      <w:r w:rsidR="006E72CF">
        <w:rPr>
          <w:b w:val="0"/>
          <w:bCs w:val="0"/>
          <w:sz w:val="28"/>
          <w:szCs w:val="28"/>
          <w:lang w:bidi="ar-MA"/>
        </w:rPr>
        <w:t>,</w:t>
      </w:r>
      <w:r w:rsidR="002E64DA">
        <w:rPr>
          <w:b w:val="0"/>
          <w:bCs w:val="0"/>
          <w:sz w:val="28"/>
          <w:szCs w:val="28"/>
          <w:lang w:bidi="ar-MA"/>
        </w:rPr>
        <w:t xml:space="preserve"> </w:t>
      </w:r>
      <w:r w:rsidR="00AA39A2">
        <w:rPr>
          <w:b w:val="0"/>
          <w:bCs w:val="0"/>
          <w:sz w:val="28"/>
          <w:szCs w:val="28"/>
          <w:lang w:bidi="ar-MA"/>
        </w:rPr>
        <w:t xml:space="preserve">passant de </w:t>
      </w:r>
      <w:r w:rsidR="00AA39A2" w:rsidRPr="0079170F">
        <w:rPr>
          <w:b w:val="0"/>
          <w:bCs w:val="0"/>
          <w:sz w:val="28"/>
          <w:szCs w:val="28"/>
          <w:lang w:bidi="ar-MA"/>
        </w:rPr>
        <w:t>3,7% en 2013</w:t>
      </w:r>
      <w:r w:rsidR="00AA39A2">
        <w:rPr>
          <w:b w:val="0"/>
          <w:bCs w:val="0"/>
          <w:sz w:val="28"/>
          <w:szCs w:val="28"/>
          <w:lang w:bidi="ar-MA"/>
        </w:rPr>
        <w:t xml:space="preserve"> </w:t>
      </w:r>
      <w:r w:rsidR="002E64DA">
        <w:rPr>
          <w:b w:val="0"/>
          <w:bCs w:val="0"/>
          <w:sz w:val="28"/>
          <w:szCs w:val="28"/>
          <w:lang w:bidi="ar-MA"/>
        </w:rPr>
        <w:t>à</w:t>
      </w:r>
      <w:r w:rsidR="00F746AE" w:rsidRPr="0079170F">
        <w:rPr>
          <w:b w:val="0"/>
          <w:bCs w:val="0"/>
          <w:sz w:val="28"/>
          <w:szCs w:val="28"/>
          <w:lang w:bidi="ar-MA"/>
        </w:rPr>
        <w:t xml:space="preserve"> </w:t>
      </w:r>
      <w:r w:rsidR="001C14EE">
        <w:rPr>
          <w:b w:val="0"/>
          <w:bCs w:val="0"/>
          <w:sz w:val="28"/>
          <w:szCs w:val="28"/>
          <w:lang w:bidi="ar-MA"/>
        </w:rPr>
        <w:t>2,9</w:t>
      </w:r>
      <w:r w:rsidR="00F746AE" w:rsidRPr="0079170F">
        <w:rPr>
          <w:b w:val="0"/>
          <w:bCs w:val="0"/>
          <w:sz w:val="28"/>
          <w:szCs w:val="28"/>
          <w:lang w:bidi="ar-MA"/>
        </w:rPr>
        <w:t>%</w:t>
      </w:r>
      <w:r w:rsidR="00AA39A2">
        <w:rPr>
          <w:b w:val="0"/>
          <w:bCs w:val="0"/>
          <w:sz w:val="28"/>
          <w:szCs w:val="28"/>
          <w:lang w:bidi="ar-MA"/>
        </w:rPr>
        <w:t xml:space="preserve">. Sa </w:t>
      </w:r>
      <w:r w:rsidR="00AA39A2" w:rsidRPr="0079170F">
        <w:rPr>
          <w:b w:val="0"/>
          <w:bCs w:val="0"/>
          <w:sz w:val="28"/>
          <w:szCs w:val="28"/>
          <w:lang w:bidi="ar-MA"/>
        </w:rPr>
        <w:t>contribution à la croissance</w:t>
      </w:r>
      <w:r w:rsidR="00AA39A2">
        <w:rPr>
          <w:b w:val="0"/>
          <w:bCs w:val="0"/>
          <w:sz w:val="28"/>
          <w:szCs w:val="28"/>
          <w:lang w:bidi="ar-MA"/>
        </w:rPr>
        <w:t xml:space="preserve"> économique aurait été </w:t>
      </w:r>
      <w:r w:rsidR="001C14EE">
        <w:rPr>
          <w:b w:val="0"/>
          <w:bCs w:val="0"/>
          <w:sz w:val="28"/>
          <w:szCs w:val="28"/>
          <w:lang w:bidi="ar-MA"/>
        </w:rPr>
        <w:t>mainten</w:t>
      </w:r>
      <w:r w:rsidR="00AA39A2">
        <w:rPr>
          <w:b w:val="0"/>
          <w:bCs w:val="0"/>
          <w:sz w:val="28"/>
          <w:szCs w:val="28"/>
          <w:lang w:bidi="ar-MA"/>
        </w:rPr>
        <w:t>ue à</w:t>
      </w:r>
      <w:r w:rsidR="00F746AE" w:rsidRPr="0079170F">
        <w:rPr>
          <w:b w:val="0"/>
          <w:bCs w:val="0"/>
          <w:sz w:val="28"/>
          <w:szCs w:val="28"/>
          <w:lang w:bidi="ar-MA"/>
        </w:rPr>
        <w:t xml:space="preserve"> 0,</w:t>
      </w:r>
      <w:r w:rsidR="00921B51" w:rsidRPr="0079170F">
        <w:rPr>
          <w:b w:val="0"/>
          <w:bCs w:val="0"/>
          <w:sz w:val="28"/>
          <w:szCs w:val="28"/>
          <w:lang w:bidi="ar-MA"/>
        </w:rPr>
        <w:t>6</w:t>
      </w:r>
      <w:r w:rsidR="00F746AE" w:rsidRPr="0079170F">
        <w:rPr>
          <w:b w:val="0"/>
          <w:bCs w:val="0"/>
          <w:sz w:val="28"/>
          <w:szCs w:val="28"/>
          <w:lang w:bidi="ar-MA"/>
        </w:rPr>
        <w:t xml:space="preserve"> point.</w:t>
      </w:r>
    </w:p>
    <w:p w:rsidR="00F746AE" w:rsidRPr="0079170F" w:rsidRDefault="00C60010" w:rsidP="006E72CF">
      <w:pPr>
        <w:spacing w:before="200" w:after="240" w:line="400" w:lineRule="exact"/>
        <w:ind w:firstLine="720"/>
        <w:jc w:val="both"/>
        <w:rPr>
          <w:b w:val="0"/>
          <w:bCs w:val="0"/>
          <w:sz w:val="28"/>
          <w:szCs w:val="28"/>
          <w:lang w:bidi="ar-MA"/>
        </w:rPr>
      </w:pPr>
      <w:r>
        <w:rPr>
          <w:b w:val="0"/>
          <w:bCs w:val="0"/>
          <w:sz w:val="28"/>
          <w:szCs w:val="28"/>
          <w:lang w:bidi="ar-MA"/>
        </w:rPr>
        <w:t>Globalement</w:t>
      </w:r>
      <w:r w:rsidR="001C14EE">
        <w:rPr>
          <w:b w:val="0"/>
          <w:bCs w:val="0"/>
          <w:sz w:val="28"/>
          <w:szCs w:val="28"/>
          <w:lang w:bidi="ar-MA"/>
        </w:rPr>
        <w:t xml:space="preserve">, </w:t>
      </w:r>
      <w:r>
        <w:rPr>
          <w:b w:val="0"/>
          <w:bCs w:val="0"/>
          <w:sz w:val="28"/>
          <w:szCs w:val="28"/>
          <w:lang w:bidi="ar-MA"/>
        </w:rPr>
        <w:t>l</w:t>
      </w:r>
      <w:r w:rsidR="00F746AE" w:rsidRPr="0079170F">
        <w:rPr>
          <w:b w:val="0"/>
          <w:bCs w:val="0"/>
          <w:sz w:val="28"/>
          <w:szCs w:val="28"/>
          <w:lang w:bidi="ar-MA"/>
        </w:rPr>
        <w:t xml:space="preserve">a consommation finale nationale </w:t>
      </w:r>
      <w:r w:rsidR="009F32A7" w:rsidRPr="0079170F">
        <w:rPr>
          <w:b w:val="0"/>
          <w:bCs w:val="0"/>
          <w:sz w:val="28"/>
          <w:szCs w:val="28"/>
          <w:lang w:bidi="ar-MA"/>
        </w:rPr>
        <w:t>aurait</w:t>
      </w:r>
      <w:r w:rsidR="00F746AE" w:rsidRPr="0079170F">
        <w:rPr>
          <w:b w:val="0"/>
          <w:bCs w:val="0"/>
          <w:sz w:val="28"/>
          <w:szCs w:val="28"/>
          <w:lang w:bidi="ar-MA"/>
        </w:rPr>
        <w:t xml:space="preserve"> conn</w:t>
      </w:r>
      <w:r w:rsidR="009F32A7" w:rsidRPr="0079170F">
        <w:rPr>
          <w:b w:val="0"/>
          <w:bCs w:val="0"/>
          <w:sz w:val="28"/>
          <w:szCs w:val="28"/>
          <w:lang w:bidi="ar-MA"/>
        </w:rPr>
        <w:t>u</w:t>
      </w:r>
      <w:r w:rsidR="00F746AE" w:rsidRPr="0079170F">
        <w:rPr>
          <w:b w:val="0"/>
          <w:bCs w:val="0"/>
          <w:sz w:val="28"/>
          <w:szCs w:val="28"/>
          <w:lang w:bidi="ar-MA"/>
        </w:rPr>
        <w:t xml:space="preserve"> une croissance en </w:t>
      </w:r>
      <w:r w:rsidR="009143F7" w:rsidRPr="0079170F">
        <w:rPr>
          <w:b w:val="0"/>
          <w:bCs w:val="0"/>
          <w:sz w:val="28"/>
          <w:szCs w:val="28"/>
          <w:lang w:bidi="ar-MA"/>
        </w:rPr>
        <w:t>décélération</w:t>
      </w:r>
      <w:r w:rsidR="002E64DA">
        <w:rPr>
          <w:b w:val="0"/>
          <w:bCs w:val="0"/>
          <w:sz w:val="28"/>
          <w:szCs w:val="28"/>
          <w:lang w:bidi="ar-MA"/>
        </w:rPr>
        <w:t xml:space="preserve">, avec un taux de </w:t>
      </w:r>
      <w:r w:rsidR="00F746AE" w:rsidRPr="0079170F">
        <w:rPr>
          <w:b w:val="0"/>
          <w:bCs w:val="0"/>
          <w:sz w:val="28"/>
          <w:szCs w:val="28"/>
          <w:lang w:bidi="ar-MA"/>
        </w:rPr>
        <w:t xml:space="preserve">3% au lieu de 3,7% en 2013. Sa </w:t>
      </w:r>
      <w:r w:rsidR="00F746AE" w:rsidRPr="0079170F">
        <w:rPr>
          <w:b w:val="0"/>
          <w:bCs w:val="0"/>
          <w:sz w:val="28"/>
          <w:szCs w:val="28"/>
          <w:lang w:bidi="ar-MA"/>
        </w:rPr>
        <w:lastRenderedPageBreak/>
        <w:t xml:space="preserve">contribution à la croissance </w:t>
      </w:r>
      <w:r w:rsidR="00AC6850">
        <w:rPr>
          <w:b w:val="0"/>
          <w:bCs w:val="0"/>
          <w:sz w:val="28"/>
          <w:szCs w:val="28"/>
          <w:lang w:bidi="ar-MA"/>
        </w:rPr>
        <w:t>aurait été</w:t>
      </w:r>
      <w:r w:rsidR="006E72CF">
        <w:rPr>
          <w:b w:val="0"/>
          <w:bCs w:val="0"/>
          <w:sz w:val="28"/>
          <w:szCs w:val="28"/>
          <w:lang w:bidi="ar-MA"/>
        </w:rPr>
        <w:t>,</w:t>
      </w:r>
      <w:r w:rsidR="00F746AE" w:rsidRPr="0079170F">
        <w:rPr>
          <w:b w:val="0"/>
          <w:bCs w:val="0"/>
          <w:sz w:val="28"/>
          <w:szCs w:val="28"/>
          <w:lang w:bidi="ar-MA"/>
        </w:rPr>
        <w:t xml:space="preserve"> ainsi</w:t>
      </w:r>
      <w:r w:rsidR="006E72CF">
        <w:rPr>
          <w:b w:val="0"/>
          <w:bCs w:val="0"/>
          <w:sz w:val="28"/>
          <w:szCs w:val="28"/>
          <w:lang w:bidi="ar-MA"/>
        </w:rPr>
        <w:t>,</w:t>
      </w:r>
      <w:r w:rsidR="00F746AE" w:rsidRPr="0079170F">
        <w:rPr>
          <w:b w:val="0"/>
          <w:bCs w:val="0"/>
          <w:sz w:val="28"/>
          <w:szCs w:val="28"/>
          <w:lang w:bidi="ar-MA"/>
        </w:rPr>
        <w:t xml:space="preserve"> de 2,</w:t>
      </w:r>
      <w:r w:rsidR="002818DA">
        <w:rPr>
          <w:b w:val="0"/>
          <w:bCs w:val="0"/>
          <w:sz w:val="28"/>
          <w:szCs w:val="28"/>
          <w:lang w:bidi="ar-MA"/>
        </w:rPr>
        <w:t>4</w:t>
      </w:r>
      <w:r w:rsidR="00F746AE" w:rsidRPr="0079170F">
        <w:rPr>
          <w:b w:val="0"/>
          <w:bCs w:val="0"/>
          <w:sz w:val="28"/>
          <w:szCs w:val="28"/>
          <w:lang w:bidi="ar-MA"/>
        </w:rPr>
        <w:t xml:space="preserve"> points au lieu de 2,9 points en 2013.</w:t>
      </w:r>
    </w:p>
    <w:p w:rsidR="009F32A7" w:rsidRPr="0079170F" w:rsidRDefault="009F32A7" w:rsidP="00AA39A2">
      <w:pPr>
        <w:spacing w:before="200" w:after="240" w:line="400" w:lineRule="exact"/>
        <w:ind w:firstLine="720"/>
        <w:jc w:val="both"/>
        <w:rPr>
          <w:b w:val="0"/>
          <w:bCs w:val="0"/>
          <w:sz w:val="28"/>
          <w:szCs w:val="28"/>
          <w:lang w:bidi="ar-MA"/>
        </w:rPr>
      </w:pPr>
      <w:r w:rsidRPr="0079170F">
        <w:rPr>
          <w:b w:val="0"/>
          <w:bCs w:val="0"/>
          <w:sz w:val="28"/>
          <w:szCs w:val="28"/>
          <w:lang w:bidi="ar-MA"/>
        </w:rPr>
        <w:t>Par ailleurs,</w:t>
      </w:r>
      <w:r w:rsidRPr="0079170F">
        <w:rPr>
          <w:b w:val="0"/>
          <w:bCs w:val="0"/>
          <w:sz w:val="28"/>
          <w:szCs w:val="28"/>
        </w:rPr>
        <w:t xml:space="preserve"> l’investissement brut, </w:t>
      </w:r>
      <w:r w:rsidR="00AA39A2">
        <w:rPr>
          <w:b w:val="0"/>
          <w:bCs w:val="0"/>
          <w:sz w:val="28"/>
          <w:szCs w:val="28"/>
        </w:rPr>
        <w:t xml:space="preserve">bénéficiant de </w:t>
      </w:r>
      <w:r w:rsidRPr="0079170F">
        <w:rPr>
          <w:b w:val="0"/>
          <w:bCs w:val="0"/>
          <w:sz w:val="28"/>
          <w:szCs w:val="28"/>
        </w:rPr>
        <w:t xml:space="preserve">la consolidation des investissements </w:t>
      </w:r>
      <w:r w:rsidRPr="000E670C">
        <w:rPr>
          <w:b w:val="0"/>
          <w:bCs w:val="0"/>
          <w:sz w:val="28"/>
          <w:szCs w:val="28"/>
        </w:rPr>
        <w:t xml:space="preserve">directs étrangers et </w:t>
      </w:r>
      <w:r w:rsidR="006E72CF">
        <w:rPr>
          <w:b w:val="0"/>
          <w:bCs w:val="0"/>
          <w:sz w:val="28"/>
          <w:szCs w:val="28"/>
        </w:rPr>
        <w:t xml:space="preserve">de </w:t>
      </w:r>
      <w:r w:rsidRPr="000E670C">
        <w:rPr>
          <w:b w:val="0"/>
          <w:bCs w:val="0"/>
          <w:sz w:val="28"/>
          <w:szCs w:val="28"/>
        </w:rPr>
        <w:t xml:space="preserve">la légère amélioration de l’investissement </w:t>
      </w:r>
      <w:r w:rsidR="005551FD" w:rsidRPr="000E670C">
        <w:rPr>
          <w:b w:val="0"/>
          <w:bCs w:val="0"/>
          <w:sz w:val="28"/>
          <w:szCs w:val="28"/>
        </w:rPr>
        <w:t>public</w:t>
      </w:r>
      <w:r w:rsidR="00A11716">
        <w:rPr>
          <w:b w:val="0"/>
          <w:bCs w:val="0"/>
          <w:sz w:val="28"/>
          <w:szCs w:val="28"/>
        </w:rPr>
        <w:t xml:space="preserve"> global</w:t>
      </w:r>
      <w:r w:rsidRPr="000E670C">
        <w:rPr>
          <w:b w:val="0"/>
          <w:bCs w:val="0"/>
          <w:sz w:val="28"/>
          <w:szCs w:val="28"/>
        </w:rPr>
        <w:t xml:space="preserve">,  aurait accusé une légère hausse de </w:t>
      </w:r>
      <w:r w:rsidR="002818DA">
        <w:rPr>
          <w:b w:val="0"/>
          <w:bCs w:val="0"/>
          <w:sz w:val="28"/>
          <w:szCs w:val="28"/>
        </w:rPr>
        <w:t>1</w:t>
      </w:r>
      <w:r w:rsidRPr="000E670C">
        <w:rPr>
          <w:b w:val="0"/>
          <w:bCs w:val="0"/>
          <w:sz w:val="28"/>
          <w:szCs w:val="28"/>
        </w:rPr>
        <w:t>,</w:t>
      </w:r>
      <w:r w:rsidR="002818DA">
        <w:rPr>
          <w:b w:val="0"/>
          <w:bCs w:val="0"/>
          <w:sz w:val="28"/>
          <w:szCs w:val="28"/>
        </w:rPr>
        <w:t>2</w:t>
      </w:r>
      <w:r w:rsidRPr="000E670C">
        <w:rPr>
          <w:b w:val="0"/>
          <w:bCs w:val="0"/>
          <w:sz w:val="28"/>
          <w:szCs w:val="28"/>
        </w:rPr>
        <w:t>% en 2014.</w:t>
      </w:r>
      <w:r w:rsidR="009143F7" w:rsidRPr="000E670C">
        <w:rPr>
          <w:b w:val="0"/>
          <w:bCs w:val="0"/>
          <w:sz w:val="28"/>
          <w:szCs w:val="28"/>
        </w:rPr>
        <w:t xml:space="preserve"> </w:t>
      </w:r>
      <w:r w:rsidRPr="000E670C">
        <w:rPr>
          <w:b w:val="0"/>
          <w:bCs w:val="0"/>
          <w:sz w:val="28"/>
          <w:szCs w:val="28"/>
        </w:rPr>
        <w:t>Sa contribution à la croissance aurait été de</w:t>
      </w:r>
      <w:r w:rsidR="00AC6850" w:rsidRPr="000E670C">
        <w:rPr>
          <w:b w:val="0"/>
          <w:bCs w:val="0"/>
          <w:sz w:val="28"/>
          <w:szCs w:val="28"/>
        </w:rPr>
        <w:t xml:space="preserve"> </w:t>
      </w:r>
      <w:r w:rsidRPr="000E670C">
        <w:rPr>
          <w:b w:val="0"/>
          <w:bCs w:val="0"/>
          <w:sz w:val="28"/>
          <w:szCs w:val="28"/>
        </w:rPr>
        <w:t>0,</w:t>
      </w:r>
      <w:r w:rsidR="002818DA">
        <w:rPr>
          <w:b w:val="0"/>
          <w:bCs w:val="0"/>
          <w:sz w:val="28"/>
          <w:szCs w:val="28"/>
        </w:rPr>
        <w:t>4</w:t>
      </w:r>
      <w:r w:rsidRPr="000E670C">
        <w:rPr>
          <w:b w:val="0"/>
          <w:bCs w:val="0"/>
          <w:sz w:val="28"/>
          <w:szCs w:val="28"/>
        </w:rPr>
        <w:t xml:space="preserve"> point au lieu d’une contribution négative de 0,1 en 2013.</w:t>
      </w:r>
      <w:r w:rsidRPr="0079170F">
        <w:rPr>
          <w:b w:val="0"/>
          <w:bCs w:val="0"/>
          <w:sz w:val="28"/>
          <w:szCs w:val="28"/>
          <w:lang w:bidi="ar-MA"/>
        </w:rPr>
        <w:t xml:space="preserve"> </w:t>
      </w:r>
    </w:p>
    <w:p w:rsidR="00575921" w:rsidRPr="0079170F" w:rsidRDefault="00F746AE" w:rsidP="0058607E">
      <w:pPr>
        <w:pStyle w:val="Sous-titre"/>
        <w:widowControl w:val="0"/>
        <w:spacing w:before="200" w:after="240" w:line="400" w:lineRule="exact"/>
        <w:ind w:right="-110" w:firstLine="720"/>
        <w:jc w:val="both"/>
        <w:rPr>
          <w:b w:val="0"/>
          <w:bCs w:val="0"/>
          <w:sz w:val="28"/>
          <w:szCs w:val="28"/>
          <w:lang w:bidi="ar-SA"/>
        </w:rPr>
      </w:pPr>
      <w:r w:rsidRPr="0079170F">
        <w:rPr>
          <w:b w:val="0"/>
          <w:bCs w:val="0"/>
          <w:sz w:val="28"/>
          <w:szCs w:val="28"/>
        </w:rPr>
        <w:t xml:space="preserve">Au total, la </w:t>
      </w:r>
      <w:r w:rsidRPr="002E64DA">
        <w:rPr>
          <w:sz w:val="28"/>
          <w:szCs w:val="28"/>
        </w:rPr>
        <w:t>demande intérieure</w:t>
      </w:r>
      <w:r w:rsidR="00B32260" w:rsidRPr="0079170F">
        <w:rPr>
          <w:b w:val="0"/>
          <w:bCs w:val="0"/>
          <w:sz w:val="28"/>
          <w:szCs w:val="28"/>
        </w:rPr>
        <w:t xml:space="preserve"> </w:t>
      </w:r>
      <w:r w:rsidR="00CC7400">
        <w:rPr>
          <w:b w:val="0"/>
          <w:bCs w:val="0"/>
          <w:sz w:val="28"/>
          <w:szCs w:val="28"/>
        </w:rPr>
        <w:t>aurait maintenu sa croissance à</w:t>
      </w:r>
      <w:r w:rsidRPr="0079170F">
        <w:rPr>
          <w:b w:val="0"/>
          <w:bCs w:val="0"/>
          <w:sz w:val="28"/>
          <w:szCs w:val="28"/>
        </w:rPr>
        <w:t xml:space="preserve"> </w:t>
      </w:r>
      <w:r w:rsidR="0040233D" w:rsidRPr="0079170F">
        <w:rPr>
          <w:b w:val="0"/>
          <w:bCs w:val="0"/>
          <w:sz w:val="28"/>
          <w:szCs w:val="28"/>
        </w:rPr>
        <w:t>2</w:t>
      </w:r>
      <w:r w:rsidRPr="0079170F">
        <w:rPr>
          <w:b w:val="0"/>
          <w:bCs w:val="0"/>
          <w:sz w:val="28"/>
          <w:szCs w:val="28"/>
        </w:rPr>
        <w:t>,</w:t>
      </w:r>
      <w:r w:rsidR="0040233D" w:rsidRPr="0079170F">
        <w:rPr>
          <w:b w:val="0"/>
          <w:bCs w:val="0"/>
          <w:sz w:val="28"/>
          <w:szCs w:val="28"/>
        </w:rPr>
        <w:t>4</w:t>
      </w:r>
      <w:r w:rsidR="0058607E">
        <w:rPr>
          <w:b w:val="0"/>
          <w:bCs w:val="0"/>
          <w:sz w:val="28"/>
          <w:szCs w:val="28"/>
        </w:rPr>
        <w:t xml:space="preserve"> et s</w:t>
      </w:r>
      <w:r w:rsidRPr="0079170F">
        <w:rPr>
          <w:b w:val="0"/>
          <w:bCs w:val="0"/>
          <w:sz w:val="28"/>
          <w:szCs w:val="28"/>
        </w:rPr>
        <w:t xml:space="preserve">a contribution à la croissance </w:t>
      </w:r>
      <w:r w:rsidR="002E37A2">
        <w:rPr>
          <w:b w:val="0"/>
          <w:bCs w:val="0"/>
          <w:sz w:val="28"/>
          <w:szCs w:val="28"/>
        </w:rPr>
        <w:t xml:space="preserve">à </w:t>
      </w:r>
      <w:r w:rsidR="002818DA">
        <w:rPr>
          <w:b w:val="0"/>
          <w:bCs w:val="0"/>
          <w:sz w:val="28"/>
          <w:szCs w:val="28"/>
        </w:rPr>
        <w:t>2</w:t>
      </w:r>
      <w:r w:rsidRPr="0079170F">
        <w:rPr>
          <w:b w:val="0"/>
          <w:bCs w:val="0"/>
          <w:sz w:val="28"/>
          <w:szCs w:val="28"/>
        </w:rPr>
        <w:t>,</w:t>
      </w:r>
      <w:r w:rsidR="002818DA">
        <w:rPr>
          <w:b w:val="0"/>
          <w:bCs w:val="0"/>
          <w:sz w:val="28"/>
          <w:szCs w:val="28"/>
        </w:rPr>
        <w:t>8</w:t>
      </w:r>
      <w:r w:rsidR="00241888">
        <w:rPr>
          <w:b w:val="0"/>
          <w:bCs w:val="0"/>
          <w:sz w:val="28"/>
          <w:szCs w:val="28"/>
        </w:rPr>
        <w:t xml:space="preserve"> points</w:t>
      </w:r>
      <w:r w:rsidR="002914F9" w:rsidRPr="0079170F">
        <w:rPr>
          <w:b w:val="0"/>
          <w:bCs w:val="0"/>
          <w:sz w:val="28"/>
          <w:szCs w:val="28"/>
        </w:rPr>
        <w:t xml:space="preserve">. </w:t>
      </w:r>
      <w:r w:rsidR="0058607E">
        <w:rPr>
          <w:b w:val="0"/>
          <w:bCs w:val="0"/>
          <w:sz w:val="28"/>
          <w:szCs w:val="28"/>
        </w:rPr>
        <w:t>L</w:t>
      </w:r>
      <w:r w:rsidR="002E37A2" w:rsidRPr="0079170F">
        <w:rPr>
          <w:b w:val="0"/>
          <w:sz w:val="28"/>
          <w:szCs w:val="28"/>
        </w:rPr>
        <w:t>’</w:t>
      </w:r>
      <w:r w:rsidR="00D73E28">
        <w:rPr>
          <w:b w:val="0"/>
          <w:sz w:val="28"/>
          <w:szCs w:val="28"/>
        </w:rPr>
        <w:t>inflation, mesurée par l’</w:t>
      </w:r>
      <w:r w:rsidR="002E37A2" w:rsidRPr="0079170F">
        <w:rPr>
          <w:b w:val="0"/>
          <w:sz w:val="28"/>
          <w:szCs w:val="28"/>
        </w:rPr>
        <w:t xml:space="preserve">indice </w:t>
      </w:r>
      <w:r w:rsidR="00D73E28">
        <w:rPr>
          <w:b w:val="0"/>
          <w:sz w:val="28"/>
          <w:szCs w:val="28"/>
        </w:rPr>
        <w:t>implicite du PIB,</w:t>
      </w:r>
      <w:r w:rsidR="002E37A2" w:rsidRPr="0079170F">
        <w:rPr>
          <w:b w:val="0"/>
          <w:sz w:val="28"/>
          <w:szCs w:val="28"/>
        </w:rPr>
        <w:t xml:space="preserve"> </w:t>
      </w:r>
      <w:r w:rsidR="002E37A2">
        <w:rPr>
          <w:b w:val="0"/>
          <w:sz w:val="28"/>
          <w:szCs w:val="28"/>
        </w:rPr>
        <w:t xml:space="preserve">aurait connu une </w:t>
      </w:r>
      <w:r w:rsidR="00976EC1">
        <w:rPr>
          <w:b w:val="0"/>
          <w:sz w:val="28"/>
          <w:szCs w:val="28"/>
        </w:rPr>
        <w:t>faible hausse</w:t>
      </w:r>
      <w:r w:rsidR="002E37A2">
        <w:rPr>
          <w:b w:val="0"/>
          <w:sz w:val="28"/>
          <w:szCs w:val="28"/>
        </w:rPr>
        <w:t xml:space="preserve"> de </w:t>
      </w:r>
      <w:r w:rsidR="002E37A2" w:rsidRPr="0079170F">
        <w:rPr>
          <w:b w:val="0"/>
          <w:sz w:val="28"/>
          <w:szCs w:val="28"/>
        </w:rPr>
        <w:t>0,4% en 2014</w:t>
      </w:r>
      <w:r w:rsidR="002E37A2">
        <w:rPr>
          <w:b w:val="0"/>
          <w:sz w:val="28"/>
          <w:szCs w:val="28"/>
        </w:rPr>
        <w:t>.</w:t>
      </w:r>
    </w:p>
    <w:bookmarkEnd w:id="0"/>
    <w:bookmarkEnd w:id="1"/>
    <w:bookmarkEnd w:id="2"/>
    <w:p w:rsidR="00D73E28" w:rsidRDefault="00976EC1" w:rsidP="006E72CF">
      <w:pPr>
        <w:spacing w:before="200" w:after="240" w:line="400" w:lineRule="exact"/>
        <w:ind w:firstLine="720"/>
        <w:jc w:val="both"/>
        <w:rPr>
          <w:b w:val="0"/>
          <w:bCs w:val="0"/>
          <w:sz w:val="28"/>
          <w:szCs w:val="28"/>
        </w:rPr>
      </w:pPr>
      <w:r>
        <w:rPr>
          <w:b w:val="0"/>
          <w:bCs w:val="0"/>
          <w:sz w:val="28"/>
          <w:szCs w:val="28"/>
        </w:rPr>
        <w:t>L</w:t>
      </w:r>
      <w:r w:rsidR="00D73E28">
        <w:rPr>
          <w:b w:val="0"/>
          <w:bCs w:val="0"/>
          <w:sz w:val="28"/>
          <w:szCs w:val="28"/>
        </w:rPr>
        <w:t xml:space="preserve">a </w:t>
      </w:r>
      <w:r w:rsidRPr="0079170F">
        <w:rPr>
          <w:b w:val="0"/>
          <w:bCs w:val="0"/>
          <w:sz w:val="28"/>
          <w:szCs w:val="28"/>
        </w:rPr>
        <w:t>contribution</w:t>
      </w:r>
      <w:r>
        <w:rPr>
          <w:b w:val="0"/>
          <w:bCs w:val="0"/>
          <w:sz w:val="28"/>
          <w:szCs w:val="28"/>
        </w:rPr>
        <w:t xml:space="preserve"> de la </w:t>
      </w:r>
      <w:r w:rsidR="00D73E28">
        <w:rPr>
          <w:b w:val="0"/>
          <w:bCs w:val="0"/>
          <w:sz w:val="28"/>
          <w:szCs w:val="28"/>
        </w:rPr>
        <w:t>demande extérieure nette</w:t>
      </w:r>
      <w:r w:rsidRPr="00976EC1">
        <w:rPr>
          <w:b w:val="0"/>
          <w:bCs w:val="0"/>
          <w:sz w:val="28"/>
          <w:szCs w:val="28"/>
        </w:rPr>
        <w:t xml:space="preserve"> </w:t>
      </w:r>
      <w:r w:rsidRPr="0079170F">
        <w:rPr>
          <w:b w:val="0"/>
          <w:bCs w:val="0"/>
          <w:sz w:val="28"/>
          <w:szCs w:val="28"/>
        </w:rPr>
        <w:t>à la croissance</w:t>
      </w:r>
      <w:r w:rsidR="00D73E28">
        <w:rPr>
          <w:b w:val="0"/>
          <w:bCs w:val="0"/>
          <w:sz w:val="28"/>
          <w:szCs w:val="28"/>
        </w:rPr>
        <w:t xml:space="preserve">, </w:t>
      </w:r>
      <w:r>
        <w:rPr>
          <w:b w:val="0"/>
          <w:bCs w:val="0"/>
          <w:sz w:val="28"/>
          <w:szCs w:val="28"/>
        </w:rPr>
        <w:t>après avoir été positive de</w:t>
      </w:r>
      <w:r w:rsidRPr="000E670C">
        <w:rPr>
          <w:b w:val="0"/>
          <w:bCs w:val="0"/>
          <w:sz w:val="28"/>
          <w:szCs w:val="28"/>
        </w:rPr>
        <w:t xml:space="preserve"> 1,</w:t>
      </w:r>
      <w:r>
        <w:rPr>
          <w:b w:val="0"/>
          <w:bCs w:val="0"/>
          <w:sz w:val="28"/>
          <w:szCs w:val="28"/>
        </w:rPr>
        <w:t>6</w:t>
      </w:r>
      <w:r w:rsidRPr="000E670C">
        <w:rPr>
          <w:b w:val="0"/>
          <w:bCs w:val="0"/>
          <w:sz w:val="28"/>
          <w:szCs w:val="28"/>
        </w:rPr>
        <w:t xml:space="preserve"> point en 2013</w:t>
      </w:r>
      <w:r w:rsidR="00D73E28">
        <w:rPr>
          <w:b w:val="0"/>
          <w:bCs w:val="0"/>
          <w:sz w:val="28"/>
          <w:szCs w:val="28"/>
        </w:rPr>
        <w:t xml:space="preserve">, </w:t>
      </w:r>
      <w:r w:rsidR="002E37A2" w:rsidRPr="0079170F">
        <w:rPr>
          <w:b w:val="0"/>
          <w:bCs w:val="0"/>
          <w:sz w:val="28"/>
          <w:szCs w:val="28"/>
        </w:rPr>
        <w:t xml:space="preserve"> serait négative</w:t>
      </w:r>
      <w:r w:rsidR="002E37A2">
        <w:rPr>
          <w:b w:val="0"/>
          <w:bCs w:val="0"/>
          <w:sz w:val="28"/>
          <w:szCs w:val="28"/>
        </w:rPr>
        <w:t xml:space="preserve">, </w:t>
      </w:r>
      <w:r w:rsidR="002E37A2" w:rsidRPr="000E670C">
        <w:rPr>
          <w:b w:val="0"/>
          <w:bCs w:val="0"/>
          <w:sz w:val="28"/>
          <w:szCs w:val="28"/>
        </w:rPr>
        <w:t>avec -</w:t>
      </w:r>
      <w:r w:rsidR="002E37A2">
        <w:rPr>
          <w:b w:val="0"/>
          <w:bCs w:val="0"/>
          <w:sz w:val="28"/>
          <w:szCs w:val="28"/>
        </w:rPr>
        <w:t>0</w:t>
      </w:r>
      <w:r w:rsidR="002E37A2" w:rsidRPr="000E670C">
        <w:rPr>
          <w:b w:val="0"/>
          <w:bCs w:val="0"/>
          <w:sz w:val="28"/>
          <w:szCs w:val="28"/>
        </w:rPr>
        <w:t>,</w:t>
      </w:r>
      <w:r w:rsidR="002E37A2">
        <w:rPr>
          <w:b w:val="0"/>
          <w:bCs w:val="0"/>
          <w:sz w:val="28"/>
          <w:szCs w:val="28"/>
        </w:rPr>
        <w:t>1</w:t>
      </w:r>
      <w:r w:rsidR="002E37A2" w:rsidRPr="000E670C">
        <w:rPr>
          <w:b w:val="0"/>
          <w:bCs w:val="0"/>
          <w:sz w:val="28"/>
          <w:szCs w:val="28"/>
        </w:rPr>
        <w:t xml:space="preserve"> point</w:t>
      </w:r>
      <w:r w:rsidR="002E37A2" w:rsidRPr="0079170F">
        <w:rPr>
          <w:b w:val="0"/>
          <w:bCs w:val="0"/>
          <w:sz w:val="28"/>
          <w:szCs w:val="28"/>
        </w:rPr>
        <w:t xml:space="preserve"> en 2014</w:t>
      </w:r>
      <w:r w:rsidR="00D73E28">
        <w:rPr>
          <w:b w:val="0"/>
          <w:bCs w:val="0"/>
          <w:sz w:val="28"/>
          <w:szCs w:val="28"/>
        </w:rPr>
        <w:t>.</w:t>
      </w:r>
      <w:r w:rsidR="002E37A2">
        <w:rPr>
          <w:b w:val="0"/>
          <w:bCs w:val="0"/>
          <w:sz w:val="28"/>
          <w:szCs w:val="28"/>
        </w:rPr>
        <w:t xml:space="preserve"> </w:t>
      </w:r>
      <w:r w:rsidR="00D73E28" w:rsidRPr="000E670C">
        <w:rPr>
          <w:b w:val="0"/>
          <w:bCs w:val="0"/>
          <w:sz w:val="28"/>
          <w:szCs w:val="28"/>
        </w:rPr>
        <w:t xml:space="preserve">Ce résultat </w:t>
      </w:r>
      <w:r w:rsidR="00D73E28">
        <w:rPr>
          <w:b w:val="0"/>
          <w:bCs w:val="0"/>
          <w:sz w:val="28"/>
          <w:szCs w:val="28"/>
        </w:rPr>
        <w:t>serait</w:t>
      </w:r>
      <w:r w:rsidR="00DF506A" w:rsidRPr="000E670C">
        <w:rPr>
          <w:b w:val="0"/>
          <w:bCs w:val="0"/>
          <w:sz w:val="28"/>
          <w:szCs w:val="28"/>
        </w:rPr>
        <w:t xml:space="preserve"> </w:t>
      </w:r>
      <w:r>
        <w:rPr>
          <w:b w:val="0"/>
          <w:bCs w:val="0"/>
          <w:sz w:val="28"/>
          <w:szCs w:val="28"/>
        </w:rPr>
        <w:t>d</w:t>
      </w:r>
      <w:r w:rsidR="006E72CF">
        <w:rPr>
          <w:b w:val="0"/>
          <w:bCs w:val="0"/>
          <w:sz w:val="28"/>
          <w:szCs w:val="28"/>
        </w:rPr>
        <w:t>û</w:t>
      </w:r>
      <w:r>
        <w:rPr>
          <w:b w:val="0"/>
          <w:bCs w:val="0"/>
          <w:sz w:val="28"/>
          <w:szCs w:val="28"/>
        </w:rPr>
        <w:t xml:space="preserve"> à la persistance du poids des </w:t>
      </w:r>
      <w:r w:rsidRPr="000E670C">
        <w:rPr>
          <w:b w:val="0"/>
          <w:bCs w:val="0"/>
          <w:sz w:val="28"/>
          <w:szCs w:val="28"/>
        </w:rPr>
        <w:t xml:space="preserve">importations </w:t>
      </w:r>
      <w:r w:rsidR="00DF506A">
        <w:rPr>
          <w:b w:val="0"/>
          <w:bCs w:val="0"/>
          <w:sz w:val="28"/>
          <w:szCs w:val="28"/>
        </w:rPr>
        <w:t xml:space="preserve">des biens et services </w:t>
      </w:r>
      <w:r>
        <w:rPr>
          <w:b w:val="0"/>
          <w:bCs w:val="0"/>
          <w:sz w:val="28"/>
          <w:szCs w:val="28"/>
        </w:rPr>
        <w:t xml:space="preserve">dont la hausse </w:t>
      </w:r>
      <w:r w:rsidR="00DF506A">
        <w:rPr>
          <w:b w:val="0"/>
          <w:bCs w:val="0"/>
          <w:sz w:val="28"/>
          <w:szCs w:val="28"/>
        </w:rPr>
        <w:t xml:space="preserve">serait </w:t>
      </w:r>
      <w:r w:rsidR="00DF506A" w:rsidRPr="000E670C">
        <w:rPr>
          <w:b w:val="0"/>
          <w:bCs w:val="0"/>
          <w:sz w:val="28"/>
          <w:szCs w:val="28"/>
        </w:rPr>
        <w:t>de 4,</w:t>
      </w:r>
      <w:r w:rsidR="00DF506A">
        <w:rPr>
          <w:b w:val="0"/>
          <w:bCs w:val="0"/>
          <w:sz w:val="28"/>
          <w:szCs w:val="28"/>
        </w:rPr>
        <w:t>7</w:t>
      </w:r>
      <w:r w:rsidR="00DF506A" w:rsidRPr="000E670C">
        <w:rPr>
          <w:b w:val="0"/>
          <w:bCs w:val="0"/>
          <w:sz w:val="28"/>
          <w:szCs w:val="28"/>
        </w:rPr>
        <w:t>%</w:t>
      </w:r>
      <w:r w:rsidR="006E72CF">
        <w:rPr>
          <w:b w:val="0"/>
          <w:bCs w:val="0"/>
          <w:sz w:val="28"/>
          <w:szCs w:val="28"/>
        </w:rPr>
        <w:t>,</w:t>
      </w:r>
      <w:r w:rsidR="00DF506A">
        <w:rPr>
          <w:b w:val="0"/>
          <w:bCs w:val="0"/>
          <w:sz w:val="28"/>
          <w:szCs w:val="28"/>
        </w:rPr>
        <w:t xml:space="preserve"> malgré</w:t>
      </w:r>
      <w:r w:rsidR="00D73E28" w:rsidRPr="000E670C">
        <w:rPr>
          <w:b w:val="0"/>
          <w:bCs w:val="0"/>
          <w:sz w:val="28"/>
          <w:szCs w:val="28"/>
        </w:rPr>
        <w:t xml:space="preserve"> </w:t>
      </w:r>
      <w:r w:rsidR="00D73E28">
        <w:rPr>
          <w:b w:val="0"/>
          <w:bCs w:val="0"/>
          <w:sz w:val="28"/>
          <w:szCs w:val="28"/>
        </w:rPr>
        <w:t>l’</w:t>
      </w:r>
      <w:r w:rsidR="00D73E28" w:rsidRPr="000E670C">
        <w:rPr>
          <w:b w:val="0"/>
          <w:bCs w:val="0"/>
          <w:sz w:val="28"/>
          <w:szCs w:val="28"/>
        </w:rPr>
        <w:t xml:space="preserve">amélioration des exportations des biens et services de </w:t>
      </w:r>
      <w:r w:rsidR="00D73E28">
        <w:rPr>
          <w:b w:val="0"/>
          <w:bCs w:val="0"/>
          <w:sz w:val="28"/>
          <w:szCs w:val="28"/>
        </w:rPr>
        <w:t>6</w:t>
      </w:r>
      <w:r w:rsidR="00D73E28" w:rsidRPr="000E670C">
        <w:rPr>
          <w:b w:val="0"/>
          <w:bCs w:val="0"/>
          <w:sz w:val="28"/>
          <w:szCs w:val="28"/>
        </w:rPr>
        <w:t>,</w:t>
      </w:r>
      <w:r w:rsidR="00D73E28">
        <w:rPr>
          <w:b w:val="0"/>
          <w:bCs w:val="0"/>
          <w:sz w:val="28"/>
          <w:szCs w:val="28"/>
        </w:rPr>
        <w:t>1</w:t>
      </w:r>
      <w:r w:rsidR="00DF506A">
        <w:rPr>
          <w:b w:val="0"/>
          <w:bCs w:val="0"/>
          <w:sz w:val="28"/>
          <w:szCs w:val="28"/>
        </w:rPr>
        <w:t>%.</w:t>
      </w:r>
    </w:p>
    <w:p w:rsidR="00042BA6" w:rsidRDefault="00487435" w:rsidP="00932635">
      <w:pPr>
        <w:spacing w:before="200" w:after="240" w:line="400" w:lineRule="exact"/>
        <w:ind w:firstLine="720"/>
        <w:jc w:val="both"/>
        <w:rPr>
          <w:b w:val="0"/>
          <w:bCs w:val="0"/>
          <w:sz w:val="28"/>
          <w:szCs w:val="28"/>
        </w:rPr>
      </w:pPr>
      <w:r w:rsidRPr="000E670C">
        <w:rPr>
          <w:b w:val="0"/>
          <w:bCs w:val="0"/>
          <w:sz w:val="28"/>
          <w:szCs w:val="28"/>
        </w:rPr>
        <w:t xml:space="preserve">Aux prix courants, les exportations </w:t>
      </w:r>
      <w:r>
        <w:rPr>
          <w:b w:val="0"/>
          <w:bCs w:val="0"/>
          <w:sz w:val="28"/>
          <w:szCs w:val="28"/>
        </w:rPr>
        <w:t xml:space="preserve">de biens et services </w:t>
      </w:r>
      <w:r w:rsidRPr="000E670C">
        <w:rPr>
          <w:b w:val="0"/>
          <w:bCs w:val="0"/>
          <w:sz w:val="28"/>
          <w:szCs w:val="28"/>
        </w:rPr>
        <w:t xml:space="preserve">auraient enregistré une </w:t>
      </w:r>
      <w:r w:rsidR="0058397D">
        <w:rPr>
          <w:b w:val="0"/>
          <w:bCs w:val="0"/>
          <w:sz w:val="28"/>
          <w:szCs w:val="28"/>
        </w:rPr>
        <w:t>progression</w:t>
      </w:r>
      <w:r w:rsidRPr="000E670C">
        <w:rPr>
          <w:b w:val="0"/>
          <w:bCs w:val="0"/>
          <w:sz w:val="28"/>
          <w:szCs w:val="28"/>
        </w:rPr>
        <w:t xml:space="preserve"> de </w:t>
      </w:r>
      <w:r>
        <w:rPr>
          <w:b w:val="0"/>
          <w:bCs w:val="0"/>
          <w:sz w:val="28"/>
          <w:szCs w:val="28"/>
        </w:rPr>
        <w:t>5</w:t>
      </w:r>
      <w:r w:rsidRPr="000E670C">
        <w:rPr>
          <w:b w:val="0"/>
          <w:bCs w:val="0"/>
          <w:sz w:val="28"/>
          <w:szCs w:val="28"/>
        </w:rPr>
        <w:t>,</w:t>
      </w:r>
      <w:r>
        <w:rPr>
          <w:b w:val="0"/>
          <w:bCs w:val="0"/>
          <w:sz w:val="28"/>
          <w:szCs w:val="28"/>
        </w:rPr>
        <w:t>3</w:t>
      </w:r>
      <w:r w:rsidRPr="000E670C">
        <w:rPr>
          <w:b w:val="0"/>
          <w:bCs w:val="0"/>
          <w:sz w:val="28"/>
          <w:szCs w:val="28"/>
        </w:rPr>
        <w:t>%</w:t>
      </w:r>
      <w:r w:rsidR="006E72CF">
        <w:rPr>
          <w:b w:val="0"/>
          <w:bCs w:val="0"/>
          <w:sz w:val="28"/>
          <w:szCs w:val="28"/>
        </w:rPr>
        <w:t>,</w:t>
      </w:r>
      <w:r w:rsidR="0058397D">
        <w:rPr>
          <w:b w:val="0"/>
          <w:bCs w:val="0"/>
          <w:sz w:val="28"/>
          <w:szCs w:val="28"/>
        </w:rPr>
        <w:t xml:space="preserve"> </w:t>
      </w:r>
      <w:r w:rsidR="006E72CF">
        <w:rPr>
          <w:b w:val="0"/>
          <w:bCs w:val="0"/>
          <w:sz w:val="28"/>
          <w:szCs w:val="28"/>
        </w:rPr>
        <w:t xml:space="preserve">notamment  </w:t>
      </w:r>
      <w:r w:rsidR="0058397D">
        <w:rPr>
          <w:b w:val="0"/>
          <w:bCs w:val="0"/>
          <w:sz w:val="28"/>
          <w:szCs w:val="28"/>
        </w:rPr>
        <w:t xml:space="preserve">suite à la hausse des produits de l’automobile de </w:t>
      </w:r>
      <w:r w:rsidR="006E72CF">
        <w:rPr>
          <w:b w:val="0"/>
          <w:bCs w:val="0"/>
          <w:sz w:val="28"/>
          <w:szCs w:val="28"/>
        </w:rPr>
        <w:t xml:space="preserve">26,12%, </w:t>
      </w:r>
      <w:r w:rsidR="00673DBF">
        <w:rPr>
          <w:b w:val="0"/>
          <w:bCs w:val="0"/>
          <w:sz w:val="28"/>
          <w:szCs w:val="28"/>
        </w:rPr>
        <w:t xml:space="preserve">de l’industrie alimentaire de 8,3% et </w:t>
      </w:r>
      <w:r w:rsidR="006E72CF">
        <w:rPr>
          <w:b w:val="0"/>
          <w:bCs w:val="0"/>
          <w:sz w:val="28"/>
          <w:szCs w:val="28"/>
        </w:rPr>
        <w:t>du textile et cuir de 3,8%</w:t>
      </w:r>
      <w:r>
        <w:rPr>
          <w:b w:val="0"/>
          <w:bCs w:val="0"/>
          <w:sz w:val="28"/>
          <w:szCs w:val="28"/>
        </w:rPr>
        <w:t>.</w:t>
      </w:r>
      <w:r w:rsidRPr="000E670C">
        <w:rPr>
          <w:b w:val="0"/>
          <w:bCs w:val="0"/>
          <w:sz w:val="28"/>
          <w:szCs w:val="28"/>
        </w:rPr>
        <w:t xml:space="preserve"> </w:t>
      </w:r>
      <w:r>
        <w:rPr>
          <w:b w:val="0"/>
          <w:bCs w:val="0"/>
          <w:sz w:val="28"/>
          <w:szCs w:val="28"/>
        </w:rPr>
        <w:t xml:space="preserve"> L</w:t>
      </w:r>
      <w:r w:rsidRPr="000E670C">
        <w:rPr>
          <w:b w:val="0"/>
          <w:bCs w:val="0"/>
          <w:sz w:val="28"/>
          <w:szCs w:val="28"/>
        </w:rPr>
        <w:t>es importations</w:t>
      </w:r>
      <w:r>
        <w:rPr>
          <w:b w:val="0"/>
          <w:bCs w:val="0"/>
          <w:sz w:val="28"/>
          <w:szCs w:val="28"/>
        </w:rPr>
        <w:t>,</w:t>
      </w:r>
      <w:r w:rsidRPr="000E670C">
        <w:rPr>
          <w:b w:val="0"/>
          <w:bCs w:val="0"/>
          <w:sz w:val="28"/>
          <w:szCs w:val="28"/>
        </w:rPr>
        <w:t xml:space="preserve"> </w:t>
      </w:r>
      <w:r>
        <w:rPr>
          <w:b w:val="0"/>
          <w:bCs w:val="0"/>
          <w:sz w:val="28"/>
          <w:szCs w:val="28"/>
        </w:rPr>
        <w:t xml:space="preserve">quant à elles, </w:t>
      </w:r>
      <w:r w:rsidRPr="000E670C">
        <w:rPr>
          <w:b w:val="0"/>
          <w:bCs w:val="0"/>
          <w:sz w:val="28"/>
          <w:szCs w:val="28"/>
        </w:rPr>
        <w:t xml:space="preserve">auraient connu </w:t>
      </w:r>
      <w:r>
        <w:rPr>
          <w:b w:val="0"/>
          <w:bCs w:val="0"/>
          <w:sz w:val="28"/>
          <w:szCs w:val="28"/>
        </w:rPr>
        <w:t xml:space="preserve">une </w:t>
      </w:r>
      <w:r w:rsidR="00932635">
        <w:rPr>
          <w:b w:val="0"/>
          <w:bCs w:val="0"/>
          <w:sz w:val="28"/>
          <w:szCs w:val="28"/>
        </w:rPr>
        <w:t>baisse</w:t>
      </w:r>
      <w:r w:rsidRPr="000E670C">
        <w:rPr>
          <w:b w:val="0"/>
          <w:bCs w:val="0"/>
          <w:sz w:val="28"/>
          <w:szCs w:val="28"/>
        </w:rPr>
        <w:t xml:space="preserve"> de 0,</w:t>
      </w:r>
      <w:r w:rsidR="00932635">
        <w:rPr>
          <w:b w:val="0"/>
          <w:bCs w:val="0"/>
          <w:sz w:val="28"/>
          <w:szCs w:val="28"/>
        </w:rPr>
        <w:t>1</w:t>
      </w:r>
      <w:r w:rsidRPr="000E670C">
        <w:rPr>
          <w:b w:val="0"/>
          <w:bCs w:val="0"/>
          <w:sz w:val="28"/>
          <w:szCs w:val="28"/>
        </w:rPr>
        <w:t>%</w:t>
      </w:r>
      <w:r w:rsidR="00673DBF">
        <w:rPr>
          <w:b w:val="0"/>
          <w:bCs w:val="0"/>
          <w:sz w:val="28"/>
          <w:szCs w:val="28"/>
        </w:rPr>
        <w:t>,</w:t>
      </w:r>
      <w:r w:rsidRPr="000E670C">
        <w:rPr>
          <w:b w:val="0"/>
          <w:bCs w:val="0"/>
          <w:sz w:val="28"/>
          <w:szCs w:val="28"/>
        </w:rPr>
        <w:t xml:space="preserve"> sou</w:t>
      </w:r>
      <w:r w:rsidR="00673DBF">
        <w:rPr>
          <w:b w:val="0"/>
          <w:bCs w:val="0"/>
          <w:sz w:val="28"/>
          <w:szCs w:val="28"/>
        </w:rPr>
        <w:t xml:space="preserve">s l’effet, particulièrement, de la baisse nette de la valeur </w:t>
      </w:r>
      <w:r w:rsidRPr="000E670C">
        <w:rPr>
          <w:b w:val="0"/>
          <w:bCs w:val="0"/>
          <w:sz w:val="28"/>
          <w:szCs w:val="28"/>
        </w:rPr>
        <w:t xml:space="preserve">des produits énergétiques </w:t>
      </w:r>
      <w:r w:rsidR="00673DBF">
        <w:rPr>
          <w:b w:val="0"/>
          <w:bCs w:val="0"/>
          <w:sz w:val="28"/>
          <w:szCs w:val="28"/>
        </w:rPr>
        <w:t xml:space="preserve">de 10,1% et des biens d’équipement de 4,1% </w:t>
      </w:r>
      <w:r w:rsidRPr="000E670C">
        <w:rPr>
          <w:b w:val="0"/>
          <w:bCs w:val="0"/>
          <w:sz w:val="28"/>
          <w:szCs w:val="28"/>
        </w:rPr>
        <w:t xml:space="preserve">et </w:t>
      </w:r>
      <w:r w:rsidR="00673DBF">
        <w:rPr>
          <w:b w:val="0"/>
          <w:bCs w:val="0"/>
          <w:sz w:val="28"/>
          <w:szCs w:val="28"/>
        </w:rPr>
        <w:t>de la faible hausse des demis produits de 0,6%.</w:t>
      </w:r>
      <w:r w:rsidRPr="001357A5">
        <w:rPr>
          <w:b w:val="0"/>
          <w:bCs w:val="0"/>
          <w:sz w:val="28"/>
          <w:szCs w:val="28"/>
        </w:rPr>
        <w:t xml:space="preserve"> De ce fait</w:t>
      </w:r>
      <w:r w:rsidR="00673DBF">
        <w:rPr>
          <w:b w:val="0"/>
          <w:bCs w:val="0"/>
          <w:sz w:val="28"/>
          <w:szCs w:val="28"/>
        </w:rPr>
        <w:t>,</w:t>
      </w:r>
      <w:r w:rsidRPr="001357A5">
        <w:rPr>
          <w:b w:val="0"/>
          <w:bCs w:val="0"/>
          <w:sz w:val="28"/>
          <w:szCs w:val="28"/>
        </w:rPr>
        <w:t xml:space="preserve"> la balance en ressources </w:t>
      </w:r>
      <w:r w:rsidR="00673DBF">
        <w:rPr>
          <w:b w:val="0"/>
          <w:bCs w:val="0"/>
          <w:sz w:val="28"/>
          <w:szCs w:val="28"/>
        </w:rPr>
        <w:t xml:space="preserve">(échanges de biens et services) </w:t>
      </w:r>
      <w:r w:rsidRPr="001357A5">
        <w:rPr>
          <w:b w:val="0"/>
          <w:bCs w:val="0"/>
          <w:sz w:val="28"/>
          <w:szCs w:val="28"/>
        </w:rPr>
        <w:t xml:space="preserve">aurait dégagé, un déficit de 12,2% du PIB en 2014 en allégement </w:t>
      </w:r>
      <w:r>
        <w:rPr>
          <w:b w:val="0"/>
          <w:bCs w:val="0"/>
          <w:sz w:val="28"/>
          <w:szCs w:val="28"/>
        </w:rPr>
        <w:t xml:space="preserve">par rapport à </w:t>
      </w:r>
      <w:r w:rsidRPr="001357A5">
        <w:rPr>
          <w:b w:val="0"/>
          <w:bCs w:val="0"/>
          <w:sz w:val="28"/>
          <w:szCs w:val="28"/>
        </w:rPr>
        <w:t>14,3% du PIB en 2013.</w:t>
      </w:r>
    </w:p>
    <w:p w:rsidR="00CB2650" w:rsidRDefault="00CB2650" w:rsidP="00932635">
      <w:pPr>
        <w:spacing w:before="200" w:after="240" w:line="400" w:lineRule="exact"/>
        <w:ind w:firstLine="720"/>
        <w:jc w:val="both"/>
        <w:rPr>
          <w:b w:val="0"/>
          <w:bCs w:val="0"/>
          <w:sz w:val="28"/>
          <w:szCs w:val="28"/>
        </w:rPr>
      </w:pPr>
    </w:p>
    <w:p w:rsidR="00042BA6" w:rsidRDefault="00042BA6" w:rsidP="00042BA6">
      <w:pPr>
        <w:ind w:firstLine="708"/>
        <w:rPr>
          <w:rFonts w:ascii="Book Antiqua" w:hAnsi="Book Antiqua"/>
          <w:bCs w:val="0"/>
          <w:sz w:val="32"/>
          <w:szCs w:val="32"/>
          <w:u w:val="single"/>
        </w:rPr>
      </w:pPr>
      <w:r w:rsidRPr="0079170F">
        <w:rPr>
          <w:rFonts w:ascii="Book Antiqua" w:hAnsi="Book Antiqua"/>
          <w:bCs w:val="0"/>
          <w:sz w:val="32"/>
          <w:szCs w:val="32"/>
          <w:u w:val="single"/>
        </w:rPr>
        <w:t>2.3 Le financement de l’économie</w:t>
      </w:r>
    </w:p>
    <w:p w:rsidR="00673DBF" w:rsidRDefault="00673DBF" w:rsidP="00673DBF">
      <w:pPr>
        <w:spacing w:before="200" w:after="240" w:line="400" w:lineRule="exact"/>
        <w:ind w:firstLine="720"/>
        <w:jc w:val="mediumKashida"/>
        <w:rPr>
          <w:b w:val="0"/>
          <w:bCs w:val="0"/>
          <w:sz w:val="28"/>
          <w:szCs w:val="28"/>
        </w:rPr>
      </w:pPr>
      <w:r>
        <w:rPr>
          <w:b w:val="0"/>
          <w:bCs w:val="0"/>
          <w:sz w:val="28"/>
          <w:szCs w:val="28"/>
        </w:rPr>
        <w:t xml:space="preserve">Avec </w:t>
      </w:r>
      <w:r w:rsidRPr="0079170F">
        <w:rPr>
          <w:b w:val="0"/>
          <w:bCs w:val="0"/>
          <w:sz w:val="28"/>
          <w:szCs w:val="28"/>
        </w:rPr>
        <w:t>3,</w:t>
      </w:r>
      <w:r>
        <w:rPr>
          <w:b w:val="0"/>
          <w:bCs w:val="0"/>
          <w:sz w:val="28"/>
          <w:szCs w:val="28"/>
        </w:rPr>
        <w:t>4</w:t>
      </w:r>
      <w:r w:rsidRPr="0079170F">
        <w:rPr>
          <w:b w:val="0"/>
          <w:bCs w:val="0"/>
          <w:sz w:val="28"/>
          <w:szCs w:val="28"/>
        </w:rPr>
        <w:t xml:space="preserve">% </w:t>
      </w:r>
      <w:r>
        <w:rPr>
          <w:b w:val="0"/>
          <w:bCs w:val="0"/>
          <w:sz w:val="28"/>
          <w:szCs w:val="28"/>
        </w:rPr>
        <w:t xml:space="preserve">de croissance nominale, </w:t>
      </w:r>
      <w:r w:rsidRPr="0079170F">
        <w:rPr>
          <w:b w:val="0"/>
          <w:bCs w:val="0"/>
          <w:sz w:val="28"/>
          <w:szCs w:val="28"/>
        </w:rPr>
        <w:t xml:space="preserve">la consommation finale nationale </w:t>
      </w:r>
      <w:r>
        <w:rPr>
          <w:b w:val="0"/>
          <w:bCs w:val="0"/>
          <w:sz w:val="28"/>
          <w:szCs w:val="28"/>
        </w:rPr>
        <w:t xml:space="preserve">se serait accrue plus que le PIB nominal (0,4%). </w:t>
      </w:r>
      <w:r w:rsidR="00042BA6">
        <w:rPr>
          <w:b w:val="0"/>
          <w:bCs w:val="0"/>
          <w:sz w:val="28"/>
          <w:szCs w:val="28"/>
        </w:rPr>
        <w:t>L</w:t>
      </w:r>
      <w:r w:rsidR="00042BA6" w:rsidRPr="0079170F">
        <w:rPr>
          <w:b w:val="0"/>
          <w:bCs w:val="0"/>
          <w:sz w:val="28"/>
          <w:szCs w:val="28"/>
        </w:rPr>
        <w:t>’économie nationale aurait continué</w:t>
      </w:r>
      <w:r>
        <w:rPr>
          <w:b w:val="0"/>
          <w:bCs w:val="0"/>
          <w:sz w:val="28"/>
          <w:szCs w:val="28"/>
        </w:rPr>
        <w:t xml:space="preserve">, </w:t>
      </w:r>
      <w:r w:rsidR="00932635">
        <w:rPr>
          <w:b w:val="0"/>
          <w:bCs w:val="0"/>
          <w:sz w:val="28"/>
          <w:szCs w:val="28"/>
        </w:rPr>
        <w:t>ainsi</w:t>
      </w:r>
      <w:r>
        <w:rPr>
          <w:b w:val="0"/>
          <w:bCs w:val="0"/>
          <w:sz w:val="28"/>
          <w:szCs w:val="28"/>
        </w:rPr>
        <w:t>,</w:t>
      </w:r>
      <w:r w:rsidR="00042BA6" w:rsidRPr="0079170F">
        <w:rPr>
          <w:b w:val="0"/>
          <w:bCs w:val="0"/>
          <w:sz w:val="28"/>
          <w:szCs w:val="28"/>
        </w:rPr>
        <w:t xml:space="preserve"> d’être marquée par une décélération de l’épargne intérieure</w:t>
      </w:r>
      <w:r w:rsidR="00E506CB">
        <w:rPr>
          <w:b w:val="0"/>
          <w:bCs w:val="0"/>
          <w:sz w:val="28"/>
          <w:szCs w:val="28"/>
        </w:rPr>
        <w:t xml:space="preserve">, </w:t>
      </w:r>
      <w:r w:rsidR="00042BA6" w:rsidRPr="0079170F">
        <w:rPr>
          <w:b w:val="0"/>
          <w:bCs w:val="0"/>
          <w:sz w:val="28"/>
          <w:szCs w:val="28"/>
        </w:rPr>
        <w:t>pass</w:t>
      </w:r>
      <w:r w:rsidR="00FB7ACB">
        <w:rPr>
          <w:b w:val="0"/>
          <w:bCs w:val="0"/>
          <w:sz w:val="28"/>
          <w:szCs w:val="28"/>
        </w:rPr>
        <w:t>ant</w:t>
      </w:r>
      <w:r w:rsidR="00042BA6" w:rsidRPr="0079170F">
        <w:rPr>
          <w:b w:val="0"/>
          <w:bCs w:val="0"/>
          <w:sz w:val="28"/>
          <w:szCs w:val="28"/>
        </w:rPr>
        <w:t xml:space="preserve"> de 20,9% du PIB en 2013 à 20,</w:t>
      </w:r>
      <w:r w:rsidR="00E506CB">
        <w:rPr>
          <w:b w:val="0"/>
          <w:bCs w:val="0"/>
          <w:sz w:val="28"/>
          <w:szCs w:val="28"/>
        </w:rPr>
        <w:t>7</w:t>
      </w:r>
      <w:r w:rsidR="00042BA6" w:rsidRPr="0079170F">
        <w:rPr>
          <w:b w:val="0"/>
          <w:bCs w:val="0"/>
          <w:sz w:val="28"/>
          <w:szCs w:val="28"/>
        </w:rPr>
        <w:t>%</w:t>
      </w:r>
      <w:r w:rsidR="00FB7ACB">
        <w:rPr>
          <w:b w:val="0"/>
          <w:bCs w:val="0"/>
          <w:sz w:val="28"/>
          <w:szCs w:val="28"/>
        </w:rPr>
        <w:t xml:space="preserve"> en 2014. </w:t>
      </w:r>
      <w:r w:rsidR="00042BA6" w:rsidRPr="0079170F">
        <w:rPr>
          <w:b w:val="0"/>
          <w:bCs w:val="0"/>
          <w:sz w:val="28"/>
          <w:szCs w:val="28"/>
        </w:rPr>
        <w:t xml:space="preserve"> </w:t>
      </w:r>
    </w:p>
    <w:p w:rsidR="00042BA6" w:rsidRDefault="00BC48E1" w:rsidP="00673DBF">
      <w:pPr>
        <w:spacing w:before="200" w:after="240" w:line="400" w:lineRule="exact"/>
        <w:ind w:firstLine="720"/>
        <w:jc w:val="mediumKashida"/>
        <w:rPr>
          <w:b w:val="0"/>
          <w:bCs w:val="0"/>
          <w:sz w:val="28"/>
          <w:szCs w:val="28"/>
        </w:rPr>
      </w:pPr>
      <w:r>
        <w:rPr>
          <w:b w:val="0"/>
          <w:bCs w:val="0"/>
          <w:sz w:val="28"/>
          <w:szCs w:val="28"/>
        </w:rPr>
        <w:t>De son côté</w:t>
      </w:r>
      <w:r w:rsidR="00487435">
        <w:rPr>
          <w:b w:val="0"/>
          <w:bCs w:val="0"/>
          <w:sz w:val="28"/>
          <w:szCs w:val="28"/>
        </w:rPr>
        <w:t>,</w:t>
      </w:r>
      <w:r>
        <w:rPr>
          <w:b w:val="0"/>
          <w:bCs w:val="0"/>
          <w:sz w:val="28"/>
          <w:szCs w:val="28"/>
        </w:rPr>
        <w:t xml:space="preserve"> l’épargne nationale aurait bénéficié de </w:t>
      </w:r>
      <w:r w:rsidR="00042BA6" w:rsidRPr="0079170F">
        <w:rPr>
          <w:b w:val="0"/>
          <w:bCs w:val="0"/>
          <w:sz w:val="28"/>
          <w:szCs w:val="28"/>
        </w:rPr>
        <w:t>la hausse des revenus nets en provenance du reste d</w:t>
      </w:r>
      <w:r w:rsidR="00BC3E3F">
        <w:rPr>
          <w:b w:val="0"/>
          <w:bCs w:val="0"/>
          <w:sz w:val="28"/>
          <w:szCs w:val="28"/>
        </w:rPr>
        <w:t>u</w:t>
      </w:r>
      <w:r w:rsidR="00042BA6" w:rsidRPr="0079170F">
        <w:rPr>
          <w:b w:val="0"/>
          <w:bCs w:val="0"/>
          <w:sz w:val="28"/>
          <w:szCs w:val="28"/>
        </w:rPr>
        <w:t xml:space="preserve"> monde, notamment les transferts </w:t>
      </w:r>
      <w:r w:rsidR="00042BA6" w:rsidRPr="0079170F">
        <w:rPr>
          <w:b w:val="0"/>
          <w:bCs w:val="0"/>
          <w:sz w:val="28"/>
          <w:szCs w:val="28"/>
        </w:rPr>
        <w:lastRenderedPageBreak/>
        <w:t>publics</w:t>
      </w:r>
      <w:r w:rsidR="00E506CB">
        <w:rPr>
          <w:b w:val="0"/>
          <w:bCs w:val="0"/>
          <w:sz w:val="28"/>
          <w:szCs w:val="28"/>
        </w:rPr>
        <w:t xml:space="preserve"> </w:t>
      </w:r>
      <w:r w:rsidR="00042BA6" w:rsidRPr="0079170F">
        <w:rPr>
          <w:b w:val="0"/>
          <w:bCs w:val="0"/>
          <w:sz w:val="28"/>
          <w:szCs w:val="28"/>
        </w:rPr>
        <w:t>reçus des pays du Conseil de Coopération du Golfe (CCG), et des transferts des marocains résid</w:t>
      </w:r>
      <w:r w:rsidR="00042BA6">
        <w:rPr>
          <w:b w:val="0"/>
          <w:bCs w:val="0"/>
          <w:sz w:val="28"/>
          <w:szCs w:val="28"/>
        </w:rPr>
        <w:t>ant</w:t>
      </w:r>
      <w:r w:rsidR="00042BA6" w:rsidRPr="0079170F">
        <w:rPr>
          <w:b w:val="0"/>
          <w:bCs w:val="0"/>
          <w:sz w:val="28"/>
          <w:szCs w:val="28"/>
        </w:rPr>
        <w:t xml:space="preserve"> à l’étranger</w:t>
      </w:r>
      <w:r>
        <w:rPr>
          <w:b w:val="0"/>
          <w:bCs w:val="0"/>
          <w:sz w:val="28"/>
          <w:szCs w:val="28"/>
        </w:rPr>
        <w:t>. Dans ce cadre</w:t>
      </w:r>
      <w:r w:rsidR="00042BA6" w:rsidRPr="0079170F">
        <w:rPr>
          <w:b w:val="0"/>
          <w:bCs w:val="0"/>
          <w:sz w:val="28"/>
          <w:szCs w:val="28"/>
        </w:rPr>
        <w:t xml:space="preserve">, </w:t>
      </w:r>
      <w:r>
        <w:rPr>
          <w:b w:val="0"/>
          <w:bCs w:val="0"/>
          <w:sz w:val="28"/>
          <w:szCs w:val="28"/>
        </w:rPr>
        <w:t>l</w:t>
      </w:r>
      <w:r w:rsidR="00042BA6" w:rsidRPr="0079170F">
        <w:rPr>
          <w:b w:val="0"/>
          <w:bCs w:val="0"/>
          <w:sz w:val="28"/>
          <w:szCs w:val="28"/>
        </w:rPr>
        <w:t>’épargne nationale</w:t>
      </w:r>
      <w:r w:rsidR="00042BA6">
        <w:rPr>
          <w:b w:val="0"/>
          <w:bCs w:val="0"/>
          <w:sz w:val="28"/>
          <w:szCs w:val="28"/>
        </w:rPr>
        <w:t xml:space="preserve"> </w:t>
      </w:r>
      <w:r w:rsidR="00E506CB" w:rsidRPr="0079170F">
        <w:rPr>
          <w:b w:val="0"/>
          <w:bCs w:val="0"/>
          <w:sz w:val="28"/>
          <w:szCs w:val="28"/>
        </w:rPr>
        <w:t xml:space="preserve">aurait </w:t>
      </w:r>
      <w:r w:rsidR="00E506CB">
        <w:rPr>
          <w:b w:val="0"/>
          <w:bCs w:val="0"/>
          <w:sz w:val="28"/>
          <w:szCs w:val="28"/>
        </w:rPr>
        <w:t>atteint</w:t>
      </w:r>
      <w:r w:rsidR="00E506CB" w:rsidRPr="0079170F">
        <w:rPr>
          <w:b w:val="0"/>
          <w:bCs w:val="0"/>
          <w:sz w:val="28"/>
          <w:szCs w:val="28"/>
        </w:rPr>
        <w:t xml:space="preserve"> </w:t>
      </w:r>
      <w:r w:rsidR="00E506CB">
        <w:rPr>
          <w:b w:val="0"/>
          <w:bCs w:val="0"/>
          <w:sz w:val="28"/>
          <w:szCs w:val="28"/>
        </w:rPr>
        <w:t xml:space="preserve">un taux de </w:t>
      </w:r>
      <w:r w:rsidR="00042BA6" w:rsidRPr="0079170F">
        <w:rPr>
          <w:b w:val="0"/>
          <w:bCs w:val="0"/>
          <w:sz w:val="28"/>
          <w:szCs w:val="28"/>
        </w:rPr>
        <w:t>25,</w:t>
      </w:r>
      <w:r w:rsidR="00772209">
        <w:rPr>
          <w:b w:val="0"/>
          <w:bCs w:val="0"/>
          <w:sz w:val="28"/>
          <w:szCs w:val="28"/>
        </w:rPr>
        <w:t>8</w:t>
      </w:r>
      <w:r w:rsidR="00042BA6" w:rsidRPr="0079170F">
        <w:rPr>
          <w:b w:val="0"/>
          <w:bCs w:val="0"/>
          <w:sz w:val="28"/>
          <w:szCs w:val="28"/>
        </w:rPr>
        <w:t>% du PIB en 2014</w:t>
      </w:r>
      <w:r w:rsidR="00673DBF">
        <w:rPr>
          <w:b w:val="0"/>
          <w:bCs w:val="0"/>
          <w:sz w:val="28"/>
          <w:szCs w:val="28"/>
        </w:rPr>
        <w:t>,</w:t>
      </w:r>
      <w:r w:rsidR="00042BA6" w:rsidRPr="0079170F">
        <w:rPr>
          <w:b w:val="0"/>
          <w:bCs w:val="0"/>
          <w:sz w:val="28"/>
          <w:szCs w:val="28"/>
        </w:rPr>
        <w:t xml:space="preserve"> </w:t>
      </w:r>
      <w:r w:rsidR="00E506CB">
        <w:rPr>
          <w:b w:val="0"/>
          <w:bCs w:val="0"/>
          <w:sz w:val="28"/>
          <w:szCs w:val="28"/>
        </w:rPr>
        <w:t xml:space="preserve">en baisse par rapport à </w:t>
      </w:r>
      <w:r w:rsidR="00042BA6" w:rsidRPr="0079170F">
        <w:rPr>
          <w:b w:val="0"/>
          <w:bCs w:val="0"/>
          <w:sz w:val="28"/>
          <w:szCs w:val="28"/>
        </w:rPr>
        <w:t xml:space="preserve">26,6% en 2013. </w:t>
      </w:r>
    </w:p>
    <w:p w:rsidR="00042BA6" w:rsidRDefault="00042BA6" w:rsidP="00042BA6">
      <w:pPr>
        <w:spacing w:before="200" w:after="240" w:line="400" w:lineRule="exact"/>
        <w:ind w:firstLine="720"/>
        <w:jc w:val="mediumKashida"/>
        <w:rPr>
          <w:b w:val="0"/>
          <w:bCs w:val="0"/>
          <w:sz w:val="28"/>
          <w:szCs w:val="28"/>
        </w:rPr>
      </w:pPr>
      <w:r w:rsidRPr="0079170F">
        <w:rPr>
          <w:b w:val="0"/>
          <w:bCs w:val="0"/>
          <w:sz w:val="28"/>
          <w:szCs w:val="28"/>
        </w:rPr>
        <w:t xml:space="preserve">Tenant compte d’un niveau d’investissement </w:t>
      </w:r>
      <w:r>
        <w:rPr>
          <w:b w:val="0"/>
          <w:bCs w:val="0"/>
          <w:sz w:val="28"/>
          <w:szCs w:val="28"/>
        </w:rPr>
        <w:t>brut représentant</w:t>
      </w:r>
      <w:r w:rsidRPr="0079170F">
        <w:rPr>
          <w:b w:val="0"/>
          <w:bCs w:val="0"/>
          <w:sz w:val="28"/>
          <w:szCs w:val="28"/>
        </w:rPr>
        <w:t xml:space="preserve"> </w:t>
      </w:r>
      <w:r>
        <w:rPr>
          <w:b w:val="0"/>
          <w:bCs w:val="0"/>
          <w:sz w:val="28"/>
          <w:szCs w:val="28"/>
        </w:rPr>
        <w:t xml:space="preserve">prés de </w:t>
      </w:r>
      <w:r w:rsidRPr="0079170F">
        <w:rPr>
          <w:b w:val="0"/>
          <w:bCs w:val="0"/>
          <w:sz w:val="28"/>
          <w:szCs w:val="28"/>
        </w:rPr>
        <w:t>31,</w:t>
      </w:r>
      <w:r>
        <w:rPr>
          <w:b w:val="0"/>
          <w:bCs w:val="0"/>
          <w:sz w:val="28"/>
          <w:szCs w:val="28"/>
        </w:rPr>
        <w:t>8</w:t>
      </w:r>
      <w:r w:rsidRPr="0079170F">
        <w:rPr>
          <w:b w:val="0"/>
          <w:bCs w:val="0"/>
          <w:sz w:val="28"/>
          <w:szCs w:val="28"/>
        </w:rPr>
        <w:t>% du PIB en 2014 au lieu de 34,</w:t>
      </w:r>
      <w:r w:rsidR="00E41D2B">
        <w:rPr>
          <w:b w:val="0"/>
          <w:bCs w:val="0"/>
          <w:sz w:val="28"/>
          <w:szCs w:val="28"/>
        </w:rPr>
        <w:t>2</w:t>
      </w:r>
      <w:r w:rsidRPr="0079170F">
        <w:rPr>
          <w:b w:val="0"/>
          <w:bCs w:val="0"/>
          <w:sz w:val="28"/>
          <w:szCs w:val="28"/>
        </w:rPr>
        <w:t xml:space="preserve">% une année auparavant, </w:t>
      </w:r>
      <w:r>
        <w:rPr>
          <w:b w:val="0"/>
          <w:bCs w:val="0"/>
          <w:sz w:val="28"/>
          <w:szCs w:val="28"/>
        </w:rPr>
        <w:t>le</w:t>
      </w:r>
      <w:r w:rsidRPr="0079170F">
        <w:rPr>
          <w:b w:val="0"/>
          <w:bCs w:val="0"/>
          <w:sz w:val="28"/>
          <w:szCs w:val="28"/>
        </w:rPr>
        <w:t xml:space="preserve"> besoin de financement </w:t>
      </w:r>
      <w:r>
        <w:rPr>
          <w:b w:val="0"/>
          <w:bCs w:val="0"/>
          <w:sz w:val="28"/>
          <w:szCs w:val="28"/>
        </w:rPr>
        <w:t>aurait connu un allégement pour atteindre</w:t>
      </w:r>
      <w:r w:rsidRPr="0079170F">
        <w:rPr>
          <w:b w:val="0"/>
          <w:bCs w:val="0"/>
          <w:sz w:val="28"/>
          <w:szCs w:val="28"/>
        </w:rPr>
        <w:t xml:space="preserve"> 6</w:t>
      </w:r>
      <w:r>
        <w:rPr>
          <w:b w:val="0"/>
          <w:bCs w:val="0"/>
          <w:sz w:val="28"/>
          <w:szCs w:val="28"/>
        </w:rPr>
        <w:t>,</w:t>
      </w:r>
      <w:r w:rsidR="00E41D2B">
        <w:rPr>
          <w:b w:val="0"/>
          <w:bCs w:val="0"/>
          <w:sz w:val="28"/>
          <w:szCs w:val="28"/>
        </w:rPr>
        <w:t>0</w:t>
      </w:r>
      <w:r w:rsidRPr="0079170F">
        <w:rPr>
          <w:b w:val="0"/>
          <w:bCs w:val="0"/>
          <w:sz w:val="28"/>
          <w:szCs w:val="28"/>
        </w:rPr>
        <w:t>% du PIB en 2014 au lieu de 7,6% en 2013.</w:t>
      </w:r>
      <w:r>
        <w:rPr>
          <w:b w:val="0"/>
          <w:bCs w:val="0"/>
          <w:sz w:val="28"/>
          <w:szCs w:val="28"/>
        </w:rPr>
        <w:t xml:space="preserve"> </w:t>
      </w:r>
    </w:p>
    <w:p w:rsidR="0087325C" w:rsidRPr="00504376" w:rsidRDefault="0087325C" w:rsidP="00673DBF">
      <w:pPr>
        <w:spacing w:before="200" w:after="240" w:line="400" w:lineRule="exact"/>
        <w:ind w:firstLine="720"/>
        <w:jc w:val="mediumKashida"/>
        <w:rPr>
          <w:b w:val="0"/>
          <w:bCs w:val="0"/>
          <w:sz w:val="28"/>
          <w:szCs w:val="28"/>
        </w:rPr>
      </w:pPr>
      <w:r w:rsidRPr="002815D3">
        <w:rPr>
          <w:b w:val="0"/>
          <w:bCs w:val="0"/>
          <w:sz w:val="28"/>
          <w:szCs w:val="28"/>
        </w:rPr>
        <w:t xml:space="preserve">De leur part, </w:t>
      </w:r>
      <w:r w:rsidRPr="00504376">
        <w:rPr>
          <w:b w:val="0"/>
          <w:bCs w:val="0"/>
          <w:sz w:val="28"/>
          <w:szCs w:val="28"/>
        </w:rPr>
        <w:t xml:space="preserve">les finances publiques auraient été marquées en 2014 par un allégement du déficit budgétaire qui aurait été de prés 45 </w:t>
      </w:r>
      <w:r w:rsidR="00673DBF">
        <w:rPr>
          <w:b w:val="0"/>
          <w:bCs w:val="0"/>
          <w:sz w:val="28"/>
          <w:szCs w:val="28"/>
        </w:rPr>
        <w:t xml:space="preserve">milliards de </w:t>
      </w:r>
      <w:r w:rsidRPr="00504376">
        <w:rPr>
          <w:b w:val="0"/>
          <w:bCs w:val="0"/>
          <w:sz w:val="28"/>
          <w:szCs w:val="28"/>
        </w:rPr>
        <w:t>DH</w:t>
      </w:r>
      <w:r w:rsidR="00673DBF">
        <w:rPr>
          <w:b w:val="0"/>
          <w:bCs w:val="0"/>
          <w:sz w:val="28"/>
          <w:szCs w:val="28"/>
        </w:rPr>
        <w:t>,</w:t>
      </w:r>
      <w:r>
        <w:rPr>
          <w:b w:val="0"/>
          <w:bCs w:val="0"/>
          <w:sz w:val="28"/>
          <w:szCs w:val="28"/>
        </w:rPr>
        <w:t xml:space="preserve"> </w:t>
      </w:r>
      <w:r w:rsidRPr="00504376">
        <w:rPr>
          <w:b w:val="0"/>
          <w:bCs w:val="0"/>
          <w:sz w:val="28"/>
          <w:szCs w:val="28"/>
        </w:rPr>
        <w:t xml:space="preserve">représentant 5% du PIB (y compris les recettes exceptionnelles: dons du Golfe, privatisation et contribution libératoire)  au lieu de 48 </w:t>
      </w:r>
      <w:r w:rsidR="00673DBF">
        <w:rPr>
          <w:b w:val="0"/>
          <w:bCs w:val="0"/>
          <w:sz w:val="28"/>
          <w:szCs w:val="28"/>
        </w:rPr>
        <w:t xml:space="preserve">milliards de </w:t>
      </w:r>
      <w:r w:rsidRPr="00504376">
        <w:rPr>
          <w:b w:val="0"/>
          <w:bCs w:val="0"/>
          <w:sz w:val="28"/>
          <w:szCs w:val="28"/>
        </w:rPr>
        <w:t>DH et 5,5% du PIB en 2013. Le solde primaire (solde budgétaire non compris les intérêts de la dette publique) aurait dégagé un déficit de l’ordre de 2,3% du PIB en 2014 au lieu de 2,9% en 2013 et 4,5% en 2012.</w:t>
      </w:r>
    </w:p>
    <w:p w:rsidR="0087325C" w:rsidRPr="00504376" w:rsidRDefault="00673DBF" w:rsidP="009456FF">
      <w:pPr>
        <w:spacing w:before="200" w:after="240" w:line="400" w:lineRule="exact"/>
        <w:ind w:firstLine="720"/>
        <w:jc w:val="mediumKashida"/>
        <w:rPr>
          <w:b w:val="0"/>
          <w:bCs w:val="0"/>
          <w:sz w:val="28"/>
          <w:szCs w:val="28"/>
        </w:rPr>
      </w:pPr>
      <w:r>
        <w:rPr>
          <w:b w:val="0"/>
          <w:bCs w:val="0"/>
          <w:sz w:val="28"/>
          <w:szCs w:val="28"/>
        </w:rPr>
        <w:t>L’</w:t>
      </w:r>
      <w:r w:rsidR="002E4A4B">
        <w:rPr>
          <w:b w:val="0"/>
          <w:bCs w:val="0"/>
          <w:sz w:val="28"/>
          <w:szCs w:val="28"/>
        </w:rPr>
        <w:t>allégement</w:t>
      </w:r>
      <w:r w:rsidR="0087325C">
        <w:rPr>
          <w:b w:val="0"/>
          <w:bCs w:val="0"/>
          <w:sz w:val="28"/>
          <w:szCs w:val="28"/>
        </w:rPr>
        <w:t xml:space="preserve"> du</w:t>
      </w:r>
      <w:r w:rsidR="0087325C" w:rsidRPr="00504376">
        <w:rPr>
          <w:b w:val="0"/>
          <w:bCs w:val="0"/>
          <w:sz w:val="28"/>
          <w:szCs w:val="28"/>
        </w:rPr>
        <w:t xml:space="preserve"> déficit budgétaire </w:t>
      </w:r>
      <w:r w:rsidR="0087325C">
        <w:rPr>
          <w:b w:val="0"/>
          <w:bCs w:val="0"/>
          <w:sz w:val="28"/>
          <w:szCs w:val="28"/>
        </w:rPr>
        <w:t>serait d</w:t>
      </w:r>
      <w:r>
        <w:rPr>
          <w:b w:val="0"/>
          <w:bCs w:val="0"/>
          <w:sz w:val="28"/>
          <w:szCs w:val="28"/>
        </w:rPr>
        <w:t>û, en particulier,</w:t>
      </w:r>
      <w:r w:rsidR="0087325C">
        <w:rPr>
          <w:b w:val="0"/>
          <w:bCs w:val="0"/>
          <w:sz w:val="28"/>
          <w:szCs w:val="28"/>
        </w:rPr>
        <w:t xml:space="preserve"> à</w:t>
      </w:r>
      <w:r w:rsidR="0087325C" w:rsidRPr="00504376">
        <w:rPr>
          <w:b w:val="0"/>
          <w:bCs w:val="0"/>
          <w:sz w:val="28"/>
          <w:szCs w:val="28"/>
        </w:rPr>
        <w:t xml:space="preserve"> la réduction des dépenses de compensation</w:t>
      </w:r>
      <w:r>
        <w:rPr>
          <w:b w:val="0"/>
          <w:bCs w:val="0"/>
          <w:sz w:val="28"/>
          <w:szCs w:val="28"/>
        </w:rPr>
        <w:t>,</w:t>
      </w:r>
      <w:r w:rsidR="0087325C" w:rsidRPr="00504376">
        <w:rPr>
          <w:b w:val="0"/>
          <w:bCs w:val="0"/>
          <w:sz w:val="28"/>
          <w:szCs w:val="28"/>
        </w:rPr>
        <w:t xml:space="preserve"> qui </w:t>
      </w:r>
      <w:r w:rsidR="0087325C">
        <w:rPr>
          <w:b w:val="0"/>
          <w:bCs w:val="0"/>
          <w:sz w:val="28"/>
          <w:szCs w:val="28"/>
        </w:rPr>
        <w:t>seraient passées à</w:t>
      </w:r>
      <w:r w:rsidR="0087325C" w:rsidRPr="00504376">
        <w:rPr>
          <w:b w:val="0"/>
          <w:bCs w:val="0"/>
          <w:sz w:val="28"/>
          <w:szCs w:val="28"/>
        </w:rPr>
        <w:t xml:space="preserve"> 3</w:t>
      </w:r>
      <w:r w:rsidR="0087325C">
        <w:rPr>
          <w:b w:val="0"/>
          <w:bCs w:val="0"/>
          <w:sz w:val="28"/>
          <w:szCs w:val="28"/>
        </w:rPr>
        <w:t>3</w:t>
      </w:r>
      <w:r w:rsidR="0087325C" w:rsidRPr="00504376">
        <w:rPr>
          <w:b w:val="0"/>
          <w:bCs w:val="0"/>
          <w:sz w:val="28"/>
          <w:szCs w:val="28"/>
        </w:rPr>
        <w:t xml:space="preserve"> </w:t>
      </w:r>
      <w:r>
        <w:rPr>
          <w:b w:val="0"/>
          <w:bCs w:val="0"/>
          <w:sz w:val="28"/>
          <w:szCs w:val="28"/>
        </w:rPr>
        <w:t xml:space="preserve">milliards de </w:t>
      </w:r>
      <w:r w:rsidR="0087325C" w:rsidRPr="00504376">
        <w:rPr>
          <w:b w:val="0"/>
          <w:bCs w:val="0"/>
          <w:sz w:val="28"/>
          <w:szCs w:val="28"/>
        </w:rPr>
        <w:t xml:space="preserve">DH </w:t>
      </w:r>
      <w:r w:rsidR="0087325C">
        <w:rPr>
          <w:b w:val="0"/>
          <w:bCs w:val="0"/>
          <w:sz w:val="28"/>
          <w:szCs w:val="28"/>
        </w:rPr>
        <w:t xml:space="preserve">au lieu </w:t>
      </w:r>
      <w:r w:rsidR="0087325C" w:rsidRPr="00504376">
        <w:rPr>
          <w:b w:val="0"/>
          <w:bCs w:val="0"/>
          <w:sz w:val="28"/>
          <w:szCs w:val="28"/>
        </w:rPr>
        <w:t xml:space="preserve">de 41,6 </w:t>
      </w:r>
      <w:r>
        <w:rPr>
          <w:b w:val="0"/>
          <w:bCs w:val="0"/>
          <w:sz w:val="28"/>
          <w:szCs w:val="28"/>
        </w:rPr>
        <w:t xml:space="preserve">milliards de </w:t>
      </w:r>
      <w:r w:rsidR="0087325C" w:rsidRPr="00504376">
        <w:rPr>
          <w:b w:val="0"/>
          <w:bCs w:val="0"/>
          <w:sz w:val="28"/>
          <w:szCs w:val="28"/>
        </w:rPr>
        <w:t>DH en 2013</w:t>
      </w:r>
      <w:r w:rsidR="0087325C">
        <w:rPr>
          <w:b w:val="0"/>
          <w:bCs w:val="0"/>
          <w:sz w:val="28"/>
          <w:szCs w:val="28"/>
        </w:rPr>
        <w:t xml:space="preserve"> et </w:t>
      </w:r>
      <w:r w:rsidR="009456FF">
        <w:rPr>
          <w:b w:val="0"/>
          <w:bCs w:val="0"/>
          <w:sz w:val="28"/>
          <w:szCs w:val="28"/>
        </w:rPr>
        <w:t>à l’amélioration</w:t>
      </w:r>
      <w:r w:rsidR="0087325C" w:rsidRPr="00504376">
        <w:rPr>
          <w:b w:val="0"/>
          <w:bCs w:val="0"/>
          <w:sz w:val="28"/>
          <w:szCs w:val="28"/>
        </w:rPr>
        <w:t xml:space="preserve"> </w:t>
      </w:r>
      <w:r w:rsidR="002E4A4B">
        <w:rPr>
          <w:b w:val="0"/>
          <w:bCs w:val="0"/>
          <w:sz w:val="28"/>
          <w:szCs w:val="28"/>
        </w:rPr>
        <w:t xml:space="preserve">de la collecte </w:t>
      </w:r>
      <w:r w:rsidR="0087325C" w:rsidRPr="00504376">
        <w:rPr>
          <w:b w:val="0"/>
          <w:bCs w:val="0"/>
          <w:sz w:val="28"/>
          <w:szCs w:val="28"/>
        </w:rPr>
        <w:t>des recettes fiscales et non fiscales</w:t>
      </w:r>
      <w:r w:rsidR="0087325C">
        <w:rPr>
          <w:b w:val="0"/>
          <w:bCs w:val="0"/>
          <w:sz w:val="28"/>
          <w:szCs w:val="28"/>
        </w:rPr>
        <w:t>.</w:t>
      </w:r>
      <w:r w:rsidR="0087325C" w:rsidRPr="00504376">
        <w:rPr>
          <w:b w:val="0"/>
          <w:bCs w:val="0"/>
          <w:sz w:val="28"/>
          <w:szCs w:val="28"/>
        </w:rPr>
        <w:t xml:space="preserve"> </w:t>
      </w:r>
      <w:r w:rsidR="0087325C">
        <w:rPr>
          <w:b w:val="0"/>
          <w:bCs w:val="0"/>
          <w:sz w:val="28"/>
          <w:szCs w:val="28"/>
        </w:rPr>
        <w:t>Ces dernières</w:t>
      </w:r>
      <w:r w:rsidR="0087325C" w:rsidRPr="00504376">
        <w:rPr>
          <w:b w:val="0"/>
          <w:bCs w:val="0"/>
          <w:sz w:val="28"/>
          <w:szCs w:val="28"/>
        </w:rPr>
        <w:t xml:space="preserve"> auraient été renforcées par </w:t>
      </w:r>
      <w:r w:rsidR="0087325C">
        <w:rPr>
          <w:b w:val="0"/>
          <w:bCs w:val="0"/>
          <w:sz w:val="28"/>
          <w:szCs w:val="28"/>
        </w:rPr>
        <w:t>les transferts</w:t>
      </w:r>
      <w:r w:rsidR="0087325C" w:rsidRPr="00504376">
        <w:rPr>
          <w:b w:val="0"/>
          <w:bCs w:val="0"/>
          <w:sz w:val="28"/>
          <w:szCs w:val="28"/>
        </w:rPr>
        <w:t xml:space="preserve"> reçus du Conseil Economique du Golfe</w:t>
      </w:r>
      <w:r w:rsidR="009456FF">
        <w:rPr>
          <w:b w:val="0"/>
          <w:bCs w:val="0"/>
          <w:sz w:val="28"/>
          <w:szCs w:val="28"/>
        </w:rPr>
        <w:t>,</w:t>
      </w:r>
      <w:r w:rsidR="0087325C" w:rsidRPr="00504376">
        <w:rPr>
          <w:b w:val="0"/>
          <w:bCs w:val="0"/>
          <w:sz w:val="28"/>
          <w:szCs w:val="28"/>
        </w:rPr>
        <w:t xml:space="preserve"> estimés à prés de 11 </w:t>
      </w:r>
      <w:r w:rsidR="009456FF">
        <w:rPr>
          <w:b w:val="0"/>
          <w:bCs w:val="0"/>
          <w:sz w:val="28"/>
          <w:szCs w:val="28"/>
        </w:rPr>
        <w:t xml:space="preserve">milliards de </w:t>
      </w:r>
      <w:r w:rsidR="0087325C" w:rsidRPr="00504376">
        <w:rPr>
          <w:b w:val="0"/>
          <w:bCs w:val="0"/>
          <w:sz w:val="28"/>
          <w:szCs w:val="28"/>
        </w:rPr>
        <w:t xml:space="preserve">DH, </w:t>
      </w:r>
      <w:r w:rsidR="0087325C">
        <w:rPr>
          <w:b w:val="0"/>
          <w:bCs w:val="0"/>
          <w:sz w:val="28"/>
          <w:szCs w:val="28"/>
        </w:rPr>
        <w:t xml:space="preserve">par </w:t>
      </w:r>
      <w:r w:rsidR="0087325C" w:rsidRPr="00504376">
        <w:rPr>
          <w:b w:val="0"/>
          <w:bCs w:val="0"/>
          <w:sz w:val="28"/>
          <w:szCs w:val="28"/>
        </w:rPr>
        <w:t xml:space="preserve">les recettes de privatisation de prés de 2 </w:t>
      </w:r>
      <w:r w:rsidR="009456FF">
        <w:rPr>
          <w:b w:val="0"/>
          <w:bCs w:val="0"/>
          <w:sz w:val="28"/>
          <w:szCs w:val="28"/>
        </w:rPr>
        <w:t xml:space="preserve">milliards de </w:t>
      </w:r>
      <w:r w:rsidR="0087325C" w:rsidRPr="00504376">
        <w:rPr>
          <w:b w:val="0"/>
          <w:bCs w:val="0"/>
          <w:sz w:val="28"/>
          <w:szCs w:val="28"/>
        </w:rPr>
        <w:t xml:space="preserve">DH et </w:t>
      </w:r>
      <w:r w:rsidR="0087325C">
        <w:rPr>
          <w:b w:val="0"/>
          <w:bCs w:val="0"/>
          <w:sz w:val="28"/>
          <w:szCs w:val="28"/>
        </w:rPr>
        <w:t xml:space="preserve">par </w:t>
      </w:r>
      <w:r w:rsidR="0087325C" w:rsidRPr="00504376">
        <w:rPr>
          <w:b w:val="0"/>
          <w:bCs w:val="0"/>
          <w:sz w:val="28"/>
          <w:szCs w:val="28"/>
        </w:rPr>
        <w:t xml:space="preserve">les recettes issues de la contribution libératoire estimées à prés de 2,3 </w:t>
      </w:r>
      <w:r w:rsidR="009456FF">
        <w:rPr>
          <w:b w:val="0"/>
          <w:bCs w:val="0"/>
          <w:sz w:val="28"/>
          <w:szCs w:val="28"/>
        </w:rPr>
        <w:t xml:space="preserve">milliards de </w:t>
      </w:r>
      <w:r w:rsidR="0087325C" w:rsidRPr="00504376">
        <w:rPr>
          <w:b w:val="0"/>
          <w:bCs w:val="0"/>
          <w:sz w:val="28"/>
          <w:szCs w:val="28"/>
        </w:rPr>
        <w:t xml:space="preserve">DH. Ces recettes exceptionnelles auraient totalisé prés de 15 </w:t>
      </w:r>
      <w:r w:rsidR="009456FF">
        <w:rPr>
          <w:b w:val="0"/>
          <w:bCs w:val="0"/>
          <w:sz w:val="28"/>
          <w:szCs w:val="28"/>
        </w:rPr>
        <w:t xml:space="preserve">milliards de </w:t>
      </w:r>
      <w:r w:rsidR="0087325C" w:rsidRPr="00504376">
        <w:rPr>
          <w:b w:val="0"/>
          <w:bCs w:val="0"/>
          <w:sz w:val="28"/>
          <w:szCs w:val="28"/>
        </w:rPr>
        <w:t>DH</w:t>
      </w:r>
      <w:r w:rsidR="0087325C">
        <w:rPr>
          <w:b w:val="0"/>
          <w:bCs w:val="0"/>
          <w:sz w:val="28"/>
          <w:szCs w:val="28"/>
        </w:rPr>
        <w:t xml:space="preserve"> </w:t>
      </w:r>
      <w:r w:rsidR="00694566">
        <w:rPr>
          <w:b w:val="0"/>
          <w:bCs w:val="0"/>
          <w:sz w:val="28"/>
          <w:szCs w:val="28"/>
        </w:rPr>
        <w:t>représentant</w:t>
      </w:r>
      <w:r w:rsidR="0087325C">
        <w:rPr>
          <w:b w:val="0"/>
          <w:bCs w:val="0"/>
          <w:sz w:val="28"/>
          <w:szCs w:val="28"/>
        </w:rPr>
        <w:t xml:space="preserve"> 1,7% du PIB</w:t>
      </w:r>
      <w:r w:rsidR="0087325C" w:rsidRPr="00504376">
        <w:rPr>
          <w:b w:val="0"/>
          <w:bCs w:val="0"/>
          <w:sz w:val="28"/>
          <w:szCs w:val="28"/>
        </w:rPr>
        <w:t xml:space="preserve">. </w:t>
      </w:r>
    </w:p>
    <w:p w:rsidR="0087325C" w:rsidRPr="00504376" w:rsidRDefault="0087325C" w:rsidP="009456FF">
      <w:pPr>
        <w:spacing w:before="200" w:after="240" w:line="400" w:lineRule="exact"/>
        <w:ind w:firstLine="720"/>
        <w:jc w:val="mediumKashida"/>
        <w:rPr>
          <w:b w:val="0"/>
          <w:bCs w:val="0"/>
          <w:sz w:val="28"/>
          <w:szCs w:val="28"/>
        </w:rPr>
      </w:pPr>
      <w:r w:rsidRPr="00504376">
        <w:rPr>
          <w:b w:val="0"/>
          <w:bCs w:val="0"/>
          <w:sz w:val="28"/>
          <w:szCs w:val="28"/>
        </w:rPr>
        <w:t xml:space="preserve">Dans ce cadre, les conditions de financement intérieur du Trésor </w:t>
      </w:r>
      <w:r w:rsidR="002E4A4B">
        <w:rPr>
          <w:b w:val="0"/>
          <w:bCs w:val="0"/>
          <w:sz w:val="28"/>
          <w:szCs w:val="28"/>
        </w:rPr>
        <w:t>se seraient</w:t>
      </w:r>
      <w:r w:rsidRPr="00504376">
        <w:rPr>
          <w:b w:val="0"/>
          <w:bCs w:val="0"/>
          <w:sz w:val="28"/>
          <w:szCs w:val="28"/>
        </w:rPr>
        <w:t xml:space="preserve"> améliorées grâce, en partie, à l’importance des excédents du compte courant du Trésor. Cette situation lui aurait permis de réduire le recours aux levées nettes sur le marché des adjudications. L’encours des bons du Trésor se serait, ainsi, élevé à prés de 430 milliards de dirhams au lieu de 413 milliards de dirhams en 2013, en hausse de 17 </w:t>
      </w:r>
      <w:r w:rsidR="009456FF">
        <w:rPr>
          <w:b w:val="0"/>
          <w:bCs w:val="0"/>
          <w:sz w:val="28"/>
          <w:szCs w:val="28"/>
        </w:rPr>
        <w:t xml:space="preserve">milliards de </w:t>
      </w:r>
      <w:r w:rsidRPr="00504376">
        <w:rPr>
          <w:b w:val="0"/>
          <w:bCs w:val="0"/>
          <w:sz w:val="28"/>
          <w:szCs w:val="28"/>
        </w:rPr>
        <w:t xml:space="preserve">DH au lieu de 56,2 </w:t>
      </w:r>
      <w:r w:rsidR="009456FF">
        <w:rPr>
          <w:b w:val="0"/>
          <w:bCs w:val="0"/>
          <w:sz w:val="28"/>
          <w:szCs w:val="28"/>
        </w:rPr>
        <w:t xml:space="preserve">milliards de </w:t>
      </w:r>
      <w:r w:rsidRPr="00504376">
        <w:rPr>
          <w:b w:val="0"/>
          <w:bCs w:val="0"/>
          <w:sz w:val="28"/>
          <w:szCs w:val="28"/>
        </w:rPr>
        <w:t xml:space="preserve">DH en 2013.  </w:t>
      </w:r>
    </w:p>
    <w:p w:rsidR="0087325C" w:rsidRPr="00504376" w:rsidRDefault="0087325C" w:rsidP="009456FF">
      <w:pPr>
        <w:spacing w:before="200" w:after="240" w:line="400" w:lineRule="exact"/>
        <w:ind w:firstLine="720"/>
        <w:jc w:val="mediumKashida"/>
        <w:rPr>
          <w:b w:val="0"/>
          <w:bCs w:val="0"/>
          <w:sz w:val="28"/>
          <w:szCs w:val="28"/>
        </w:rPr>
      </w:pPr>
      <w:r w:rsidRPr="00504376">
        <w:rPr>
          <w:b w:val="0"/>
          <w:bCs w:val="0"/>
          <w:sz w:val="28"/>
          <w:szCs w:val="28"/>
        </w:rPr>
        <w:lastRenderedPageBreak/>
        <w:t xml:space="preserve">Le recours du Trésor au financement extérieur s’est soldé pour les 11 premiers mois de l’année 2014 par un montant de 7,7 </w:t>
      </w:r>
      <w:r w:rsidR="009456FF">
        <w:rPr>
          <w:b w:val="0"/>
          <w:bCs w:val="0"/>
          <w:sz w:val="28"/>
          <w:szCs w:val="28"/>
        </w:rPr>
        <w:t xml:space="preserve">milliards de </w:t>
      </w:r>
      <w:r w:rsidRPr="00504376">
        <w:rPr>
          <w:b w:val="0"/>
          <w:bCs w:val="0"/>
          <w:sz w:val="28"/>
          <w:szCs w:val="28"/>
        </w:rPr>
        <w:t>DH</w:t>
      </w:r>
      <w:r w:rsidR="009456FF">
        <w:rPr>
          <w:b w:val="0"/>
          <w:bCs w:val="0"/>
          <w:sz w:val="28"/>
          <w:szCs w:val="28"/>
        </w:rPr>
        <w:t>,</w:t>
      </w:r>
      <w:r w:rsidRPr="00504376">
        <w:rPr>
          <w:b w:val="0"/>
          <w:bCs w:val="0"/>
          <w:sz w:val="28"/>
          <w:szCs w:val="28"/>
        </w:rPr>
        <w:t xml:space="preserve"> plus faible que les 15 </w:t>
      </w:r>
      <w:r w:rsidR="009456FF">
        <w:rPr>
          <w:b w:val="0"/>
          <w:bCs w:val="0"/>
          <w:sz w:val="28"/>
          <w:szCs w:val="28"/>
        </w:rPr>
        <w:t xml:space="preserve">milliards de </w:t>
      </w:r>
      <w:r w:rsidRPr="00504376">
        <w:rPr>
          <w:b w:val="0"/>
          <w:bCs w:val="0"/>
          <w:sz w:val="28"/>
          <w:szCs w:val="28"/>
        </w:rPr>
        <w:t>DH enregistrés en 2013.</w:t>
      </w:r>
    </w:p>
    <w:p w:rsidR="0087325C" w:rsidRPr="00504376" w:rsidRDefault="0087325C" w:rsidP="002F0D29">
      <w:pPr>
        <w:spacing w:before="200" w:after="240" w:line="400" w:lineRule="exact"/>
        <w:ind w:firstLine="720"/>
        <w:jc w:val="mediumKashida"/>
        <w:rPr>
          <w:b w:val="0"/>
          <w:bCs w:val="0"/>
          <w:sz w:val="28"/>
          <w:szCs w:val="28"/>
        </w:rPr>
      </w:pPr>
      <w:r w:rsidRPr="00504376">
        <w:rPr>
          <w:b w:val="0"/>
          <w:bCs w:val="0"/>
          <w:sz w:val="28"/>
          <w:szCs w:val="28"/>
        </w:rPr>
        <w:t xml:space="preserve">Globalement, la dette extérieure du Trésor serait passée à prés de 138,8 </w:t>
      </w:r>
      <w:r w:rsidR="009456FF">
        <w:rPr>
          <w:b w:val="0"/>
          <w:bCs w:val="0"/>
          <w:sz w:val="28"/>
          <w:szCs w:val="28"/>
        </w:rPr>
        <w:t xml:space="preserve">milliards de </w:t>
      </w:r>
      <w:r w:rsidRPr="00504376">
        <w:rPr>
          <w:b w:val="0"/>
          <w:bCs w:val="0"/>
          <w:sz w:val="28"/>
          <w:szCs w:val="28"/>
        </w:rPr>
        <w:t>DH en 2014 représentant 15,4% du PIB au lieu de 129,</w:t>
      </w:r>
      <w:r w:rsidR="002F0D29">
        <w:rPr>
          <w:b w:val="0"/>
          <w:bCs w:val="0"/>
          <w:sz w:val="28"/>
          <w:szCs w:val="28"/>
        </w:rPr>
        <w:t>8</w:t>
      </w:r>
      <w:r w:rsidRPr="00504376">
        <w:rPr>
          <w:b w:val="0"/>
          <w:bCs w:val="0"/>
          <w:sz w:val="28"/>
          <w:szCs w:val="28"/>
        </w:rPr>
        <w:t xml:space="preserve"> </w:t>
      </w:r>
      <w:r w:rsidR="009456FF">
        <w:rPr>
          <w:b w:val="0"/>
          <w:bCs w:val="0"/>
          <w:sz w:val="28"/>
          <w:szCs w:val="28"/>
        </w:rPr>
        <w:t xml:space="preserve">milliards de </w:t>
      </w:r>
      <w:r w:rsidRPr="00504376">
        <w:rPr>
          <w:b w:val="0"/>
          <w:bCs w:val="0"/>
          <w:sz w:val="28"/>
          <w:szCs w:val="28"/>
        </w:rPr>
        <w:t xml:space="preserve">DH et 14,9% du PIB en 2013. La dette intérieure, de son côté, avec un montant de prés de 439,1 </w:t>
      </w:r>
      <w:r w:rsidR="009456FF">
        <w:rPr>
          <w:b w:val="0"/>
          <w:bCs w:val="0"/>
          <w:sz w:val="28"/>
          <w:szCs w:val="28"/>
        </w:rPr>
        <w:t xml:space="preserve">milliards de </w:t>
      </w:r>
      <w:r w:rsidRPr="00504376">
        <w:rPr>
          <w:b w:val="0"/>
          <w:bCs w:val="0"/>
          <w:sz w:val="28"/>
          <w:szCs w:val="28"/>
        </w:rPr>
        <w:t xml:space="preserve">DH serait passée à 48,8% du PIB en 2014 au lieu de 424,4 </w:t>
      </w:r>
      <w:r w:rsidR="009456FF">
        <w:rPr>
          <w:b w:val="0"/>
          <w:bCs w:val="0"/>
          <w:sz w:val="28"/>
          <w:szCs w:val="28"/>
        </w:rPr>
        <w:t xml:space="preserve">milliards de </w:t>
      </w:r>
      <w:r w:rsidRPr="00504376">
        <w:rPr>
          <w:b w:val="0"/>
          <w:bCs w:val="0"/>
          <w:sz w:val="28"/>
          <w:szCs w:val="28"/>
        </w:rPr>
        <w:t>DH et 48,6% en 2013. Le taux d’endettement total du Trésor aurait, ainsi, représent</w:t>
      </w:r>
      <w:r w:rsidR="009456FF">
        <w:rPr>
          <w:b w:val="0"/>
          <w:bCs w:val="0"/>
          <w:sz w:val="28"/>
          <w:szCs w:val="28"/>
        </w:rPr>
        <w:t>é</w:t>
      </w:r>
      <w:r w:rsidRPr="00504376">
        <w:rPr>
          <w:b w:val="0"/>
          <w:bCs w:val="0"/>
          <w:sz w:val="28"/>
          <w:szCs w:val="28"/>
        </w:rPr>
        <w:t xml:space="preserve"> 64,</w:t>
      </w:r>
      <w:r w:rsidR="002F0D29">
        <w:rPr>
          <w:b w:val="0"/>
          <w:bCs w:val="0"/>
          <w:sz w:val="28"/>
          <w:szCs w:val="28"/>
        </w:rPr>
        <w:t>3</w:t>
      </w:r>
      <w:r w:rsidRPr="00504376">
        <w:rPr>
          <w:b w:val="0"/>
          <w:bCs w:val="0"/>
          <w:sz w:val="28"/>
          <w:szCs w:val="28"/>
        </w:rPr>
        <w:t xml:space="preserve">% du PIB au lieu de 63,5% en 2013. </w:t>
      </w:r>
    </w:p>
    <w:p w:rsidR="009456FF" w:rsidRPr="003F6315" w:rsidRDefault="009456FF" w:rsidP="009456FF">
      <w:pPr>
        <w:spacing w:before="200" w:after="240" w:line="400" w:lineRule="exact"/>
        <w:ind w:firstLine="720"/>
        <w:jc w:val="mediumKashida"/>
        <w:rPr>
          <w:b w:val="0"/>
          <w:bCs w:val="0"/>
          <w:sz w:val="28"/>
          <w:szCs w:val="28"/>
        </w:rPr>
      </w:pPr>
      <w:r w:rsidRPr="00504376">
        <w:rPr>
          <w:b w:val="0"/>
          <w:bCs w:val="0"/>
          <w:sz w:val="28"/>
          <w:szCs w:val="28"/>
        </w:rPr>
        <w:t xml:space="preserve">En raison de </w:t>
      </w:r>
      <w:r>
        <w:rPr>
          <w:b w:val="0"/>
          <w:bCs w:val="0"/>
          <w:sz w:val="28"/>
          <w:szCs w:val="28"/>
        </w:rPr>
        <w:t xml:space="preserve">cette </w:t>
      </w:r>
      <w:r w:rsidRPr="00504376">
        <w:rPr>
          <w:b w:val="0"/>
          <w:bCs w:val="0"/>
          <w:sz w:val="28"/>
          <w:szCs w:val="28"/>
        </w:rPr>
        <w:t xml:space="preserve">amélioration de la situation du Trésor, les créances nettes des Institutions de dépôt sur l'Administration Centrale se seraient, globalement, inscrites, au cours de l’année 2014, sur une tendance baissière par rapport au niveau atteint en décembre 2013. Ces créances  auraient enregistré une baisse annuelle de prés de 2% en 2014 contre </w:t>
      </w:r>
      <w:r w:rsidRPr="0087325C">
        <w:rPr>
          <w:b w:val="0"/>
          <w:bCs w:val="0"/>
          <w:sz w:val="28"/>
          <w:szCs w:val="28"/>
        </w:rPr>
        <w:t>une hausse de 19% en 2013.</w:t>
      </w:r>
      <w:r w:rsidRPr="003F6315">
        <w:rPr>
          <w:b w:val="0"/>
          <w:bCs w:val="0"/>
          <w:sz w:val="28"/>
          <w:szCs w:val="28"/>
        </w:rPr>
        <w:t xml:space="preserve">  </w:t>
      </w:r>
    </w:p>
    <w:p w:rsidR="0087325C" w:rsidRPr="00504376" w:rsidRDefault="0087325C" w:rsidP="0087325C">
      <w:pPr>
        <w:spacing w:before="200" w:after="240" w:line="400" w:lineRule="exact"/>
        <w:ind w:firstLine="720"/>
        <w:jc w:val="mediumKashida"/>
        <w:rPr>
          <w:b w:val="0"/>
          <w:bCs w:val="0"/>
          <w:sz w:val="28"/>
          <w:szCs w:val="28"/>
        </w:rPr>
      </w:pPr>
      <w:r w:rsidRPr="00504376">
        <w:rPr>
          <w:b w:val="0"/>
          <w:bCs w:val="0"/>
          <w:sz w:val="28"/>
          <w:szCs w:val="28"/>
        </w:rPr>
        <w:t>Le financement bancaire de l’économie, malgré l’allégement du besoin de liquidité des banques au cours de l’année 2014 passant de 68,4 milliards de DH en décembre 2013 à 44,7 milliards de DH en décembre 2014, a été marquée par la poursuite de la décélération du crédit bancaire entamée ces dernières années. Ce dernier aurait enregistré une croissance de 3,5% en 2014 après avoir été de 3,9% en 2013 et de 15% en moyenne annuelle durant la période 2000-2008.</w:t>
      </w:r>
    </w:p>
    <w:p w:rsidR="0087325C" w:rsidRPr="0087325C" w:rsidRDefault="0087325C" w:rsidP="0087325C">
      <w:pPr>
        <w:spacing w:before="200" w:after="240" w:line="400" w:lineRule="exact"/>
        <w:ind w:firstLine="720"/>
        <w:jc w:val="mediumKashida"/>
        <w:rPr>
          <w:b w:val="0"/>
          <w:bCs w:val="0"/>
          <w:sz w:val="28"/>
          <w:szCs w:val="28"/>
        </w:rPr>
      </w:pPr>
      <w:r w:rsidRPr="0087325C">
        <w:rPr>
          <w:b w:val="0"/>
          <w:bCs w:val="0"/>
          <w:sz w:val="28"/>
          <w:szCs w:val="28"/>
        </w:rPr>
        <w:t xml:space="preserve">De leur part, les réserves internationales nettes auraient enregistré une augmentation importante en 2014 en s’élevant à prés de 180,7 milliards de dirhams au lieu de 150,3 milliards de dirhams en 2013, permettant ainsi de couvrir plus de 5 mois et 3 jours d’importations de biens et services. </w:t>
      </w:r>
    </w:p>
    <w:p w:rsidR="0087325C" w:rsidRDefault="0087325C" w:rsidP="0087325C">
      <w:pPr>
        <w:spacing w:before="200" w:after="240" w:line="400" w:lineRule="exact"/>
        <w:ind w:firstLine="720"/>
        <w:jc w:val="mediumKashida"/>
        <w:rPr>
          <w:b w:val="0"/>
          <w:bCs w:val="0"/>
          <w:sz w:val="28"/>
          <w:szCs w:val="28"/>
        </w:rPr>
      </w:pPr>
      <w:r w:rsidRPr="0087325C">
        <w:rPr>
          <w:b w:val="0"/>
          <w:bCs w:val="0"/>
          <w:sz w:val="28"/>
          <w:szCs w:val="28"/>
        </w:rPr>
        <w:t>Dans ce contexte, la masse monétaire connaitrait en 2014 un taux d’accroissement de 5,2% au lieu de 3,1% en 2013.</w:t>
      </w:r>
    </w:p>
    <w:p w:rsidR="00CB2650" w:rsidRDefault="00CB2650" w:rsidP="0087325C">
      <w:pPr>
        <w:spacing w:before="200" w:after="240" w:line="400" w:lineRule="exact"/>
        <w:ind w:firstLine="720"/>
        <w:jc w:val="mediumKashida"/>
        <w:rPr>
          <w:b w:val="0"/>
          <w:bCs w:val="0"/>
          <w:sz w:val="28"/>
          <w:szCs w:val="28"/>
        </w:rPr>
      </w:pPr>
    </w:p>
    <w:p w:rsidR="00CB2650" w:rsidRPr="003F6315" w:rsidRDefault="00CB2650" w:rsidP="0087325C">
      <w:pPr>
        <w:spacing w:before="200" w:after="240" w:line="400" w:lineRule="exact"/>
        <w:ind w:firstLine="720"/>
        <w:jc w:val="mediumKashida"/>
        <w:rPr>
          <w:b w:val="0"/>
          <w:bCs w:val="0"/>
          <w:sz w:val="28"/>
          <w:szCs w:val="28"/>
        </w:rPr>
      </w:pPr>
    </w:p>
    <w:p w:rsidR="00FE5BAD" w:rsidRDefault="004C4D45" w:rsidP="00E0781F">
      <w:pPr>
        <w:widowControl w:val="0"/>
        <w:spacing w:before="200" w:after="240" w:line="400" w:lineRule="exact"/>
        <w:jc w:val="both"/>
        <w:rPr>
          <w:sz w:val="32"/>
          <w:szCs w:val="32"/>
          <w:u w:val="single"/>
        </w:rPr>
      </w:pPr>
      <w:r w:rsidRPr="004C4D45">
        <w:rPr>
          <w:sz w:val="32"/>
          <w:szCs w:val="32"/>
          <w:u w:val="single"/>
        </w:rPr>
        <w:lastRenderedPageBreak/>
        <w:t>3. Perspectives</w:t>
      </w:r>
      <w:r w:rsidR="00FE5BAD" w:rsidRPr="004C4D45">
        <w:rPr>
          <w:sz w:val="32"/>
          <w:szCs w:val="32"/>
          <w:u w:val="single"/>
        </w:rPr>
        <w:t xml:space="preserve"> économique</w:t>
      </w:r>
      <w:r>
        <w:rPr>
          <w:sz w:val="32"/>
          <w:szCs w:val="32"/>
          <w:u w:val="single"/>
        </w:rPr>
        <w:t>s</w:t>
      </w:r>
      <w:r w:rsidR="00FE5BAD" w:rsidRPr="004C4D45">
        <w:rPr>
          <w:sz w:val="32"/>
          <w:szCs w:val="32"/>
          <w:u w:val="single"/>
        </w:rPr>
        <w:t xml:space="preserve"> en 201</w:t>
      </w:r>
      <w:r w:rsidR="001E4165" w:rsidRPr="004C4D45">
        <w:rPr>
          <w:sz w:val="32"/>
          <w:szCs w:val="32"/>
          <w:u w:val="single"/>
        </w:rPr>
        <w:t>5</w:t>
      </w:r>
    </w:p>
    <w:p w:rsidR="00E0781F" w:rsidRPr="00DE494B" w:rsidRDefault="00E0781F" w:rsidP="00E0781F">
      <w:pPr>
        <w:ind w:firstLine="708"/>
        <w:rPr>
          <w:rFonts w:ascii="Book Antiqua" w:hAnsi="Book Antiqua"/>
          <w:bCs w:val="0"/>
          <w:sz w:val="32"/>
          <w:szCs w:val="32"/>
          <w:u w:val="single"/>
        </w:rPr>
      </w:pPr>
      <w:r w:rsidRPr="00DE494B">
        <w:rPr>
          <w:rFonts w:ascii="Book Antiqua" w:hAnsi="Book Antiqua"/>
          <w:bCs w:val="0"/>
          <w:sz w:val="32"/>
          <w:szCs w:val="32"/>
          <w:u w:val="single"/>
        </w:rPr>
        <w:t>3.1 Croissance économique</w:t>
      </w:r>
    </w:p>
    <w:p w:rsidR="001A25CD" w:rsidRPr="00DE494B" w:rsidRDefault="00386A39" w:rsidP="00105E1D">
      <w:pPr>
        <w:spacing w:before="200" w:after="240" w:line="400" w:lineRule="exact"/>
        <w:ind w:firstLine="720"/>
        <w:jc w:val="both"/>
        <w:rPr>
          <w:b w:val="0"/>
          <w:bCs w:val="0"/>
          <w:sz w:val="28"/>
          <w:szCs w:val="28"/>
        </w:rPr>
      </w:pPr>
      <w:r>
        <w:rPr>
          <w:b w:val="0"/>
          <w:bCs w:val="0"/>
          <w:sz w:val="28"/>
          <w:szCs w:val="28"/>
        </w:rPr>
        <w:t xml:space="preserve">Il est à rappeler que les perspectives pour 2015 sont basées sur les </w:t>
      </w:r>
      <w:r w:rsidR="00105E1D">
        <w:rPr>
          <w:b w:val="0"/>
          <w:bCs w:val="0"/>
          <w:sz w:val="28"/>
          <w:szCs w:val="28"/>
        </w:rPr>
        <w:t xml:space="preserve">dispositions de </w:t>
      </w:r>
      <w:r>
        <w:rPr>
          <w:b w:val="0"/>
          <w:bCs w:val="0"/>
          <w:sz w:val="28"/>
          <w:szCs w:val="28"/>
        </w:rPr>
        <w:t xml:space="preserve"> la loi de finances 2015 en matière de </w:t>
      </w:r>
      <w:r w:rsidR="00830090">
        <w:rPr>
          <w:b w:val="0"/>
          <w:bCs w:val="0"/>
          <w:sz w:val="28"/>
          <w:szCs w:val="28"/>
        </w:rPr>
        <w:t>dépenses d’investissement</w:t>
      </w:r>
      <w:r w:rsidR="009551ED">
        <w:rPr>
          <w:b w:val="0"/>
          <w:bCs w:val="0"/>
          <w:sz w:val="28"/>
          <w:szCs w:val="28"/>
        </w:rPr>
        <w:t xml:space="preserve">, de fonctionnement et de compensation. </w:t>
      </w:r>
      <w:r>
        <w:rPr>
          <w:b w:val="0"/>
          <w:bCs w:val="0"/>
          <w:sz w:val="28"/>
          <w:szCs w:val="28"/>
        </w:rPr>
        <w:t xml:space="preserve"> </w:t>
      </w:r>
    </w:p>
    <w:p w:rsidR="00DE494B" w:rsidRPr="00DE494B" w:rsidRDefault="00DE494B" w:rsidP="00D947CF">
      <w:pPr>
        <w:spacing w:before="200" w:after="240" w:line="400" w:lineRule="exact"/>
        <w:ind w:firstLine="720"/>
        <w:jc w:val="both"/>
        <w:rPr>
          <w:b w:val="0"/>
          <w:bCs w:val="0"/>
          <w:sz w:val="28"/>
          <w:szCs w:val="28"/>
        </w:rPr>
      </w:pPr>
      <w:r w:rsidRPr="00DE494B">
        <w:rPr>
          <w:b w:val="0"/>
          <w:bCs w:val="0"/>
          <w:sz w:val="28"/>
          <w:szCs w:val="28"/>
        </w:rPr>
        <w:t xml:space="preserve">Les prévisions pour 2015 </w:t>
      </w:r>
      <w:r w:rsidR="009456FF">
        <w:rPr>
          <w:b w:val="0"/>
          <w:bCs w:val="0"/>
          <w:sz w:val="28"/>
          <w:szCs w:val="28"/>
        </w:rPr>
        <w:t xml:space="preserve">supposent </w:t>
      </w:r>
      <w:r w:rsidR="00D72884">
        <w:rPr>
          <w:b w:val="0"/>
          <w:bCs w:val="0"/>
          <w:sz w:val="28"/>
          <w:szCs w:val="28"/>
        </w:rPr>
        <w:t xml:space="preserve">une bonne </w:t>
      </w:r>
      <w:r w:rsidR="00D947CF">
        <w:rPr>
          <w:b w:val="0"/>
          <w:bCs w:val="0"/>
          <w:sz w:val="28"/>
          <w:szCs w:val="28"/>
        </w:rPr>
        <w:t xml:space="preserve">campagne </w:t>
      </w:r>
      <w:r w:rsidR="00D72884">
        <w:rPr>
          <w:b w:val="0"/>
          <w:bCs w:val="0"/>
          <w:sz w:val="28"/>
          <w:szCs w:val="28"/>
        </w:rPr>
        <w:t>agricole</w:t>
      </w:r>
      <w:r w:rsidRPr="00DE494B">
        <w:rPr>
          <w:b w:val="0"/>
          <w:bCs w:val="0"/>
          <w:sz w:val="28"/>
          <w:szCs w:val="28"/>
        </w:rPr>
        <w:t xml:space="preserve"> </w:t>
      </w:r>
      <w:r w:rsidR="00D947CF">
        <w:rPr>
          <w:b w:val="0"/>
          <w:bCs w:val="0"/>
          <w:sz w:val="28"/>
          <w:szCs w:val="28"/>
        </w:rPr>
        <w:t xml:space="preserve">2014-2015 </w:t>
      </w:r>
      <w:r w:rsidRPr="00DE494B">
        <w:rPr>
          <w:b w:val="0"/>
          <w:bCs w:val="0"/>
          <w:sz w:val="28"/>
          <w:szCs w:val="28"/>
        </w:rPr>
        <w:t xml:space="preserve">et une consolidation des </w:t>
      </w:r>
      <w:r w:rsidR="00D947CF">
        <w:rPr>
          <w:b w:val="0"/>
          <w:bCs w:val="0"/>
          <w:sz w:val="28"/>
          <w:szCs w:val="28"/>
        </w:rPr>
        <w:t xml:space="preserve">performances </w:t>
      </w:r>
      <w:r w:rsidR="00D11536">
        <w:rPr>
          <w:b w:val="0"/>
          <w:bCs w:val="0"/>
          <w:sz w:val="28"/>
          <w:szCs w:val="28"/>
        </w:rPr>
        <w:t xml:space="preserve">des </w:t>
      </w:r>
      <w:r w:rsidRPr="00DE494B">
        <w:rPr>
          <w:b w:val="0"/>
          <w:bCs w:val="0"/>
          <w:sz w:val="28"/>
          <w:szCs w:val="28"/>
        </w:rPr>
        <w:t>autres cultures et de l’activité  de l’élevage</w:t>
      </w:r>
      <w:r w:rsidR="00BF1E79">
        <w:rPr>
          <w:b w:val="0"/>
          <w:bCs w:val="0"/>
          <w:sz w:val="28"/>
          <w:szCs w:val="28"/>
        </w:rPr>
        <w:t xml:space="preserve"> compte tenu du niveau de précipitations </w:t>
      </w:r>
      <w:r w:rsidR="00D947CF">
        <w:rPr>
          <w:b w:val="0"/>
          <w:bCs w:val="0"/>
          <w:sz w:val="28"/>
          <w:szCs w:val="28"/>
        </w:rPr>
        <w:t>observé jusqu’à la moitié du mois de janvier de cette année.</w:t>
      </w:r>
      <w:r w:rsidR="00E1534A">
        <w:rPr>
          <w:b w:val="0"/>
          <w:bCs w:val="0"/>
          <w:sz w:val="28"/>
          <w:szCs w:val="28"/>
        </w:rPr>
        <w:t xml:space="preserve"> </w:t>
      </w:r>
    </w:p>
    <w:p w:rsidR="00DE494B" w:rsidRPr="00DE494B" w:rsidRDefault="00DE494B" w:rsidP="00D947CF">
      <w:pPr>
        <w:spacing w:before="200" w:after="240" w:line="400" w:lineRule="exact"/>
        <w:ind w:firstLine="720"/>
        <w:jc w:val="both"/>
        <w:rPr>
          <w:b w:val="0"/>
          <w:bCs w:val="0"/>
          <w:sz w:val="28"/>
          <w:szCs w:val="28"/>
        </w:rPr>
      </w:pPr>
      <w:r w:rsidRPr="00DE494B">
        <w:rPr>
          <w:b w:val="0"/>
          <w:bCs w:val="0"/>
          <w:sz w:val="28"/>
          <w:szCs w:val="28"/>
        </w:rPr>
        <w:t xml:space="preserve">Elles tiennent compte, également, de </w:t>
      </w:r>
      <w:r w:rsidR="00D72884">
        <w:rPr>
          <w:b w:val="0"/>
          <w:bCs w:val="0"/>
          <w:sz w:val="28"/>
          <w:szCs w:val="28"/>
        </w:rPr>
        <w:t>l’am</w:t>
      </w:r>
      <w:r w:rsidR="00D947CF">
        <w:rPr>
          <w:b w:val="0"/>
          <w:bCs w:val="0"/>
          <w:sz w:val="28"/>
          <w:szCs w:val="28"/>
        </w:rPr>
        <w:t>é</w:t>
      </w:r>
      <w:r w:rsidR="00D72884">
        <w:rPr>
          <w:b w:val="0"/>
          <w:bCs w:val="0"/>
          <w:sz w:val="28"/>
          <w:szCs w:val="28"/>
        </w:rPr>
        <w:t xml:space="preserve">lioration de la </w:t>
      </w:r>
      <w:r w:rsidRPr="00DE494B">
        <w:rPr>
          <w:b w:val="0"/>
          <w:bCs w:val="0"/>
          <w:sz w:val="28"/>
          <w:szCs w:val="28"/>
        </w:rPr>
        <w:t xml:space="preserve">demande adressée au Maroc de 4,5% en 2015 au lieu de 4,1% en 2014. Les transferts des marocains résidant à l’étrangers, devraient s’accroitre au même rythme de 2014 soit 1,2%. Les recettes touristiques, après avoir augmenté de 0,2% en 2014, connaitraient une hausse de  prés de 1%, alors que les investissements directs étrangers (IDE) consolideraient leur rythme d’accroissement à 10%. </w:t>
      </w:r>
    </w:p>
    <w:p w:rsidR="00DE494B" w:rsidRPr="00DE494B" w:rsidRDefault="00D72884" w:rsidP="00D947CF">
      <w:pPr>
        <w:spacing w:before="200" w:after="240" w:line="400" w:lineRule="exact"/>
        <w:ind w:firstLine="720"/>
        <w:jc w:val="both"/>
        <w:rPr>
          <w:b w:val="0"/>
          <w:bCs w:val="0"/>
          <w:sz w:val="28"/>
          <w:szCs w:val="28"/>
        </w:rPr>
      </w:pPr>
      <w:r>
        <w:rPr>
          <w:b w:val="0"/>
          <w:bCs w:val="0"/>
          <w:sz w:val="28"/>
          <w:szCs w:val="28"/>
        </w:rPr>
        <w:t>Dans ce contex</w:t>
      </w:r>
      <w:r w:rsidR="00D947CF">
        <w:rPr>
          <w:b w:val="0"/>
          <w:bCs w:val="0"/>
          <w:sz w:val="28"/>
          <w:szCs w:val="28"/>
        </w:rPr>
        <w:t>t</w:t>
      </w:r>
      <w:r>
        <w:rPr>
          <w:b w:val="0"/>
          <w:bCs w:val="0"/>
          <w:sz w:val="28"/>
          <w:szCs w:val="28"/>
        </w:rPr>
        <w:t>e</w:t>
      </w:r>
      <w:r w:rsidR="00DE494B" w:rsidRPr="00DE494B">
        <w:rPr>
          <w:b w:val="0"/>
          <w:bCs w:val="0"/>
          <w:sz w:val="28"/>
          <w:szCs w:val="28"/>
        </w:rPr>
        <w:t xml:space="preserve">, </w:t>
      </w:r>
      <w:r>
        <w:rPr>
          <w:b w:val="0"/>
          <w:bCs w:val="0"/>
          <w:sz w:val="28"/>
          <w:szCs w:val="28"/>
        </w:rPr>
        <w:t>l</w:t>
      </w:r>
      <w:r w:rsidR="00DE494B" w:rsidRPr="00DE494B">
        <w:rPr>
          <w:b w:val="0"/>
          <w:bCs w:val="0"/>
          <w:sz w:val="28"/>
          <w:szCs w:val="28"/>
        </w:rPr>
        <w:t xml:space="preserve">a valeur ajoutée </w:t>
      </w:r>
      <w:r w:rsidR="00DE494B" w:rsidRPr="00DE494B">
        <w:rPr>
          <w:sz w:val="28"/>
          <w:szCs w:val="28"/>
        </w:rPr>
        <w:t>du secteur primaire</w:t>
      </w:r>
      <w:r w:rsidR="00DE494B" w:rsidRPr="00DE494B">
        <w:rPr>
          <w:b w:val="0"/>
          <w:bCs w:val="0"/>
          <w:sz w:val="28"/>
          <w:szCs w:val="28"/>
        </w:rPr>
        <w:t xml:space="preserve"> devrait progresser de </w:t>
      </w:r>
      <w:r w:rsidR="00A210B2">
        <w:rPr>
          <w:b w:val="0"/>
          <w:bCs w:val="0"/>
          <w:sz w:val="28"/>
          <w:szCs w:val="28"/>
        </w:rPr>
        <w:t>9</w:t>
      </w:r>
      <w:r w:rsidR="00DE494B" w:rsidRPr="00DE494B">
        <w:rPr>
          <w:b w:val="0"/>
          <w:bCs w:val="0"/>
          <w:sz w:val="28"/>
          <w:szCs w:val="28"/>
        </w:rPr>
        <w:t>,</w:t>
      </w:r>
      <w:r w:rsidR="00A210B2">
        <w:rPr>
          <w:b w:val="0"/>
          <w:bCs w:val="0"/>
          <w:sz w:val="28"/>
          <w:szCs w:val="28"/>
        </w:rPr>
        <w:t>3</w:t>
      </w:r>
      <w:r w:rsidR="00DE494B" w:rsidRPr="00DE494B">
        <w:rPr>
          <w:b w:val="0"/>
          <w:bCs w:val="0"/>
          <w:sz w:val="28"/>
          <w:szCs w:val="28"/>
        </w:rPr>
        <w:t xml:space="preserve">% après avoir connu un repli de 1,7% en 2014. </w:t>
      </w:r>
      <w:r w:rsidR="00DE494B" w:rsidRPr="00DE494B">
        <w:rPr>
          <w:sz w:val="28"/>
          <w:szCs w:val="28"/>
        </w:rPr>
        <w:t>Les activités non agricoles</w:t>
      </w:r>
      <w:r w:rsidR="00DE494B" w:rsidRPr="00DE494B">
        <w:rPr>
          <w:b w:val="0"/>
          <w:bCs w:val="0"/>
          <w:sz w:val="28"/>
          <w:szCs w:val="28"/>
        </w:rPr>
        <w:t xml:space="preserve"> s’accroitraient de 4,1% au lieu de 3,4% estimé pour 2014</w:t>
      </w:r>
      <w:r w:rsidR="000A1096">
        <w:rPr>
          <w:b w:val="0"/>
          <w:bCs w:val="0"/>
          <w:sz w:val="28"/>
          <w:szCs w:val="28"/>
        </w:rPr>
        <w:t>. C</w:t>
      </w:r>
      <w:r w:rsidR="006968D8">
        <w:rPr>
          <w:b w:val="0"/>
          <w:bCs w:val="0"/>
          <w:sz w:val="28"/>
          <w:szCs w:val="28"/>
        </w:rPr>
        <w:t>e résultat serait du à</w:t>
      </w:r>
      <w:r w:rsidR="00DE494B" w:rsidRPr="00DE494B">
        <w:rPr>
          <w:b w:val="0"/>
          <w:bCs w:val="0"/>
          <w:sz w:val="28"/>
          <w:szCs w:val="28"/>
        </w:rPr>
        <w:t xml:space="preserve"> l’amélioration </w:t>
      </w:r>
      <w:r w:rsidRPr="00DE494B">
        <w:rPr>
          <w:b w:val="0"/>
          <w:bCs w:val="0"/>
          <w:sz w:val="28"/>
          <w:szCs w:val="28"/>
        </w:rPr>
        <w:t>de 3,</w:t>
      </w:r>
      <w:r>
        <w:rPr>
          <w:b w:val="0"/>
          <w:bCs w:val="0"/>
          <w:sz w:val="28"/>
          <w:szCs w:val="28"/>
        </w:rPr>
        <w:t>5</w:t>
      </w:r>
      <w:r w:rsidRPr="00DE494B">
        <w:rPr>
          <w:b w:val="0"/>
          <w:bCs w:val="0"/>
          <w:sz w:val="28"/>
          <w:szCs w:val="28"/>
        </w:rPr>
        <w:t xml:space="preserve">% </w:t>
      </w:r>
      <w:r w:rsidR="00DE494B" w:rsidRPr="00DE494B">
        <w:rPr>
          <w:b w:val="0"/>
          <w:bCs w:val="0"/>
          <w:sz w:val="28"/>
          <w:szCs w:val="28"/>
        </w:rPr>
        <w:t xml:space="preserve">du secteur secondaire et </w:t>
      </w:r>
      <w:r w:rsidR="006968D8">
        <w:rPr>
          <w:b w:val="0"/>
          <w:bCs w:val="0"/>
          <w:sz w:val="28"/>
          <w:szCs w:val="28"/>
        </w:rPr>
        <w:t>à</w:t>
      </w:r>
      <w:r w:rsidR="00DE494B" w:rsidRPr="00DE494B">
        <w:rPr>
          <w:b w:val="0"/>
          <w:bCs w:val="0"/>
          <w:sz w:val="28"/>
          <w:szCs w:val="28"/>
        </w:rPr>
        <w:t xml:space="preserve"> l’accroissement des activités du secteur tertiaire de 4,5%</w:t>
      </w:r>
      <w:r>
        <w:rPr>
          <w:b w:val="0"/>
          <w:bCs w:val="0"/>
          <w:sz w:val="28"/>
          <w:szCs w:val="28"/>
        </w:rPr>
        <w:t>. Ce dernier</w:t>
      </w:r>
      <w:r w:rsidR="00DE494B" w:rsidRPr="00DE494B">
        <w:rPr>
          <w:b w:val="0"/>
          <w:bCs w:val="0"/>
          <w:sz w:val="28"/>
          <w:szCs w:val="28"/>
        </w:rPr>
        <w:t xml:space="preserve"> </w:t>
      </w:r>
      <w:r>
        <w:rPr>
          <w:b w:val="0"/>
          <w:bCs w:val="0"/>
          <w:sz w:val="28"/>
          <w:szCs w:val="28"/>
        </w:rPr>
        <w:t xml:space="preserve">aurait bénéficié </w:t>
      </w:r>
      <w:r w:rsidR="00DE494B" w:rsidRPr="00DE494B">
        <w:rPr>
          <w:b w:val="0"/>
          <w:bCs w:val="0"/>
          <w:sz w:val="28"/>
          <w:szCs w:val="28"/>
        </w:rPr>
        <w:t xml:space="preserve">de l’amélioration de la valeur ajoutée des administrations publiques de 3,3% et de l’accroissement des services marchands de 4,7%. </w:t>
      </w:r>
    </w:p>
    <w:p w:rsidR="00A93A7D" w:rsidRDefault="00844CA7" w:rsidP="002F0D29">
      <w:pPr>
        <w:spacing w:before="200" w:after="240" w:line="400" w:lineRule="exact"/>
        <w:ind w:firstLine="720"/>
        <w:jc w:val="both"/>
        <w:rPr>
          <w:b w:val="0"/>
          <w:bCs w:val="0"/>
          <w:sz w:val="28"/>
          <w:szCs w:val="28"/>
        </w:rPr>
      </w:pPr>
      <w:r w:rsidRPr="00D947CF">
        <w:rPr>
          <w:b w:val="0"/>
          <w:bCs w:val="0"/>
          <w:sz w:val="28"/>
          <w:szCs w:val="28"/>
        </w:rPr>
        <w:t xml:space="preserve">Compte tenu de toutes ces prévisions et sous réserve des ajustements qui leur seront apportés dans le contexte du budget économique </w:t>
      </w:r>
      <w:r w:rsidR="00D947CF">
        <w:rPr>
          <w:b w:val="0"/>
          <w:bCs w:val="0"/>
          <w:sz w:val="28"/>
          <w:szCs w:val="28"/>
        </w:rPr>
        <w:t xml:space="preserve">exploratoire </w:t>
      </w:r>
      <w:r w:rsidRPr="00D947CF">
        <w:rPr>
          <w:b w:val="0"/>
          <w:bCs w:val="0"/>
          <w:sz w:val="28"/>
          <w:szCs w:val="28"/>
        </w:rPr>
        <w:t xml:space="preserve">de juin 2015, </w:t>
      </w:r>
      <w:r w:rsidR="00D947CF">
        <w:rPr>
          <w:b w:val="0"/>
          <w:bCs w:val="0"/>
          <w:sz w:val="28"/>
          <w:szCs w:val="28"/>
        </w:rPr>
        <w:t xml:space="preserve">et </w:t>
      </w:r>
      <w:r w:rsidRPr="00D947CF">
        <w:rPr>
          <w:b w:val="0"/>
          <w:bCs w:val="0"/>
          <w:sz w:val="28"/>
          <w:szCs w:val="28"/>
        </w:rPr>
        <w:t>à la lumière</w:t>
      </w:r>
      <w:r w:rsidR="00D947CF">
        <w:rPr>
          <w:b w:val="0"/>
          <w:bCs w:val="0"/>
          <w:sz w:val="28"/>
          <w:szCs w:val="28"/>
        </w:rPr>
        <w:t>,</w:t>
      </w:r>
      <w:r w:rsidRPr="00D947CF">
        <w:rPr>
          <w:b w:val="0"/>
          <w:bCs w:val="0"/>
          <w:sz w:val="28"/>
          <w:szCs w:val="28"/>
        </w:rPr>
        <w:t xml:space="preserve"> notamment</w:t>
      </w:r>
      <w:r w:rsidR="00D947CF">
        <w:rPr>
          <w:b w:val="0"/>
          <w:bCs w:val="0"/>
          <w:sz w:val="28"/>
          <w:szCs w:val="28"/>
        </w:rPr>
        <w:t>,</w:t>
      </w:r>
      <w:r w:rsidRPr="00D947CF">
        <w:rPr>
          <w:b w:val="0"/>
          <w:bCs w:val="0"/>
          <w:sz w:val="28"/>
          <w:szCs w:val="28"/>
        </w:rPr>
        <w:t xml:space="preserve"> des perspectives de la campagne agricole et des conditions de l’exécution de la loi de finances et de l’évolution du contexte international, </w:t>
      </w:r>
      <w:r w:rsidRPr="00D947CF">
        <w:rPr>
          <w:sz w:val="28"/>
          <w:szCs w:val="28"/>
        </w:rPr>
        <w:t>l</w:t>
      </w:r>
      <w:r w:rsidR="00DE494B" w:rsidRPr="00D947CF">
        <w:rPr>
          <w:sz w:val="28"/>
          <w:szCs w:val="28"/>
        </w:rPr>
        <w:t>e produit intérieur brut devrait,</w:t>
      </w:r>
      <w:r w:rsidR="00D947CF" w:rsidRPr="00D947CF">
        <w:rPr>
          <w:sz w:val="28"/>
          <w:szCs w:val="28"/>
        </w:rPr>
        <w:t xml:space="preserve"> </w:t>
      </w:r>
      <w:r w:rsidR="000D235A" w:rsidRPr="00D947CF">
        <w:rPr>
          <w:sz w:val="28"/>
          <w:szCs w:val="28"/>
        </w:rPr>
        <w:t>ainsi,</w:t>
      </w:r>
      <w:r w:rsidR="00DE494B" w:rsidRPr="00D947CF">
        <w:rPr>
          <w:sz w:val="28"/>
          <w:szCs w:val="28"/>
        </w:rPr>
        <w:t xml:space="preserve"> s’accroitre de </w:t>
      </w:r>
      <w:r w:rsidR="00A210B2" w:rsidRPr="00D947CF">
        <w:rPr>
          <w:sz w:val="28"/>
          <w:szCs w:val="28"/>
        </w:rPr>
        <w:t>4</w:t>
      </w:r>
      <w:r w:rsidR="00DE494B" w:rsidRPr="00D947CF">
        <w:rPr>
          <w:sz w:val="28"/>
          <w:szCs w:val="28"/>
        </w:rPr>
        <w:t>,</w:t>
      </w:r>
      <w:r w:rsidR="00A210B2" w:rsidRPr="00D947CF">
        <w:rPr>
          <w:sz w:val="28"/>
          <w:szCs w:val="28"/>
        </w:rPr>
        <w:t>8</w:t>
      </w:r>
      <w:r w:rsidR="00DE494B" w:rsidRPr="00D947CF">
        <w:rPr>
          <w:sz w:val="28"/>
          <w:szCs w:val="28"/>
        </w:rPr>
        <w:t>% en 2015 au lieu de 2,6% en 2014</w:t>
      </w:r>
      <w:r w:rsidR="00DE494B" w:rsidRPr="00DE494B">
        <w:rPr>
          <w:b w:val="0"/>
          <w:bCs w:val="0"/>
          <w:sz w:val="28"/>
          <w:szCs w:val="28"/>
        </w:rPr>
        <w:t>.</w:t>
      </w:r>
      <w:r w:rsidR="00A93A7D">
        <w:rPr>
          <w:b w:val="0"/>
          <w:bCs w:val="0"/>
          <w:sz w:val="28"/>
          <w:szCs w:val="28"/>
        </w:rPr>
        <w:t xml:space="preserve"> Cette</w:t>
      </w:r>
      <w:r w:rsidR="00A93A7D" w:rsidRPr="00D947CF">
        <w:rPr>
          <w:b w:val="0"/>
          <w:bCs w:val="0"/>
          <w:sz w:val="28"/>
          <w:szCs w:val="28"/>
        </w:rPr>
        <w:t xml:space="preserve"> croissance économique prévue pour 2015 devrait créer un volume net d’emploi d’environ 170 mille postes. Dans ce cadre, le </w:t>
      </w:r>
      <w:r w:rsidR="002F0D29">
        <w:rPr>
          <w:b w:val="0"/>
          <w:bCs w:val="0"/>
          <w:sz w:val="28"/>
          <w:szCs w:val="28"/>
        </w:rPr>
        <w:t>taux</w:t>
      </w:r>
      <w:r w:rsidR="00A93A7D" w:rsidRPr="00D947CF">
        <w:rPr>
          <w:b w:val="0"/>
          <w:bCs w:val="0"/>
          <w:sz w:val="28"/>
          <w:szCs w:val="28"/>
        </w:rPr>
        <w:t xml:space="preserve"> de chômage national, devrait passer à 9,6% au lieu de 9,8% en 2014.</w:t>
      </w:r>
    </w:p>
    <w:p w:rsidR="00D57677" w:rsidRDefault="00D57677" w:rsidP="00D947CF">
      <w:pPr>
        <w:spacing w:before="200" w:after="240" w:line="400" w:lineRule="exact"/>
        <w:ind w:firstLine="720"/>
        <w:jc w:val="both"/>
        <w:rPr>
          <w:b w:val="0"/>
          <w:bCs w:val="0"/>
          <w:sz w:val="28"/>
          <w:szCs w:val="28"/>
        </w:rPr>
      </w:pPr>
    </w:p>
    <w:p w:rsidR="00D57677" w:rsidRPr="00D947CF" w:rsidRDefault="00D57677" w:rsidP="00D947CF">
      <w:pPr>
        <w:spacing w:before="200" w:after="240" w:line="400" w:lineRule="exact"/>
        <w:ind w:firstLine="720"/>
        <w:jc w:val="both"/>
        <w:rPr>
          <w:b w:val="0"/>
          <w:bCs w:val="0"/>
          <w:sz w:val="28"/>
          <w:szCs w:val="28"/>
        </w:rPr>
      </w:pPr>
    </w:p>
    <w:p w:rsidR="00DE494B" w:rsidRDefault="00DE494B" w:rsidP="00DE494B">
      <w:pPr>
        <w:ind w:firstLine="708"/>
        <w:rPr>
          <w:rFonts w:ascii="Book Antiqua" w:hAnsi="Book Antiqua"/>
          <w:bCs w:val="0"/>
          <w:sz w:val="32"/>
          <w:szCs w:val="32"/>
          <w:u w:val="single"/>
        </w:rPr>
      </w:pPr>
      <w:r w:rsidRPr="00DE494B">
        <w:rPr>
          <w:rFonts w:ascii="Book Antiqua" w:hAnsi="Book Antiqua"/>
          <w:bCs w:val="0"/>
          <w:sz w:val="32"/>
          <w:szCs w:val="32"/>
          <w:u w:val="single"/>
        </w:rPr>
        <w:lastRenderedPageBreak/>
        <w:t>3.2 Evolution de la demande</w:t>
      </w:r>
    </w:p>
    <w:p w:rsidR="00D57677" w:rsidRPr="00DE494B" w:rsidRDefault="00D57677" w:rsidP="00DE494B">
      <w:pPr>
        <w:ind w:firstLine="708"/>
        <w:rPr>
          <w:rFonts w:ascii="Book Antiqua" w:hAnsi="Book Antiqua"/>
          <w:bCs w:val="0"/>
          <w:sz w:val="32"/>
          <w:szCs w:val="32"/>
          <w:u w:val="single"/>
        </w:rPr>
      </w:pPr>
    </w:p>
    <w:p w:rsidR="00DE494B" w:rsidRPr="00DE494B" w:rsidRDefault="00F7227C" w:rsidP="00F11B44">
      <w:pPr>
        <w:widowControl w:val="0"/>
        <w:spacing w:before="200" w:after="240" w:line="400" w:lineRule="exact"/>
        <w:ind w:firstLine="720"/>
        <w:jc w:val="mediumKashida"/>
        <w:rPr>
          <w:b w:val="0"/>
          <w:bCs w:val="0"/>
          <w:sz w:val="28"/>
          <w:szCs w:val="28"/>
        </w:rPr>
      </w:pPr>
      <w:r>
        <w:rPr>
          <w:b w:val="0"/>
          <w:bCs w:val="0"/>
          <w:sz w:val="28"/>
          <w:szCs w:val="28"/>
        </w:rPr>
        <w:t>L</w:t>
      </w:r>
      <w:r w:rsidR="00DE494B" w:rsidRPr="00DE494B">
        <w:rPr>
          <w:b w:val="0"/>
          <w:bCs w:val="0"/>
          <w:sz w:val="28"/>
          <w:szCs w:val="28"/>
        </w:rPr>
        <w:t>a demande intérieure serait marquée par une amélioration de son rythme de croissance de 5,</w:t>
      </w:r>
      <w:r w:rsidR="00B029EA">
        <w:rPr>
          <w:b w:val="0"/>
          <w:bCs w:val="0"/>
          <w:sz w:val="28"/>
          <w:szCs w:val="28"/>
        </w:rPr>
        <w:t>4</w:t>
      </w:r>
      <w:r w:rsidR="00DE494B" w:rsidRPr="00DE494B">
        <w:rPr>
          <w:b w:val="0"/>
          <w:bCs w:val="0"/>
          <w:sz w:val="28"/>
          <w:szCs w:val="28"/>
        </w:rPr>
        <w:t>% en volume au lieu de 2,4% en 2014. Sa contribution à la croissance du PIB passerait à 6,</w:t>
      </w:r>
      <w:r w:rsidR="00B029EA">
        <w:rPr>
          <w:b w:val="0"/>
          <w:bCs w:val="0"/>
          <w:sz w:val="28"/>
          <w:szCs w:val="28"/>
        </w:rPr>
        <w:t>1</w:t>
      </w:r>
      <w:r w:rsidR="00DE494B" w:rsidRPr="00DE494B">
        <w:rPr>
          <w:b w:val="0"/>
          <w:bCs w:val="0"/>
          <w:sz w:val="28"/>
          <w:szCs w:val="28"/>
        </w:rPr>
        <w:t xml:space="preserve"> points au lieu de 2,8 points en 2014. </w:t>
      </w:r>
      <w:r w:rsidR="00F11B44">
        <w:rPr>
          <w:b w:val="0"/>
          <w:bCs w:val="0"/>
          <w:sz w:val="28"/>
          <w:szCs w:val="28"/>
        </w:rPr>
        <w:t>L</w:t>
      </w:r>
      <w:r w:rsidR="009071E8">
        <w:rPr>
          <w:b w:val="0"/>
          <w:bCs w:val="0"/>
          <w:sz w:val="28"/>
          <w:szCs w:val="28"/>
        </w:rPr>
        <w:t>’inflation</w:t>
      </w:r>
      <w:r w:rsidR="00DE494B" w:rsidRPr="00DE494B">
        <w:rPr>
          <w:b w:val="0"/>
          <w:bCs w:val="0"/>
          <w:sz w:val="28"/>
          <w:szCs w:val="28"/>
        </w:rPr>
        <w:t>, exprimée par le prix implicite du PIB, serait de 0,</w:t>
      </w:r>
      <w:r w:rsidR="00B029EA">
        <w:rPr>
          <w:b w:val="0"/>
          <w:bCs w:val="0"/>
          <w:sz w:val="28"/>
          <w:szCs w:val="28"/>
        </w:rPr>
        <w:t>8</w:t>
      </w:r>
      <w:r w:rsidR="00DE494B" w:rsidRPr="00DE494B">
        <w:rPr>
          <w:b w:val="0"/>
          <w:bCs w:val="0"/>
          <w:sz w:val="28"/>
          <w:szCs w:val="28"/>
        </w:rPr>
        <w:t>% en 2015 au lieu de 0,4% en 2014</w:t>
      </w:r>
      <w:r w:rsidR="00D947CF">
        <w:rPr>
          <w:b w:val="0"/>
          <w:bCs w:val="0"/>
          <w:sz w:val="28"/>
          <w:szCs w:val="28"/>
        </w:rPr>
        <w:t>,</w:t>
      </w:r>
      <w:r w:rsidR="00F11B44">
        <w:rPr>
          <w:b w:val="0"/>
          <w:bCs w:val="0"/>
          <w:sz w:val="28"/>
          <w:szCs w:val="28"/>
        </w:rPr>
        <w:t xml:space="preserve"> malgré une baisse prévisible de l’inflation importée.</w:t>
      </w:r>
    </w:p>
    <w:p w:rsidR="00DE494B" w:rsidRPr="00DE494B" w:rsidRDefault="00DE494B" w:rsidP="00B029EA">
      <w:pPr>
        <w:widowControl w:val="0"/>
        <w:tabs>
          <w:tab w:val="left" w:pos="720"/>
        </w:tabs>
        <w:adjustRightInd w:val="0"/>
        <w:spacing w:before="200" w:after="240" w:line="400" w:lineRule="exact"/>
        <w:ind w:firstLine="720"/>
        <w:jc w:val="both"/>
        <w:rPr>
          <w:b w:val="0"/>
          <w:bCs w:val="0"/>
          <w:sz w:val="28"/>
          <w:szCs w:val="28"/>
        </w:rPr>
      </w:pPr>
      <w:r w:rsidRPr="00DE494B">
        <w:rPr>
          <w:b w:val="0"/>
          <w:bCs w:val="0"/>
          <w:sz w:val="28"/>
          <w:szCs w:val="28"/>
        </w:rPr>
        <w:t>Dans ce cadre, la consommation des ménages devrait s’accroitre de 4,</w:t>
      </w:r>
      <w:r w:rsidR="00B029EA">
        <w:rPr>
          <w:b w:val="0"/>
          <w:bCs w:val="0"/>
          <w:sz w:val="28"/>
          <w:szCs w:val="28"/>
        </w:rPr>
        <w:t>4</w:t>
      </w:r>
      <w:r w:rsidRPr="00DE494B">
        <w:rPr>
          <w:b w:val="0"/>
          <w:bCs w:val="0"/>
          <w:sz w:val="28"/>
          <w:szCs w:val="28"/>
        </w:rPr>
        <w:t>% en volume, portant sa contribution à la croissance du PIB à 2,</w:t>
      </w:r>
      <w:r w:rsidR="00B029EA">
        <w:rPr>
          <w:b w:val="0"/>
          <w:bCs w:val="0"/>
          <w:sz w:val="28"/>
          <w:szCs w:val="28"/>
        </w:rPr>
        <w:t>6</w:t>
      </w:r>
      <w:r w:rsidRPr="00DE494B">
        <w:rPr>
          <w:b w:val="0"/>
          <w:bCs w:val="0"/>
          <w:sz w:val="28"/>
          <w:szCs w:val="28"/>
        </w:rPr>
        <w:t xml:space="preserve">  points au lieu de 1,8 point en 2014. La consommation des administrations publiques, de son côté, augmenterait au rythme de 4,</w:t>
      </w:r>
      <w:r w:rsidR="001D68D7">
        <w:rPr>
          <w:b w:val="0"/>
          <w:bCs w:val="0"/>
          <w:sz w:val="28"/>
          <w:szCs w:val="28"/>
        </w:rPr>
        <w:t>9</w:t>
      </w:r>
      <w:r w:rsidRPr="00DE494B">
        <w:rPr>
          <w:b w:val="0"/>
          <w:bCs w:val="0"/>
          <w:sz w:val="28"/>
          <w:szCs w:val="28"/>
        </w:rPr>
        <w:t>%, limitant sa contribution aux environs  de 0,</w:t>
      </w:r>
      <w:r w:rsidR="001D68D7">
        <w:rPr>
          <w:b w:val="0"/>
          <w:bCs w:val="0"/>
          <w:sz w:val="28"/>
          <w:szCs w:val="28"/>
        </w:rPr>
        <w:t>9</w:t>
      </w:r>
      <w:r w:rsidRPr="00DE494B">
        <w:rPr>
          <w:b w:val="0"/>
          <w:bCs w:val="0"/>
          <w:sz w:val="28"/>
          <w:szCs w:val="28"/>
        </w:rPr>
        <w:t xml:space="preserve"> point à la croissance du PIB. Au total la consommation finale nationale devrait s’accroitre de 4,5% consolidant sa contribution de 3,6 points à la croissance du PIB.</w:t>
      </w:r>
    </w:p>
    <w:p w:rsidR="00DE494B" w:rsidRPr="00DE494B" w:rsidRDefault="00DE494B" w:rsidP="00B029EA">
      <w:pPr>
        <w:widowControl w:val="0"/>
        <w:spacing w:before="200" w:after="240" w:line="400" w:lineRule="exact"/>
        <w:ind w:firstLine="720"/>
        <w:jc w:val="mediumKashida"/>
        <w:rPr>
          <w:b w:val="0"/>
          <w:bCs w:val="0"/>
          <w:sz w:val="28"/>
          <w:szCs w:val="28"/>
        </w:rPr>
      </w:pPr>
      <w:r w:rsidRPr="00DE494B">
        <w:rPr>
          <w:b w:val="0"/>
          <w:bCs w:val="0"/>
          <w:sz w:val="28"/>
          <w:szCs w:val="28"/>
        </w:rPr>
        <w:t xml:space="preserve">La formation brute du capital fixe devrait, quant à elle, s’accroitre de 1,9% et sa contribution à la croissance devrait </w:t>
      </w:r>
      <w:r w:rsidR="001D68D7">
        <w:rPr>
          <w:b w:val="0"/>
          <w:bCs w:val="0"/>
          <w:sz w:val="28"/>
          <w:szCs w:val="28"/>
        </w:rPr>
        <w:t>passer</w:t>
      </w:r>
      <w:r w:rsidRPr="00DE494B">
        <w:rPr>
          <w:b w:val="0"/>
          <w:bCs w:val="0"/>
          <w:sz w:val="28"/>
          <w:szCs w:val="28"/>
        </w:rPr>
        <w:t xml:space="preserve"> à 0,6 point, </w:t>
      </w:r>
      <w:r w:rsidR="001D68D7">
        <w:rPr>
          <w:b w:val="0"/>
          <w:bCs w:val="0"/>
          <w:sz w:val="28"/>
          <w:szCs w:val="28"/>
        </w:rPr>
        <w:t>au lieu de 0,2 point en 2014</w:t>
      </w:r>
      <w:r w:rsidR="00C04BB5">
        <w:rPr>
          <w:b w:val="0"/>
          <w:bCs w:val="0"/>
          <w:sz w:val="28"/>
          <w:szCs w:val="28"/>
        </w:rPr>
        <w:t>.</w:t>
      </w:r>
      <w:r w:rsidR="001D68D7">
        <w:rPr>
          <w:b w:val="0"/>
          <w:bCs w:val="0"/>
          <w:sz w:val="28"/>
          <w:szCs w:val="28"/>
        </w:rPr>
        <w:t xml:space="preserve"> </w:t>
      </w:r>
      <w:r w:rsidR="00C04BB5">
        <w:rPr>
          <w:b w:val="0"/>
          <w:bCs w:val="0"/>
          <w:sz w:val="28"/>
          <w:szCs w:val="28"/>
        </w:rPr>
        <w:t>Les</w:t>
      </w:r>
      <w:r w:rsidRPr="00DE494B">
        <w:rPr>
          <w:b w:val="0"/>
          <w:bCs w:val="0"/>
          <w:sz w:val="28"/>
          <w:szCs w:val="28"/>
        </w:rPr>
        <w:t xml:space="preserve"> variation</w:t>
      </w:r>
      <w:r w:rsidR="00C04BB5">
        <w:rPr>
          <w:b w:val="0"/>
          <w:bCs w:val="0"/>
          <w:sz w:val="28"/>
          <w:szCs w:val="28"/>
        </w:rPr>
        <w:t>s</w:t>
      </w:r>
      <w:r w:rsidRPr="00DE494B">
        <w:rPr>
          <w:b w:val="0"/>
          <w:bCs w:val="0"/>
          <w:sz w:val="28"/>
          <w:szCs w:val="28"/>
        </w:rPr>
        <w:t xml:space="preserve"> des stocks, </w:t>
      </w:r>
      <w:r w:rsidR="00C04BB5">
        <w:rPr>
          <w:b w:val="0"/>
          <w:bCs w:val="0"/>
          <w:sz w:val="28"/>
          <w:szCs w:val="28"/>
        </w:rPr>
        <w:t xml:space="preserve">quant à elles, </w:t>
      </w:r>
      <w:r w:rsidRPr="00DE494B">
        <w:rPr>
          <w:b w:val="0"/>
          <w:bCs w:val="0"/>
          <w:sz w:val="28"/>
          <w:szCs w:val="28"/>
        </w:rPr>
        <w:t>devrai</w:t>
      </w:r>
      <w:r w:rsidR="00C04BB5">
        <w:rPr>
          <w:b w:val="0"/>
          <w:bCs w:val="0"/>
          <w:sz w:val="28"/>
          <w:szCs w:val="28"/>
        </w:rPr>
        <w:t>ent</w:t>
      </w:r>
      <w:r w:rsidRPr="00DE494B">
        <w:rPr>
          <w:b w:val="0"/>
          <w:bCs w:val="0"/>
          <w:sz w:val="28"/>
          <w:szCs w:val="28"/>
        </w:rPr>
        <w:t xml:space="preserve"> </w:t>
      </w:r>
      <w:r w:rsidR="00C04BB5">
        <w:rPr>
          <w:b w:val="0"/>
          <w:bCs w:val="0"/>
          <w:sz w:val="28"/>
          <w:szCs w:val="28"/>
        </w:rPr>
        <w:t>consolider</w:t>
      </w:r>
      <w:r w:rsidRPr="00DE494B">
        <w:rPr>
          <w:b w:val="0"/>
          <w:bCs w:val="0"/>
          <w:sz w:val="28"/>
          <w:szCs w:val="28"/>
        </w:rPr>
        <w:t xml:space="preserve"> </w:t>
      </w:r>
      <w:r w:rsidR="00C04BB5">
        <w:rPr>
          <w:b w:val="0"/>
          <w:bCs w:val="0"/>
          <w:sz w:val="28"/>
          <w:szCs w:val="28"/>
        </w:rPr>
        <w:t>leur</w:t>
      </w:r>
      <w:r w:rsidRPr="00DE494B">
        <w:rPr>
          <w:b w:val="0"/>
          <w:bCs w:val="0"/>
          <w:sz w:val="28"/>
          <w:szCs w:val="28"/>
        </w:rPr>
        <w:t xml:space="preserve"> contribution à la croissance du PIB </w:t>
      </w:r>
      <w:r w:rsidR="00B029EA">
        <w:rPr>
          <w:b w:val="0"/>
          <w:bCs w:val="0"/>
          <w:sz w:val="28"/>
          <w:szCs w:val="28"/>
        </w:rPr>
        <w:t>avec</w:t>
      </w:r>
      <w:r w:rsidRPr="00DE494B">
        <w:rPr>
          <w:b w:val="0"/>
          <w:bCs w:val="0"/>
          <w:sz w:val="28"/>
          <w:szCs w:val="28"/>
        </w:rPr>
        <w:t xml:space="preserve"> </w:t>
      </w:r>
      <w:r w:rsidR="00B029EA">
        <w:rPr>
          <w:b w:val="0"/>
          <w:bCs w:val="0"/>
          <w:sz w:val="28"/>
          <w:szCs w:val="28"/>
        </w:rPr>
        <w:t>1</w:t>
      </w:r>
      <w:r w:rsidRPr="00DE494B">
        <w:rPr>
          <w:b w:val="0"/>
          <w:bCs w:val="0"/>
          <w:sz w:val="28"/>
          <w:szCs w:val="28"/>
        </w:rPr>
        <w:t>,</w:t>
      </w:r>
      <w:r w:rsidR="00B029EA">
        <w:rPr>
          <w:b w:val="0"/>
          <w:bCs w:val="0"/>
          <w:sz w:val="28"/>
          <w:szCs w:val="28"/>
        </w:rPr>
        <w:t>9</w:t>
      </w:r>
      <w:r w:rsidRPr="00DE494B">
        <w:rPr>
          <w:b w:val="0"/>
          <w:bCs w:val="0"/>
          <w:sz w:val="28"/>
          <w:szCs w:val="28"/>
        </w:rPr>
        <w:t xml:space="preserve"> point</w:t>
      </w:r>
      <w:r w:rsidR="00B029EA">
        <w:rPr>
          <w:b w:val="0"/>
          <w:bCs w:val="0"/>
          <w:sz w:val="28"/>
          <w:szCs w:val="28"/>
        </w:rPr>
        <w:t xml:space="preserve"> au lieu de 0,2 point en 2014</w:t>
      </w:r>
      <w:r w:rsidRPr="00DE494B">
        <w:rPr>
          <w:b w:val="0"/>
          <w:bCs w:val="0"/>
          <w:sz w:val="28"/>
          <w:szCs w:val="28"/>
        </w:rPr>
        <w:t xml:space="preserve">. </w:t>
      </w:r>
    </w:p>
    <w:p w:rsidR="00DE494B" w:rsidRPr="00DE494B" w:rsidRDefault="00DE494B" w:rsidP="001051C5">
      <w:pPr>
        <w:widowControl w:val="0"/>
        <w:tabs>
          <w:tab w:val="left" w:pos="720"/>
        </w:tabs>
        <w:adjustRightInd w:val="0"/>
        <w:spacing w:before="200" w:after="240" w:line="400" w:lineRule="exact"/>
        <w:ind w:firstLine="720"/>
        <w:jc w:val="both"/>
        <w:rPr>
          <w:b w:val="0"/>
          <w:bCs w:val="0"/>
          <w:sz w:val="28"/>
          <w:szCs w:val="28"/>
        </w:rPr>
      </w:pPr>
      <w:r w:rsidRPr="00DE494B">
        <w:rPr>
          <w:b w:val="0"/>
          <w:bCs w:val="0"/>
          <w:sz w:val="28"/>
          <w:szCs w:val="28"/>
        </w:rPr>
        <w:t>Par ailleurs, les exportations de biens et services, continuant de bénéficier de l’amélioration de la demande mondiale adressée au Maroc, devraient enregistrer un accroissement de 6,7% en volume. De leur côté, les importations afficheraient une hausse de 7,</w:t>
      </w:r>
      <w:r w:rsidR="001051C5">
        <w:rPr>
          <w:b w:val="0"/>
          <w:bCs w:val="0"/>
          <w:sz w:val="28"/>
          <w:szCs w:val="28"/>
        </w:rPr>
        <w:t>7</w:t>
      </w:r>
      <w:r w:rsidRPr="00DE494B">
        <w:rPr>
          <w:b w:val="0"/>
          <w:bCs w:val="0"/>
          <w:sz w:val="28"/>
          <w:szCs w:val="28"/>
        </w:rPr>
        <w:t xml:space="preserve">% </w:t>
      </w:r>
      <w:r w:rsidR="00D947CF">
        <w:rPr>
          <w:b w:val="0"/>
          <w:bCs w:val="0"/>
          <w:sz w:val="28"/>
          <w:szCs w:val="28"/>
        </w:rPr>
        <w:t xml:space="preserve">en volume </w:t>
      </w:r>
      <w:r w:rsidRPr="00DE494B">
        <w:rPr>
          <w:b w:val="0"/>
          <w:bCs w:val="0"/>
          <w:sz w:val="28"/>
          <w:szCs w:val="28"/>
        </w:rPr>
        <w:t xml:space="preserve">au lieu de 4,7% en 2014. La demande extérieure </w:t>
      </w:r>
      <w:r w:rsidR="00D947CF">
        <w:rPr>
          <w:b w:val="0"/>
          <w:bCs w:val="0"/>
          <w:sz w:val="28"/>
          <w:szCs w:val="28"/>
        </w:rPr>
        <w:t xml:space="preserve">nette </w:t>
      </w:r>
      <w:r w:rsidRPr="00DE494B">
        <w:rPr>
          <w:b w:val="0"/>
          <w:bCs w:val="0"/>
          <w:sz w:val="28"/>
          <w:szCs w:val="28"/>
        </w:rPr>
        <w:t>devrait, ainsi, connaitre une contribution  négative à la croissance, de l’ordre de 1,</w:t>
      </w:r>
      <w:r w:rsidR="00926334">
        <w:rPr>
          <w:b w:val="0"/>
          <w:bCs w:val="0"/>
          <w:sz w:val="28"/>
          <w:szCs w:val="28"/>
        </w:rPr>
        <w:t>2</w:t>
      </w:r>
      <w:r w:rsidRPr="00DE494B">
        <w:rPr>
          <w:b w:val="0"/>
          <w:bCs w:val="0"/>
          <w:sz w:val="28"/>
          <w:szCs w:val="28"/>
        </w:rPr>
        <w:t xml:space="preserve"> point en 2015.</w:t>
      </w:r>
    </w:p>
    <w:p w:rsidR="00DE494B" w:rsidRDefault="00DE494B" w:rsidP="00D947CF">
      <w:pPr>
        <w:pStyle w:val="Sous-titre"/>
        <w:widowControl w:val="0"/>
        <w:spacing w:before="200" w:after="240" w:line="400" w:lineRule="exact"/>
        <w:ind w:firstLine="720"/>
        <w:jc w:val="mediumKashida"/>
        <w:rPr>
          <w:b w:val="0"/>
          <w:bCs w:val="0"/>
          <w:sz w:val="28"/>
          <w:szCs w:val="28"/>
        </w:rPr>
      </w:pPr>
      <w:r w:rsidRPr="00DE494B">
        <w:rPr>
          <w:b w:val="0"/>
          <w:bCs w:val="0"/>
          <w:sz w:val="28"/>
          <w:szCs w:val="28"/>
        </w:rPr>
        <w:t xml:space="preserve">En valeur, les exportations </w:t>
      </w:r>
      <w:r w:rsidRPr="00DE494B">
        <w:rPr>
          <w:b w:val="0"/>
          <w:bCs w:val="0"/>
          <w:sz w:val="28"/>
          <w:szCs w:val="28"/>
          <w:lang w:bidi="ar-SA"/>
        </w:rPr>
        <w:t xml:space="preserve">devraient enregistrer une </w:t>
      </w:r>
      <w:r w:rsidR="009071E8">
        <w:rPr>
          <w:b w:val="0"/>
          <w:bCs w:val="0"/>
          <w:sz w:val="28"/>
          <w:szCs w:val="28"/>
          <w:lang w:bidi="ar-SA"/>
        </w:rPr>
        <w:t xml:space="preserve">hausse </w:t>
      </w:r>
      <w:r w:rsidRPr="00DE494B">
        <w:rPr>
          <w:b w:val="0"/>
          <w:bCs w:val="0"/>
          <w:sz w:val="28"/>
          <w:szCs w:val="28"/>
          <w:lang w:bidi="ar-SA"/>
        </w:rPr>
        <w:t xml:space="preserve">de 4,8%. Les importations </w:t>
      </w:r>
      <w:r w:rsidR="009071E8">
        <w:rPr>
          <w:b w:val="0"/>
          <w:bCs w:val="0"/>
          <w:sz w:val="28"/>
          <w:szCs w:val="28"/>
          <w:lang w:bidi="ar-SA"/>
        </w:rPr>
        <w:t xml:space="preserve">connaitraient une progression </w:t>
      </w:r>
      <w:r w:rsidRPr="00DE494B">
        <w:rPr>
          <w:b w:val="0"/>
          <w:bCs w:val="0"/>
          <w:sz w:val="28"/>
          <w:szCs w:val="28"/>
          <w:lang w:bidi="ar-SA"/>
        </w:rPr>
        <w:t xml:space="preserve">de 3,9% sous </w:t>
      </w:r>
      <w:r w:rsidRPr="00DE494B">
        <w:rPr>
          <w:b w:val="0"/>
          <w:bCs w:val="0"/>
          <w:sz w:val="28"/>
          <w:szCs w:val="28"/>
        </w:rPr>
        <w:t>l’effet de la reprise prévue de l’économie nationale en 2015</w:t>
      </w:r>
      <w:r w:rsidR="00D947CF">
        <w:rPr>
          <w:b w:val="0"/>
          <w:bCs w:val="0"/>
          <w:sz w:val="28"/>
          <w:szCs w:val="28"/>
        </w:rPr>
        <w:t>,</w:t>
      </w:r>
      <w:r w:rsidRPr="00DE494B">
        <w:rPr>
          <w:b w:val="0"/>
          <w:bCs w:val="0"/>
          <w:sz w:val="28"/>
          <w:szCs w:val="28"/>
        </w:rPr>
        <w:t xml:space="preserve"> conjuguée à une poursuite de la baisse des prix des produits énergétiques et des autres matières premières </w:t>
      </w:r>
      <w:r w:rsidR="009071E8">
        <w:rPr>
          <w:b w:val="0"/>
          <w:bCs w:val="0"/>
          <w:sz w:val="28"/>
          <w:szCs w:val="28"/>
        </w:rPr>
        <w:t>sur le</w:t>
      </w:r>
      <w:r w:rsidRPr="00DE494B">
        <w:rPr>
          <w:b w:val="0"/>
          <w:bCs w:val="0"/>
          <w:sz w:val="28"/>
          <w:szCs w:val="28"/>
        </w:rPr>
        <w:t xml:space="preserve"> marché international.</w:t>
      </w:r>
      <w:r w:rsidR="00C04BB5">
        <w:rPr>
          <w:b w:val="0"/>
          <w:bCs w:val="0"/>
          <w:sz w:val="28"/>
          <w:szCs w:val="28"/>
        </w:rPr>
        <w:t xml:space="preserve"> La balance </w:t>
      </w:r>
      <w:r w:rsidR="00D947CF">
        <w:rPr>
          <w:b w:val="0"/>
          <w:bCs w:val="0"/>
          <w:sz w:val="28"/>
          <w:szCs w:val="28"/>
        </w:rPr>
        <w:t xml:space="preserve">en </w:t>
      </w:r>
      <w:r w:rsidR="00C04BB5">
        <w:rPr>
          <w:b w:val="0"/>
          <w:bCs w:val="0"/>
          <w:sz w:val="28"/>
          <w:szCs w:val="28"/>
        </w:rPr>
        <w:t xml:space="preserve"> ressources </w:t>
      </w:r>
      <w:r w:rsidR="00B42A1E">
        <w:rPr>
          <w:b w:val="0"/>
          <w:bCs w:val="0"/>
          <w:sz w:val="28"/>
          <w:szCs w:val="28"/>
        </w:rPr>
        <w:t>continuerait d’</w:t>
      </w:r>
      <w:r w:rsidR="00C04BB5">
        <w:rPr>
          <w:b w:val="0"/>
          <w:bCs w:val="0"/>
          <w:sz w:val="28"/>
          <w:szCs w:val="28"/>
        </w:rPr>
        <w:t>afficher</w:t>
      </w:r>
      <w:r w:rsidR="00D947CF">
        <w:rPr>
          <w:b w:val="0"/>
          <w:bCs w:val="0"/>
          <w:sz w:val="28"/>
          <w:szCs w:val="28"/>
        </w:rPr>
        <w:t>,</w:t>
      </w:r>
      <w:r w:rsidR="00C04BB5">
        <w:rPr>
          <w:b w:val="0"/>
          <w:bCs w:val="0"/>
          <w:sz w:val="28"/>
          <w:szCs w:val="28"/>
        </w:rPr>
        <w:t xml:space="preserve"> en </w:t>
      </w:r>
      <w:r w:rsidR="00BD2680">
        <w:rPr>
          <w:b w:val="0"/>
          <w:bCs w:val="0"/>
          <w:sz w:val="28"/>
          <w:szCs w:val="28"/>
        </w:rPr>
        <w:t>conséquence</w:t>
      </w:r>
      <w:r w:rsidR="00B42A1E">
        <w:rPr>
          <w:b w:val="0"/>
          <w:bCs w:val="0"/>
          <w:sz w:val="28"/>
          <w:szCs w:val="28"/>
        </w:rPr>
        <w:t xml:space="preserve">, un </w:t>
      </w:r>
      <w:r w:rsidR="008677BC">
        <w:rPr>
          <w:b w:val="0"/>
          <w:bCs w:val="0"/>
          <w:sz w:val="28"/>
          <w:szCs w:val="28"/>
        </w:rPr>
        <w:t>allégement</w:t>
      </w:r>
      <w:r w:rsidR="00B42A1E">
        <w:rPr>
          <w:b w:val="0"/>
          <w:bCs w:val="0"/>
          <w:sz w:val="28"/>
          <w:szCs w:val="28"/>
        </w:rPr>
        <w:t xml:space="preserve"> </w:t>
      </w:r>
      <w:r w:rsidR="008677BC">
        <w:rPr>
          <w:b w:val="0"/>
          <w:bCs w:val="0"/>
          <w:sz w:val="28"/>
          <w:szCs w:val="28"/>
        </w:rPr>
        <w:t xml:space="preserve">de </w:t>
      </w:r>
      <w:r w:rsidR="00D947CF">
        <w:rPr>
          <w:b w:val="0"/>
          <w:bCs w:val="0"/>
          <w:sz w:val="28"/>
          <w:szCs w:val="28"/>
        </w:rPr>
        <w:t xml:space="preserve">son déficit, pour se situer </w:t>
      </w:r>
      <w:r w:rsidR="00D11536">
        <w:rPr>
          <w:b w:val="0"/>
          <w:bCs w:val="0"/>
          <w:sz w:val="28"/>
          <w:szCs w:val="28"/>
        </w:rPr>
        <w:t xml:space="preserve">à </w:t>
      </w:r>
      <w:r w:rsidR="008677BC">
        <w:rPr>
          <w:b w:val="0"/>
          <w:bCs w:val="0"/>
          <w:sz w:val="28"/>
          <w:szCs w:val="28"/>
        </w:rPr>
        <w:t>11,8% en 2015.</w:t>
      </w:r>
      <w:r w:rsidRPr="00DE494B">
        <w:rPr>
          <w:b w:val="0"/>
          <w:bCs w:val="0"/>
          <w:sz w:val="28"/>
          <w:szCs w:val="28"/>
        </w:rPr>
        <w:t xml:space="preserve"> </w:t>
      </w:r>
    </w:p>
    <w:p w:rsidR="00DE494B" w:rsidRPr="00DE494B" w:rsidRDefault="00DE494B" w:rsidP="00DE494B">
      <w:pPr>
        <w:ind w:firstLine="708"/>
        <w:rPr>
          <w:rFonts w:ascii="Book Antiqua" w:hAnsi="Book Antiqua"/>
          <w:bCs w:val="0"/>
          <w:sz w:val="32"/>
          <w:szCs w:val="32"/>
          <w:u w:val="single"/>
        </w:rPr>
      </w:pPr>
      <w:r w:rsidRPr="00DE494B">
        <w:rPr>
          <w:rFonts w:ascii="Book Antiqua" w:hAnsi="Book Antiqua"/>
          <w:bCs w:val="0"/>
          <w:sz w:val="32"/>
          <w:szCs w:val="32"/>
          <w:u w:val="single"/>
        </w:rPr>
        <w:lastRenderedPageBreak/>
        <w:t>3.3</w:t>
      </w:r>
      <w:r w:rsidR="008677BC">
        <w:rPr>
          <w:rFonts w:ascii="Book Antiqua" w:hAnsi="Book Antiqua"/>
          <w:bCs w:val="0"/>
          <w:sz w:val="32"/>
          <w:szCs w:val="32"/>
          <w:u w:val="single"/>
        </w:rPr>
        <w:t>.</w:t>
      </w:r>
      <w:r w:rsidRPr="00DE494B">
        <w:rPr>
          <w:rFonts w:ascii="Book Antiqua" w:hAnsi="Book Antiqua"/>
          <w:bCs w:val="0"/>
          <w:sz w:val="32"/>
          <w:szCs w:val="32"/>
          <w:u w:val="single"/>
        </w:rPr>
        <w:t xml:space="preserve"> Le financement de l’économie</w:t>
      </w:r>
    </w:p>
    <w:p w:rsidR="00DE494B" w:rsidRPr="00DE494B" w:rsidRDefault="00480AE5" w:rsidP="00926334">
      <w:pPr>
        <w:widowControl w:val="0"/>
        <w:spacing w:before="200" w:after="240" w:line="400" w:lineRule="exact"/>
        <w:ind w:firstLine="720"/>
        <w:jc w:val="mediumKashida"/>
        <w:rPr>
          <w:b w:val="0"/>
          <w:bCs w:val="0"/>
          <w:sz w:val="28"/>
          <w:szCs w:val="28"/>
        </w:rPr>
      </w:pPr>
      <w:r>
        <w:rPr>
          <w:b w:val="0"/>
          <w:bCs w:val="0"/>
          <w:sz w:val="28"/>
          <w:szCs w:val="28"/>
        </w:rPr>
        <w:t>L</w:t>
      </w:r>
      <w:r w:rsidR="00DE494B" w:rsidRPr="00DE494B">
        <w:rPr>
          <w:b w:val="0"/>
          <w:bCs w:val="0"/>
          <w:sz w:val="28"/>
          <w:szCs w:val="28"/>
        </w:rPr>
        <w:t xml:space="preserve">’épargne nationale </w:t>
      </w:r>
      <w:r w:rsidR="00926334">
        <w:rPr>
          <w:b w:val="0"/>
          <w:bCs w:val="0"/>
          <w:sz w:val="28"/>
          <w:szCs w:val="28"/>
        </w:rPr>
        <w:t>se maintiendrait</w:t>
      </w:r>
      <w:r w:rsidR="00DE494B" w:rsidRPr="00DE494B">
        <w:rPr>
          <w:b w:val="0"/>
          <w:bCs w:val="0"/>
          <w:sz w:val="28"/>
          <w:szCs w:val="28"/>
        </w:rPr>
        <w:t xml:space="preserve"> à 2</w:t>
      </w:r>
      <w:r w:rsidR="00926334">
        <w:rPr>
          <w:b w:val="0"/>
          <w:bCs w:val="0"/>
          <w:sz w:val="28"/>
          <w:szCs w:val="28"/>
        </w:rPr>
        <w:t>5</w:t>
      </w:r>
      <w:r w:rsidR="00DE494B" w:rsidRPr="00DE494B">
        <w:rPr>
          <w:b w:val="0"/>
          <w:bCs w:val="0"/>
          <w:sz w:val="28"/>
          <w:szCs w:val="28"/>
        </w:rPr>
        <w:t>,</w:t>
      </w:r>
      <w:r w:rsidR="00926334">
        <w:rPr>
          <w:b w:val="0"/>
          <w:bCs w:val="0"/>
          <w:sz w:val="28"/>
          <w:szCs w:val="28"/>
        </w:rPr>
        <w:t>7</w:t>
      </w:r>
      <w:r w:rsidR="00DE494B" w:rsidRPr="00DE494B">
        <w:rPr>
          <w:b w:val="0"/>
          <w:bCs w:val="0"/>
          <w:sz w:val="28"/>
          <w:szCs w:val="28"/>
        </w:rPr>
        <w:t>% du PIB en 2015</w:t>
      </w:r>
      <w:r w:rsidR="00926334">
        <w:rPr>
          <w:b w:val="0"/>
          <w:bCs w:val="0"/>
          <w:sz w:val="28"/>
          <w:szCs w:val="28"/>
        </w:rPr>
        <w:t>.</w:t>
      </w:r>
      <w:r w:rsidR="00DE494B" w:rsidRPr="00DE494B">
        <w:rPr>
          <w:b w:val="0"/>
          <w:bCs w:val="0"/>
          <w:sz w:val="28"/>
          <w:szCs w:val="28"/>
        </w:rPr>
        <w:t xml:space="preserve"> Ce niveau d’épargne permettrait, ainsi, de financer une grande part de l’investissement brut qui représenterait 3</w:t>
      </w:r>
      <w:r w:rsidR="00926334">
        <w:rPr>
          <w:b w:val="0"/>
          <w:bCs w:val="0"/>
          <w:sz w:val="28"/>
          <w:szCs w:val="28"/>
        </w:rPr>
        <w:t>1</w:t>
      </w:r>
      <w:r w:rsidR="00DE494B" w:rsidRPr="00DE494B">
        <w:rPr>
          <w:b w:val="0"/>
          <w:bCs w:val="0"/>
          <w:sz w:val="28"/>
          <w:szCs w:val="28"/>
        </w:rPr>
        <w:t>,</w:t>
      </w:r>
      <w:r w:rsidR="00926334">
        <w:rPr>
          <w:b w:val="0"/>
          <w:bCs w:val="0"/>
          <w:sz w:val="28"/>
          <w:szCs w:val="28"/>
        </w:rPr>
        <w:t>9</w:t>
      </w:r>
      <w:r w:rsidR="00DE494B" w:rsidRPr="00DE494B">
        <w:rPr>
          <w:b w:val="0"/>
          <w:bCs w:val="0"/>
          <w:sz w:val="28"/>
          <w:szCs w:val="28"/>
        </w:rPr>
        <w:t>% du PIB en 2015. Le compte capital dégagerait, par conséquent, un besoin de financement d’environ 6,</w:t>
      </w:r>
      <w:r w:rsidR="00926334">
        <w:rPr>
          <w:b w:val="0"/>
          <w:bCs w:val="0"/>
          <w:sz w:val="28"/>
          <w:szCs w:val="28"/>
        </w:rPr>
        <w:t>2</w:t>
      </w:r>
      <w:r w:rsidR="00DE494B" w:rsidRPr="00DE494B">
        <w:rPr>
          <w:b w:val="0"/>
          <w:bCs w:val="0"/>
          <w:sz w:val="28"/>
          <w:szCs w:val="28"/>
        </w:rPr>
        <w:t xml:space="preserve">% du PIB en 2015, après les déficits de 6,0% du PIB en 2014 et 7,6% en 2013.  </w:t>
      </w:r>
    </w:p>
    <w:p w:rsidR="00756100" w:rsidRDefault="00830090" w:rsidP="00D11536">
      <w:pPr>
        <w:widowControl w:val="0"/>
        <w:adjustRightInd w:val="0"/>
        <w:spacing w:before="200" w:after="240" w:line="400" w:lineRule="exact"/>
        <w:ind w:firstLine="720"/>
        <w:jc w:val="mediumKashida"/>
        <w:rPr>
          <w:b w:val="0"/>
          <w:bCs w:val="0"/>
          <w:sz w:val="28"/>
          <w:szCs w:val="28"/>
        </w:rPr>
      </w:pPr>
      <w:r w:rsidRPr="00830090">
        <w:rPr>
          <w:b w:val="0"/>
          <w:bCs w:val="0"/>
          <w:sz w:val="28"/>
          <w:szCs w:val="28"/>
        </w:rPr>
        <w:t>Parallèlement, les finances publiques devraient continuer d’enregistrer un allégement du déficit budgétaire qui serait de l’ordre de 4,5% du PIB en 2015, après celui de 5% estimé pour 2014. Ce résultat serait d</w:t>
      </w:r>
      <w:r w:rsidR="00D947CF">
        <w:rPr>
          <w:b w:val="0"/>
          <w:bCs w:val="0"/>
          <w:sz w:val="28"/>
          <w:szCs w:val="28"/>
        </w:rPr>
        <w:t>û,</w:t>
      </w:r>
      <w:r w:rsidRPr="00830090">
        <w:rPr>
          <w:b w:val="0"/>
          <w:bCs w:val="0"/>
          <w:sz w:val="28"/>
          <w:szCs w:val="28"/>
        </w:rPr>
        <w:t xml:space="preserve"> notamment</w:t>
      </w:r>
      <w:r w:rsidR="00D947CF">
        <w:rPr>
          <w:b w:val="0"/>
          <w:bCs w:val="0"/>
          <w:sz w:val="28"/>
          <w:szCs w:val="28"/>
        </w:rPr>
        <w:t>,</w:t>
      </w:r>
      <w:r w:rsidRPr="00830090">
        <w:rPr>
          <w:b w:val="0"/>
          <w:bCs w:val="0"/>
          <w:sz w:val="28"/>
          <w:szCs w:val="28"/>
        </w:rPr>
        <w:t xml:space="preserve"> à la réduction des dépenses de compensation qui se limiteraient à 23 milliards et l’augmentation prévisible des recettes budgétaires</w:t>
      </w:r>
      <w:r w:rsidR="00D947CF">
        <w:rPr>
          <w:b w:val="0"/>
          <w:bCs w:val="0"/>
          <w:sz w:val="28"/>
          <w:szCs w:val="28"/>
        </w:rPr>
        <w:t>,</w:t>
      </w:r>
      <w:r w:rsidRPr="00830090">
        <w:rPr>
          <w:b w:val="0"/>
          <w:bCs w:val="0"/>
          <w:sz w:val="28"/>
          <w:szCs w:val="28"/>
        </w:rPr>
        <w:t xml:space="preserve"> particulièrement</w:t>
      </w:r>
      <w:r w:rsidR="00D947CF">
        <w:rPr>
          <w:b w:val="0"/>
          <w:bCs w:val="0"/>
          <w:sz w:val="28"/>
          <w:szCs w:val="28"/>
        </w:rPr>
        <w:t>,</w:t>
      </w:r>
      <w:r w:rsidRPr="00830090">
        <w:rPr>
          <w:b w:val="0"/>
          <w:bCs w:val="0"/>
          <w:sz w:val="28"/>
          <w:szCs w:val="28"/>
        </w:rPr>
        <w:t xml:space="preserve"> les recettes fiscales. Pour combler ce déficit, l’Etat ferait recours à des emprunts interne et externe, portant ainsi le taux d’endettement du Trésor à prés de 63,6%</w:t>
      </w:r>
      <w:r w:rsidR="00756100">
        <w:rPr>
          <w:b w:val="0"/>
          <w:bCs w:val="0"/>
          <w:sz w:val="28"/>
          <w:szCs w:val="28"/>
        </w:rPr>
        <w:t xml:space="preserve"> du PIB</w:t>
      </w:r>
      <w:r w:rsidRPr="00830090">
        <w:rPr>
          <w:b w:val="0"/>
          <w:bCs w:val="0"/>
          <w:sz w:val="28"/>
          <w:szCs w:val="28"/>
        </w:rPr>
        <w:t xml:space="preserve">. </w:t>
      </w:r>
      <w:r w:rsidR="00D947CF">
        <w:rPr>
          <w:b w:val="0"/>
          <w:bCs w:val="0"/>
          <w:sz w:val="28"/>
          <w:szCs w:val="28"/>
        </w:rPr>
        <w:t>L</w:t>
      </w:r>
      <w:r w:rsidRPr="00830090">
        <w:rPr>
          <w:b w:val="0"/>
          <w:bCs w:val="0"/>
          <w:sz w:val="28"/>
          <w:szCs w:val="28"/>
        </w:rPr>
        <w:t xml:space="preserve">a dette publique globale se stabiliserait </w:t>
      </w:r>
      <w:r w:rsidR="00756100">
        <w:rPr>
          <w:b w:val="0"/>
          <w:bCs w:val="0"/>
          <w:sz w:val="28"/>
          <w:szCs w:val="28"/>
        </w:rPr>
        <w:t xml:space="preserve">au même niveau prévu pour 2014 </w:t>
      </w:r>
      <w:r w:rsidRPr="00830090">
        <w:rPr>
          <w:b w:val="0"/>
          <w:bCs w:val="0"/>
          <w:sz w:val="28"/>
          <w:szCs w:val="28"/>
        </w:rPr>
        <w:t>à 78,6%</w:t>
      </w:r>
      <w:r w:rsidR="00756100">
        <w:rPr>
          <w:b w:val="0"/>
          <w:bCs w:val="0"/>
          <w:sz w:val="28"/>
          <w:szCs w:val="28"/>
        </w:rPr>
        <w:t xml:space="preserve">. </w:t>
      </w:r>
    </w:p>
    <w:p w:rsidR="00830090" w:rsidRPr="0079170F" w:rsidRDefault="00830090" w:rsidP="00756100">
      <w:pPr>
        <w:widowControl w:val="0"/>
        <w:adjustRightInd w:val="0"/>
        <w:spacing w:before="200" w:after="240" w:line="400" w:lineRule="exact"/>
        <w:ind w:firstLine="720"/>
        <w:jc w:val="mediumKashida"/>
        <w:rPr>
          <w:b w:val="0"/>
          <w:bCs w:val="0"/>
          <w:sz w:val="28"/>
          <w:szCs w:val="28"/>
        </w:rPr>
      </w:pPr>
      <w:r w:rsidRPr="00830090">
        <w:rPr>
          <w:b w:val="0"/>
          <w:bCs w:val="0"/>
          <w:sz w:val="28"/>
          <w:szCs w:val="28"/>
        </w:rPr>
        <w:t>En prenant en considération les perspectives de croissance économique en 2015 et de la hausse modérée des prix, la masse monétaire devrait s’accroitre de près de 5,3%. Les réserves internationales nettes assureraient le recouvrement d’environ 5 mois et 6 jours d’importations de biens et services. Le crédit bancaire resterait peu dynamique avec une augmentation de prés de 4,2% prévue en 2015 au lieu de 3,5% en 2014.</w:t>
      </w:r>
      <w:r w:rsidRPr="00DE494B">
        <w:rPr>
          <w:b w:val="0"/>
          <w:bCs w:val="0"/>
          <w:sz w:val="28"/>
          <w:szCs w:val="28"/>
        </w:rPr>
        <w:t xml:space="preserve"> </w:t>
      </w:r>
    </w:p>
    <w:p w:rsidR="00480AE5" w:rsidRDefault="00830090" w:rsidP="00932635">
      <w:pPr>
        <w:spacing w:before="200" w:after="240" w:line="400" w:lineRule="exact"/>
        <w:ind w:firstLine="720"/>
        <w:jc w:val="mediumKashida"/>
        <w:rPr>
          <w:sz w:val="28"/>
          <w:szCs w:val="28"/>
        </w:rPr>
      </w:pPr>
      <w:r w:rsidRPr="0079170F">
        <w:rPr>
          <w:b w:val="0"/>
          <w:bCs w:val="0"/>
          <w:sz w:val="28"/>
          <w:szCs w:val="28"/>
        </w:rPr>
        <w:tab/>
      </w:r>
      <w:r w:rsidRPr="0079170F">
        <w:rPr>
          <w:sz w:val="28"/>
          <w:szCs w:val="28"/>
        </w:rPr>
        <w:tab/>
      </w:r>
    </w:p>
    <w:p w:rsidR="007719BE" w:rsidRDefault="007719BE">
      <w:pPr>
        <w:rPr>
          <w:b w:val="0"/>
          <w:bCs w:val="0"/>
          <w:sz w:val="28"/>
          <w:szCs w:val="28"/>
        </w:rPr>
      </w:pPr>
      <w:r>
        <w:rPr>
          <w:b w:val="0"/>
          <w:bCs w:val="0"/>
          <w:sz w:val="28"/>
          <w:szCs w:val="28"/>
        </w:rPr>
        <w:br w:type="page"/>
      </w:r>
    </w:p>
    <w:p w:rsidR="007719BE" w:rsidRPr="007719BE" w:rsidRDefault="007719BE" w:rsidP="007719BE">
      <w:pPr>
        <w:widowControl w:val="0"/>
        <w:autoSpaceDE w:val="0"/>
        <w:autoSpaceDN w:val="0"/>
        <w:adjustRightInd w:val="0"/>
        <w:spacing w:before="200" w:after="240"/>
        <w:jc w:val="center"/>
        <w:rPr>
          <w:sz w:val="28"/>
          <w:szCs w:val="28"/>
        </w:rPr>
      </w:pPr>
      <w:r w:rsidRPr="007719BE">
        <w:rPr>
          <w:sz w:val="28"/>
          <w:szCs w:val="28"/>
        </w:rPr>
        <w:lastRenderedPageBreak/>
        <w:t>Quelques questions suggérées pour un débat</w:t>
      </w:r>
    </w:p>
    <w:p w:rsidR="007719BE" w:rsidRPr="007719BE" w:rsidRDefault="007719BE" w:rsidP="007719BE">
      <w:pPr>
        <w:widowControl w:val="0"/>
        <w:autoSpaceDE w:val="0"/>
        <w:autoSpaceDN w:val="0"/>
        <w:adjustRightInd w:val="0"/>
        <w:spacing w:before="200" w:after="240"/>
        <w:jc w:val="center"/>
        <w:rPr>
          <w:sz w:val="28"/>
          <w:szCs w:val="28"/>
        </w:rPr>
      </w:pPr>
      <w:r w:rsidRPr="007719BE">
        <w:rPr>
          <w:sz w:val="28"/>
          <w:szCs w:val="28"/>
        </w:rPr>
        <w:t>autour du Budget économique Prévisionnel 2015</w:t>
      </w:r>
    </w:p>
    <w:p w:rsidR="007719BE" w:rsidRPr="007719BE" w:rsidRDefault="007719BE" w:rsidP="007719BE">
      <w:pPr>
        <w:widowControl w:val="0"/>
        <w:autoSpaceDE w:val="0"/>
        <w:autoSpaceDN w:val="0"/>
        <w:adjustRightInd w:val="0"/>
        <w:spacing w:before="200" w:after="240" w:line="400" w:lineRule="exact"/>
        <w:jc w:val="center"/>
        <w:rPr>
          <w:b w:val="0"/>
          <w:bCs w:val="0"/>
          <w:sz w:val="28"/>
          <w:szCs w:val="28"/>
        </w:rPr>
      </w:pPr>
    </w:p>
    <w:p w:rsidR="007719BE" w:rsidRPr="007719BE" w:rsidRDefault="007719BE" w:rsidP="007719BE">
      <w:pPr>
        <w:widowControl w:val="0"/>
        <w:numPr>
          <w:ilvl w:val="0"/>
          <w:numId w:val="30"/>
        </w:numPr>
        <w:autoSpaceDE w:val="0"/>
        <w:autoSpaceDN w:val="0"/>
        <w:adjustRightInd w:val="0"/>
        <w:spacing w:before="200" w:after="240" w:line="400" w:lineRule="exact"/>
        <w:jc w:val="mediumKashida"/>
        <w:rPr>
          <w:b w:val="0"/>
          <w:bCs w:val="0"/>
        </w:rPr>
      </w:pPr>
      <w:r w:rsidRPr="007719BE">
        <w:rPr>
          <w:b w:val="0"/>
          <w:bCs w:val="0"/>
        </w:rPr>
        <w:t xml:space="preserve">L’année 2015 s’annonce sous de bons auspices. La campagne agricole serait l’une des meilleures qu’ait connu le Maroc, la demande extérieure qui resterait sur sa tendance haussière, consolidant l’amélioration des activités du secteur non agricole. Globalement, la croissance économique serait de 4,8% au lieu de 2,6%, en 2014. Le taux de chômage devrait amorcer son inversion et, avec une faible augmentation de l’inflation, les ménages amélioreraient leur consommation. </w:t>
      </w:r>
    </w:p>
    <w:p w:rsidR="007719BE" w:rsidRPr="007719BE" w:rsidRDefault="007719BE" w:rsidP="007719BE">
      <w:pPr>
        <w:widowControl w:val="0"/>
        <w:numPr>
          <w:ilvl w:val="0"/>
          <w:numId w:val="30"/>
        </w:numPr>
        <w:autoSpaceDE w:val="0"/>
        <w:autoSpaceDN w:val="0"/>
        <w:adjustRightInd w:val="0"/>
        <w:spacing w:before="200" w:after="240" w:line="400" w:lineRule="exact"/>
        <w:jc w:val="mediumKashida"/>
        <w:rPr>
          <w:b w:val="0"/>
          <w:bCs w:val="0"/>
        </w:rPr>
      </w:pPr>
      <w:r w:rsidRPr="007719BE">
        <w:rPr>
          <w:b w:val="0"/>
          <w:bCs w:val="0"/>
        </w:rPr>
        <w:t>Après la mise en œuvre en 2014 de la réforme, longtemps attendue, de la Caisse de Compensation, la politique budgétaire aurait su mettre les retombés des relations internationales du Royaume ainsi que l’apport des avoirs des marocains résidant à l’extérieur pour atténuer les déficits du budget et de la balance des paiements. Cette vertueuse dynamique devrait se poursuivre en 2015, par la réforme à l’ordre du jour du système de retraite, pour s’étendre à la réforme des structures administratives, voire au mode de rémunération des agents de l’Etat, dans la perspective, notamment, de la régionalisation avancée. Cette dynamique devrait tirer le meilleur profit du contexte international de baisse des prix du pétrole et des matières premières.</w:t>
      </w:r>
    </w:p>
    <w:p w:rsidR="007719BE" w:rsidRPr="007719BE" w:rsidRDefault="007719BE" w:rsidP="007719BE">
      <w:pPr>
        <w:widowControl w:val="0"/>
        <w:numPr>
          <w:ilvl w:val="0"/>
          <w:numId w:val="30"/>
        </w:numPr>
        <w:autoSpaceDE w:val="0"/>
        <w:autoSpaceDN w:val="0"/>
        <w:adjustRightInd w:val="0"/>
        <w:spacing w:before="200" w:after="240" w:line="400" w:lineRule="exact"/>
        <w:jc w:val="mediumKashida"/>
        <w:rPr>
          <w:b w:val="0"/>
          <w:bCs w:val="0"/>
        </w:rPr>
      </w:pPr>
      <w:r w:rsidRPr="007719BE">
        <w:rPr>
          <w:b w:val="0"/>
          <w:bCs w:val="0"/>
        </w:rPr>
        <w:t>Sans bouder notre bonheur pour de telles perspectives, il convient, cependant, de mesurer les défis qu’affronte notre pays et que peuvent, d’autant plus, porter les périodes fastes. Les retournements de conjoncture, les incertitudes de la situation géopolitique internationale, les perspectives probables d’aggravation de la situation sécuritaire dans la région, devraient nous inciter à sauvegarder notre capacité nationale de mobilisation pour défendre notre pays et poursuivre les réformes structurelles nécessaires pour réduire les fragilités de notre modèle économique.</w:t>
      </w:r>
    </w:p>
    <w:p w:rsidR="007719BE" w:rsidRPr="007719BE" w:rsidRDefault="007719BE" w:rsidP="007719BE">
      <w:pPr>
        <w:widowControl w:val="0"/>
        <w:numPr>
          <w:ilvl w:val="0"/>
          <w:numId w:val="30"/>
        </w:numPr>
        <w:autoSpaceDE w:val="0"/>
        <w:autoSpaceDN w:val="0"/>
        <w:adjustRightInd w:val="0"/>
        <w:spacing w:before="200" w:after="240" w:line="400" w:lineRule="exact"/>
        <w:jc w:val="mediumKashida"/>
        <w:rPr>
          <w:b w:val="0"/>
          <w:bCs w:val="0"/>
        </w:rPr>
      </w:pPr>
      <w:r w:rsidRPr="007719BE">
        <w:rPr>
          <w:b w:val="0"/>
          <w:bCs w:val="0"/>
        </w:rPr>
        <w:t xml:space="preserve">Il est impératif, à cet effet, que notre pays redouble de vigilance dans un contexte d’une baisse continue de l’épargne nationale, pour assurer la soutenabilité des finances publiques et de l’activité économique. </w:t>
      </w:r>
    </w:p>
    <w:p w:rsidR="007719BE" w:rsidRPr="007719BE" w:rsidRDefault="007719BE" w:rsidP="007719BE">
      <w:pPr>
        <w:widowControl w:val="0"/>
        <w:autoSpaceDE w:val="0"/>
        <w:autoSpaceDN w:val="0"/>
        <w:adjustRightInd w:val="0"/>
        <w:spacing w:before="200" w:after="240" w:line="400" w:lineRule="exact"/>
        <w:ind w:left="708"/>
        <w:jc w:val="mediumKashida"/>
        <w:rPr>
          <w:b w:val="0"/>
          <w:bCs w:val="0"/>
        </w:rPr>
      </w:pPr>
      <w:r w:rsidRPr="007719BE">
        <w:rPr>
          <w:b w:val="0"/>
          <w:bCs w:val="0"/>
        </w:rPr>
        <w:br w:type="page"/>
      </w:r>
      <w:r w:rsidRPr="007719BE">
        <w:rPr>
          <w:b w:val="0"/>
          <w:bCs w:val="0"/>
        </w:rPr>
        <w:lastRenderedPageBreak/>
        <w:t xml:space="preserve">Il est à rappeler que le coût de gestion de l’Etat n’a cessé de peser sur les finances publiques. Entre 2010 et 2014, la masse salariale, en particulier, a connu un taux moyen de progression annuelle de 7% pour représenter plus de 11% du PIB aujourd’hui, l’un des taux les plus élevés de la région. En 2014, ce serait les recettes exceptionnelles qui, avec 1,7% du PIB auraient contribué à la baisse du déficit budgétaire. Par ailleurs, la capacité d’endettement du Trésor atteindrait ses limites. Le taux d’endettement du Trésor aurait augmenté de 14 points du PIB, entre 2010 et 2014, alors que la seule stabilisation de ce taux impliquerait que le déficit primaire qui avait atteint une moyenne de 3% du PIB, entre 2010 et 2014, soit ramené à </w:t>
      </w:r>
      <w:r w:rsidR="009C6AED">
        <w:rPr>
          <w:b w:val="0"/>
          <w:bCs w:val="0"/>
        </w:rPr>
        <w:t xml:space="preserve">un surplus de </w:t>
      </w:r>
      <w:r w:rsidRPr="007719BE">
        <w:rPr>
          <w:b w:val="0"/>
          <w:bCs w:val="0"/>
        </w:rPr>
        <w:t>0,8% du PIB. Sauf à accepter de recourir, de plus en plus, à une baisse d’investissement indispensable pour l’avenir de notre croissance.</w:t>
      </w:r>
    </w:p>
    <w:p w:rsidR="007719BE" w:rsidRPr="007719BE" w:rsidRDefault="007719BE" w:rsidP="007719BE">
      <w:pPr>
        <w:widowControl w:val="0"/>
        <w:numPr>
          <w:ilvl w:val="0"/>
          <w:numId w:val="30"/>
        </w:numPr>
        <w:autoSpaceDE w:val="0"/>
        <w:autoSpaceDN w:val="0"/>
        <w:adjustRightInd w:val="0"/>
        <w:spacing w:before="200" w:after="240" w:line="400" w:lineRule="exact"/>
        <w:jc w:val="mediumKashida"/>
        <w:rPr>
          <w:b w:val="0"/>
          <w:bCs w:val="0"/>
        </w:rPr>
      </w:pPr>
      <w:r w:rsidRPr="007719BE">
        <w:rPr>
          <w:b w:val="0"/>
          <w:bCs w:val="0"/>
        </w:rPr>
        <w:t xml:space="preserve">Par ailleurs, parier sur la politique monétaire pour relancer la demande intérieure et la production serait plutôt problématique. Le taux de croissance du crédit bancaire n’aurait pas dépassé 3,5% en 2014 au lieu de 3,9% en 2013 et serait resté très loin du taux de 15% en moyenne annuelle durant la période 2000-2008.  </w:t>
      </w:r>
    </w:p>
    <w:p w:rsidR="007719BE" w:rsidRPr="007719BE" w:rsidRDefault="007719BE" w:rsidP="007719BE">
      <w:pPr>
        <w:widowControl w:val="0"/>
        <w:autoSpaceDE w:val="0"/>
        <w:autoSpaceDN w:val="0"/>
        <w:adjustRightInd w:val="0"/>
        <w:spacing w:before="200" w:after="240" w:line="400" w:lineRule="exact"/>
        <w:ind w:left="708"/>
        <w:jc w:val="mediumKashida"/>
        <w:rPr>
          <w:b w:val="0"/>
          <w:bCs w:val="0"/>
        </w:rPr>
      </w:pPr>
      <w:r w:rsidRPr="007719BE">
        <w:rPr>
          <w:b w:val="0"/>
          <w:bCs w:val="0"/>
        </w:rPr>
        <w:t>La réduction du taux directeur par la Banque Centrale ne semblerait pas devoir infléchir, de manière significative, cette tendance. Celle-ci devrait plutôt s’expliquer par la contraction observée des avoirs en devises en raison de la dépendance de la liquidité monétaire de ces dernières. Cet ajustement interne et dans notre contexte de régime de change fixe, est le prix à payer pour conserver le niveau de réserves de change pour plus de confiance dans l’économie nationale.</w:t>
      </w:r>
    </w:p>
    <w:p w:rsidR="007719BE" w:rsidRPr="007719BE" w:rsidRDefault="007719BE" w:rsidP="007719BE">
      <w:pPr>
        <w:widowControl w:val="0"/>
        <w:autoSpaceDE w:val="0"/>
        <w:autoSpaceDN w:val="0"/>
        <w:adjustRightInd w:val="0"/>
        <w:spacing w:before="200" w:after="240" w:line="400" w:lineRule="exact"/>
        <w:ind w:left="708"/>
        <w:jc w:val="mediumKashida"/>
        <w:rPr>
          <w:b w:val="0"/>
          <w:bCs w:val="0"/>
        </w:rPr>
      </w:pPr>
      <w:r w:rsidRPr="007719BE">
        <w:rPr>
          <w:b w:val="0"/>
          <w:bCs w:val="0"/>
        </w:rPr>
        <w:t xml:space="preserve">Cette tendance est, par ailleurs, confortée par la perception du risque de défaut par les banques. Il existe une corrélation négative (-0.4) entre le cycle de la croissance non agricole et l’évolution des créances en souffrance. Le rationnement du crédit par les banques qui en résulte laisserait présager une faible capacité de manœuvre des instruments institutionnels de la politique monétaire adoptée par Bank Al-Maghrib. </w:t>
      </w:r>
    </w:p>
    <w:p w:rsidR="007719BE" w:rsidRPr="007719BE" w:rsidRDefault="007719BE" w:rsidP="007719BE">
      <w:pPr>
        <w:widowControl w:val="0"/>
        <w:numPr>
          <w:ilvl w:val="0"/>
          <w:numId w:val="30"/>
        </w:numPr>
        <w:autoSpaceDE w:val="0"/>
        <w:autoSpaceDN w:val="0"/>
        <w:adjustRightInd w:val="0"/>
        <w:spacing w:before="200" w:after="240" w:line="400" w:lineRule="exact"/>
        <w:jc w:val="mediumKashida"/>
        <w:rPr>
          <w:b w:val="0"/>
          <w:bCs w:val="0"/>
        </w:rPr>
      </w:pPr>
      <w:r w:rsidRPr="007719BE">
        <w:rPr>
          <w:b w:val="0"/>
          <w:bCs w:val="0"/>
        </w:rPr>
        <w:t xml:space="preserve">En fait, les fragilités de notre modèle de croissance et de notre cadre macroéconomique trouvent leur origine dans la faible capacité de notre pays à dégager l’épargne nécessaire pour créer son financement endogène. Ceci renvoie à la nature de nos structures économiques qui restent caractérisées par </w:t>
      </w:r>
      <w:r w:rsidRPr="007719BE">
        <w:rPr>
          <w:b w:val="0"/>
          <w:bCs w:val="0"/>
        </w:rPr>
        <w:lastRenderedPageBreak/>
        <w:t>une réallocation des facteurs de production vers les secteurs des non-échangeables au détriment des échangeables.</w:t>
      </w:r>
    </w:p>
    <w:p w:rsidR="007719BE" w:rsidRPr="007719BE" w:rsidRDefault="007719BE" w:rsidP="00D41F58">
      <w:pPr>
        <w:widowControl w:val="0"/>
        <w:numPr>
          <w:ilvl w:val="0"/>
          <w:numId w:val="30"/>
        </w:numPr>
        <w:autoSpaceDE w:val="0"/>
        <w:autoSpaceDN w:val="0"/>
        <w:adjustRightInd w:val="0"/>
        <w:spacing w:before="200" w:after="240" w:line="400" w:lineRule="exact"/>
        <w:jc w:val="mediumKashida"/>
        <w:rPr>
          <w:b w:val="0"/>
          <w:bCs w:val="0"/>
        </w:rPr>
      </w:pPr>
      <w:r w:rsidRPr="007719BE">
        <w:rPr>
          <w:b w:val="0"/>
          <w:bCs w:val="0"/>
        </w:rPr>
        <w:t>L’analyse de l’impact de la baisse des prix énergétiques sur les différents agrégats économiques donne, à cet égard, un éclairage pertinent sur cette question. Nos simulations de cet impact montrent que cette baisse renforcerait la contribution de la consommation finale de 2 points à la croissance économique et l’investissement de 0,7 point. En raison de la fuite de 1,6 point des gains apportés par la demande intérieure vers les importations, la croissance ne serait que d’un demi-point. L’amélioration de la compétitivité des exportations qui devrait être attendue de la baisse des prix du pétrole (effet prix) n’aurait pas été optimale, en raison de l’effet de la décompensation (effet revenu).</w:t>
      </w:r>
    </w:p>
    <w:p w:rsidR="00D57677" w:rsidRDefault="00D57677" w:rsidP="00932635">
      <w:pPr>
        <w:spacing w:before="200" w:after="240" w:line="400" w:lineRule="exact"/>
        <w:ind w:firstLine="720"/>
        <w:jc w:val="mediumKashida"/>
        <w:rPr>
          <w:sz w:val="28"/>
          <w:szCs w:val="28"/>
        </w:rPr>
      </w:pPr>
    </w:p>
    <w:p w:rsidR="00D57677" w:rsidRDefault="00D57677" w:rsidP="00932635">
      <w:pPr>
        <w:spacing w:before="200" w:after="240" w:line="400" w:lineRule="exact"/>
        <w:ind w:firstLine="720"/>
        <w:jc w:val="mediumKashida"/>
        <w:rPr>
          <w:sz w:val="28"/>
          <w:szCs w:val="28"/>
        </w:rPr>
      </w:pPr>
    </w:p>
    <w:p w:rsidR="00D57677" w:rsidRDefault="00D57677" w:rsidP="00932635">
      <w:pPr>
        <w:spacing w:before="200" w:after="240" w:line="400" w:lineRule="exact"/>
        <w:ind w:firstLine="720"/>
        <w:jc w:val="mediumKashida"/>
        <w:rPr>
          <w:sz w:val="28"/>
          <w:szCs w:val="28"/>
        </w:rPr>
      </w:pPr>
    </w:p>
    <w:p w:rsidR="00D57677" w:rsidRDefault="00D57677" w:rsidP="00932635">
      <w:pPr>
        <w:spacing w:before="200" w:after="240" w:line="400" w:lineRule="exact"/>
        <w:ind w:firstLine="720"/>
        <w:jc w:val="mediumKashida"/>
        <w:rPr>
          <w:sz w:val="28"/>
          <w:szCs w:val="28"/>
        </w:rPr>
      </w:pPr>
    </w:p>
    <w:p w:rsidR="00D57677" w:rsidRDefault="00D57677" w:rsidP="00932635">
      <w:pPr>
        <w:spacing w:before="200" w:after="240" w:line="400" w:lineRule="exact"/>
        <w:ind w:firstLine="720"/>
        <w:jc w:val="mediumKashida"/>
        <w:rPr>
          <w:sz w:val="28"/>
          <w:szCs w:val="28"/>
        </w:rPr>
      </w:pPr>
    </w:p>
    <w:p w:rsidR="00D57677" w:rsidRDefault="00D57677" w:rsidP="00932635">
      <w:pPr>
        <w:spacing w:before="200" w:after="240" w:line="400" w:lineRule="exact"/>
        <w:ind w:firstLine="720"/>
        <w:jc w:val="mediumKashida"/>
        <w:rPr>
          <w:sz w:val="28"/>
          <w:szCs w:val="28"/>
        </w:rPr>
      </w:pPr>
    </w:p>
    <w:p w:rsidR="007719BE" w:rsidRDefault="00DC267E" w:rsidP="004A6764">
      <w:pPr>
        <w:widowControl w:val="0"/>
        <w:adjustRightInd w:val="0"/>
        <w:spacing w:after="360"/>
        <w:ind w:firstLine="708"/>
        <w:jc w:val="lowKashida"/>
      </w:pPr>
      <w:r>
        <w:t xml:space="preserve">         </w:t>
      </w:r>
      <w:r w:rsidR="004A6764">
        <w:t xml:space="preserve">        </w:t>
      </w:r>
    </w:p>
    <w:p w:rsidR="007719BE" w:rsidRDefault="007719BE">
      <w:r>
        <w:br w:type="page"/>
      </w:r>
    </w:p>
    <w:p w:rsidR="004A6764" w:rsidRPr="00142680" w:rsidRDefault="004A6764" w:rsidP="007719BE">
      <w:pPr>
        <w:widowControl w:val="0"/>
        <w:adjustRightInd w:val="0"/>
        <w:spacing w:after="360"/>
        <w:ind w:firstLine="708"/>
        <w:jc w:val="center"/>
      </w:pPr>
      <w:r w:rsidRPr="00142680">
        <w:lastRenderedPageBreak/>
        <w:t>EVOLUTION DU PRODUIT INTERIEUR BRUT</w:t>
      </w:r>
    </w:p>
    <w:p w:rsidR="004A6764" w:rsidRPr="00142680" w:rsidRDefault="004A6764" w:rsidP="004A6764">
      <w:pPr>
        <w:autoSpaceDE w:val="0"/>
        <w:autoSpaceDN w:val="0"/>
        <w:adjustRightInd w:val="0"/>
        <w:ind w:left="-900" w:right="-288"/>
        <w:jc w:val="center"/>
      </w:pPr>
      <w:r w:rsidRPr="00142680">
        <w:t xml:space="preserve">            En volume selon les prix de l’année précédente (En %)</w:t>
      </w:r>
    </w:p>
    <w:p w:rsidR="004A6764" w:rsidRPr="00735CAD" w:rsidRDefault="004A6764" w:rsidP="004A6764">
      <w:pPr>
        <w:autoSpaceDE w:val="0"/>
        <w:autoSpaceDN w:val="0"/>
        <w:adjustRightInd w:val="0"/>
        <w:ind w:left="-900" w:right="-288"/>
        <w:jc w:val="center"/>
        <w:rPr>
          <w:color w:val="00B050"/>
          <w:sz w:val="26"/>
          <w:szCs w:val="26"/>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032"/>
        <w:gridCol w:w="1032"/>
        <w:gridCol w:w="1032"/>
        <w:gridCol w:w="1089"/>
      </w:tblGrid>
      <w:tr w:rsidR="004A6764" w:rsidRPr="00735CAD" w:rsidTr="00E8181A">
        <w:trPr>
          <w:trHeight w:val="343"/>
          <w:jc w:val="center"/>
        </w:trPr>
        <w:tc>
          <w:tcPr>
            <w:tcW w:w="5142" w:type="dxa"/>
          </w:tcPr>
          <w:p w:rsidR="004A6764" w:rsidRPr="00735CAD" w:rsidRDefault="004A6764" w:rsidP="00E8181A">
            <w:pPr>
              <w:bidi/>
              <w:spacing w:line="320" w:lineRule="exact"/>
              <w:jc w:val="right"/>
              <w:rPr>
                <w:sz w:val="26"/>
                <w:szCs w:val="26"/>
                <w:lang w:bidi="ar-MA"/>
              </w:rPr>
            </w:pPr>
            <w:r w:rsidRPr="00735CAD">
              <w:rPr>
                <w:sz w:val="26"/>
                <w:szCs w:val="26"/>
                <w:lang w:bidi="ar-MA"/>
              </w:rPr>
              <w:t>Rubriques</w:t>
            </w:r>
          </w:p>
        </w:tc>
        <w:tc>
          <w:tcPr>
            <w:tcW w:w="1032" w:type="dxa"/>
            <w:shd w:val="clear" w:color="auto" w:fill="auto"/>
            <w:vAlign w:val="center"/>
          </w:tcPr>
          <w:p w:rsidR="004A6764" w:rsidRPr="00735CAD" w:rsidRDefault="004A6764" w:rsidP="00E8181A">
            <w:pPr>
              <w:bidi/>
              <w:spacing w:line="320" w:lineRule="exact"/>
              <w:jc w:val="right"/>
              <w:rPr>
                <w:sz w:val="26"/>
                <w:szCs w:val="26"/>
                <w:lang w:bidi="ar-MA"/>
              </w:rPr>
            </w:pPr>
            <w:r w:rsidRPr="00735CAD">
              <w:rPr>
                <w:sz w:val="26"/>
                <w:szCs w:val="26"/>
                <w:lang w:bidi="ar-MA"/>
              </w:rPr>
              <w:t>2012</w:t>
            </w:r>
          </w:p>
        </w:tc>
        <w:tc>
          <w:tcPr>
            <w:tcW w:w="1032" w:type="dxa"/>
            <w:shd w:val="clear" w:color="auto" w:fill="auto"/>
            <w:vAlign w:val="center"/>
          </w:tcPr>
          <w:p w:rsidR="004A6764" w:rsidRPr="00735CAD" w:rsidRDefault="004A6764" w:rsidP="00E8181A">
            <w:pPr>
              <w:bidi/>
              <w:spacing w:line="320" w:lineRule="exact"/>
              <w:jc w:val="right"/>
              <w:rPr>
                <w:sz w:val="26"/>
                <w:szCs w:val="26"/>
                <w:lang w:bidi="ar-MA"/>
              </w:rPr>
            </w:pPr>
            <w:r w:rsidRPr="00735CAD">
              <w:rPr>
                <w:sz w:val="26"/>
                <w:szCs w:val="26"/>
                <w:lang w:bidi="ar-MA"/>
              </w:rPr>
              <w:t>2013</w:t>
            </w:r>
          </w:p>
        </w:tc>
        <w:tc>
          <w:tcPr>
            <w:tcW w:w="1032" w:type="dxa"/>
            <w:shd w:val="clear" w:color="auto" w:fill="C6D9F1" w:themeFill="text2" w:themeFillTint="33"/>
            <w:vAlign w:val="center"/>
          </w:tcPr>
          <w:p w:rsidR="004A6764" w:rsidRPr="00735CAD" w:rsidRDefault="004A6764" w:rsidP="00E8181A">
            <w:pPr>
              <w:bidi/>
              <w:spacing w:line="320" w:lineRule="exact"/>
              <w:jc w:val="right"/>
              <w:rPr>
                <w:sz w:val="26"/>
                <w:szCs w:val="26"/>
                <w:lang w:bidi="ar-MA"/>
              </w:rPr>
            </w:pPr>
            <w:r w:rsidRPr="00735CAD">
              <w:rPr>
                <w:sz w:val="26"/>
                <w:szCs w:val="26"/>
                <w:lang w:bidi="ar-MA"/>
              </w:rPr>
              <w:t>2014*</w:t>
            </w:r>
          </w:p>
        </w:tc>
        <w:tc>
          <w:tcPr>
            <w:tcW w:w="1089" w:type="dxa"/>
            <w:shd w:val="clear" w:color="auto" w:fill="C6D9F1" w:themeFill="text2" w:themeFillTint="33"/>
            <w:vAlign w:val="center"/>
          </w:tcPr>
          <w:p w:rsidR="004A6764" w:rsidRPr="00735CAD" w:rsidRDefault="004A6764" w:rsidP="00E8181A">
            <w:pPr>
              <w:bidi/>
              <w:spacing w:line="320" w:lineRule="exact"/>
              <w:jc w:val="right"/>
              <w:rPr>
                <w:sz w:val="26"/>
                <w:szCs w:val="26"/>
                <w:lang w:bidi="ar-MA"/>
              </w:rPr>
            </w:pPr>
            <w:r w:rsidRPr="00735CAD">
              <w:rPr>
                <w:sz w:val="26"/>
                <w:szCs w:val="26"/>
                <w:lang w:bidi="ar-MA"/>
              </w:rPr>
              <w:t>2015**</w:t>
            </w:r>
          </w:p>
        </w:tc>
      </w:tr>
      <w:tr w:rsidR="004A6764" w:rsidRPr="00735CAD" w:rsidTr="00E8181A">
        <w:trPr>
          <w:trHeight w:val="3195"/>
          <w:jc w:val="center"/>
        </w:trPr>
        <w:tc>
          <w:tcPr>
            <w:tcW w:w="5142" w:type="dxa"/>
          </w:tcPr>
          <w:p w:rsidR="004A6764" w:rsidRPr="00735CAD" w:rsidRDefault="004A6764" w:rsidP="00E8181A">
            <w:pPr>
              <w:spacing w:line="320" w:lineRule="exact"/>
              <w:rPr>
                <w:sz w:val="26"/>
                <w:szCs w:val="26"/>
                <w:lang w:bidi="ar-MA"/>
              </w:rPr>
            </w:pPr>
          </w:p>
          <w:p w:rsidR="004A6764" w:rsidRPr="00735CAD" w:rsidRDefault="004A6764" w:rsidP="00E8181A">
            <w:pPr>
              <w:numPr>
                <w:ilvl w:val="0"/>
                <w:numId w:val="2"/>
              </w:numPr>
              <w:spacing w:line="320" w:lineRule="exact"/>
              <w:rPr>
                <w:sz w:val="26"/>
                <w:szCs w:val="26"/>
                <w:lang w:bidi="ar-MA"/>
              </w:rPr>
            </w:pPr>
            <w:r w:rsidRPr="00735CAD">
              <w:rPr>
                <w:sz w:val="26"/>
                <w:szCs w:val="26"/>
                <w:lang w:bidi="ar-MA"/>
              </w:rPr>
              <w:t>Valeur ajoutée du secteur Primaire…</w:t>
            </w:r>
          </w:p>
          <w:p w:rsidR="004A6764" w:rsidRPr="00735CAD" w:rsidRDefault="004A6764" w:rsidP="00E8181A">
            <w:pPr>
              <w:spacing w:line="320" w:lineRule="exact"/>
              <w:rPr>
                <w:sz w:val="26"/>
                <w:szCs w:val="26"/>
                <w:lang w:bidi="ar-MA"/>
              </w:rPr>
            </w:pPr>
          </w:p>
          <w:p w:rsidR="004A6764" w:rsidRPr="00735CAD" w:rsidRDefault="004A6764" w:rsidP="00E8181A">
            <w:pPr>
              <w:numPr>
                <w:ilvl w:val="0"/>
                <w:numId w:val="2"/>
              </w:numPr>
              <w:spacing w:line="320" w:lineRule="exact"/>
              <w:rPr>
                <w:sz w:val="26"/>
                <w:szCs w:val="26"/>
                <w:lang w:bidi="ar-MA"/>
              </w:rPr>
            </w:pPr>
            <w:r w:rsidRPr="00735CAD">
              <w:rPr>
                <w:sz w:val="26"/>
                <w:szCs w:val="26"/>
                <w:lang w:bidi="ar-MA"/>
              </w:rPr>
              <w:t>Valeurs ajoutées non agricoles</w:t>
            </w:r>
            <w:r w:rsidRPr="00735CAD">
              <w:rPr>
                <w:sz w:val="26"/>
                <w:szCs w:val="26"/>
                <w:lang w:val="it-IT" w:bidi="ar-MA"/>
              </w:rPr>
              <w:t>............</w:t>
            </w:r>
          </w:p>
          <w:p w:rsidR="004A6764" w:rsidRPr="00735CAD" w:rsidRDefault="004A6764" w:rsidP="00E8181A">
            <w:pPr>
              <w:spacing w:line="320" w:lineRule="exact"/>
              <w:rPr>
                <w:sz w:val="26"/>
                <w:szCs w:val="26"/>
                <w:lang w:bidi="ar-MA"/>
              </w:rPr>
            </w:pPr>
          </w:p>
          <w:p w:rsidR="004A6764" w:rsidRPr="00735CAD" w:rsidRDefault="004A6764" w:rsidP="00E8181A">
            <w:pPr>
              <w:numPr>
                <w:ilvl w:val="0"/>
                <w:numId w:val="3"/>
              </w:numPr>
              <w:tabs>
                <w:tab w:val="left" w:pos="-108"/>
              </w:tabs>
              <w:spacing w:line="320" w:lineRule="exact"/>
              <w:rPr>
                <w:b w:val="0"/>
                <w:sz w:val="26"/>
                <w:szCs w:val="26"/>
                <w:lang w:bidi="ar-MA"/>
              </w:rPr>
            </w:pPr>
            <w:r w:rsidRPr="00735CAD">
              <w:rPr>
                <w:b w:val="0"/>
                <w:sz w:val="26"/>
                <w:szCs w:val="26"/>
                <w:lang w:bidi="ar-MA"/>
              </w:rPr>
              <w:t>Secteur Secondaire………………</w:t>
            </w:r>
          </w:p>
          <w:p w:rsidR="004A6764" w:rsidRPr="00735CAD" w:rsidRDefault="004A6764" w:rsidP="00E8181A">
            <w:pPr>
              <w:spacing w:line="320" w:lineRule="exact"/>
              <w:ind w:left="360"/>
              <w:rPr>
                <w:b w:val="0"/>
                <w:sz w:val="26"/>
                <w:szCs w:val="26"/>
                <w:lang w:bidi="ar-MA"/>
              </w:rPr>
            </w:pPr>
          </w:p>
          <w:p w:rsidR="004A6764" w:rsidRPr="00735CAD" w:rsidRDefault="004A6764" w:rsidP="00E8181A">
            <w:pPr>
              <w:numPr>
                <w:ilvl w:val="0"/>
                <w:numId w:val="3"/>
              </w:numPr>
              <w:spacing w:line="320" w:lineRule="exact"/>
              <w:rPr>
                <w:b w:val="0"/>
                <w:sz w:val="26"/>
                <w:szCs w:val="26"/>
                <w:lang w:bidi="ar-MA"/>
              </w:rPr>
            </w:pPr>
            <w:r w:rsidRPr="00735CAD">
              <w:rPr>
                <w:b w:val="0"/>
                <w:sz w:val="26"/>
                <w:szCs w:val="26"/>
                <w:lang w:bidi="ar-MA"/>
              </w:rPr>
              <w:t>Secteur tertiaire…..……………...</w:t>
            </w:r>
          </w:p>
          <w:p w:rsidR="004A6764" w:rsidRPr="00735CAD" w:rsidRDefault="004A6764" w:rsidP="00E8181A">
            <w:pPr>
              <w:spacing w:line="320" w:lineRule="exact"/>
              <w:rPr>
                <w:sz w:val="26"/>
                <w:szCs w:val="26"/>
                <w:lang w:bidi="ar-MA"/>
              </w:rPr>
            </w:pPr>
          </w:p>
        </w:tc>
        <w:tc>
          <w:tcPr>
            <w:tcW w:w="1032" w:type="dxa"/>
          </w:tcPr>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sz w:val="26"/>
                <w:szCs w:val="26"/>
                <w:lang w:bidi="ar-MA"/>
              </w:rPr>
            </w:pPr>
            <w:r w:rsidRPr="00735CAD">
              <w:rPr>
                <w:sz w:val="26"/>
                <w:szCs w:val="26"/>
                <w:lang w:bidi="ar-MA"/>
              </w:rPr>
              <w:t>-7,2</w:t>
            </w:r>
          </w:p>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sz w:val="26"/>
                <w:szCs w:val="26"/>
                <w:lang w:bidi="ar-MA"/>
              </w:rPr>
            </w:pPr>
            <w:r w:rsidRPr="00735CAD">
              <w:rPr>
                <w:sz w:val="26"/>
                <w:szCs w:val="26"/>
                <w:lang w:bidi="ar-MA"/>
              </w:rPr>
              <w:t>4,3</w:t>
            </w:r>
          </w:p>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b w:val="0"/>
                <w:sz w:val="26"/>
                <w:szCs w:val="26"/>
                <w:lang w:bidi="ar-MA"/>
              </w:rPr>
            </w:pPr>
            <w:r w:rsidRPr="00735CAD">
              <w:rPr>
                <w:b w:val="0"/>
                <w:sz w:val="26"/>
                <w:szCs w:val="26"/>
                <w:lang w:bidi="ar-MA"/>
              </w:rPr>
              <w:t>1,3</w:t>
            </w:r>
          </w:p>
          <w:p w:rsidR="004A6764" w:rsidRPr="00735CAD" w:rsidRDefault="004A6764" w:rsidP="00E8181A">
            <w:pPr>
              <w:spacing w:line="320" w:lineRule="exact"/>
              <w:jc w:val="center"/>
              <w:rPr>
                <w:b w:val="0"/>
                <w:sz w:val="26"/>
                <w:szCs w:val="26"/>
                <w:lang w:bidi="ar-MA"/>
              </w:rPr>
            </w:pPr>
          </w:p>
          <w:p w:rsidR="004A6764" w:rsidRPr="00735CAD" w:rsidRDefault="004A6764" w:rsidP="00E8181A">
            <w:pPr>
              <w:spacing w:line="320" w:lineRule="exact"/>
              <w:jc w:val="center"/>
              <w:rPr>
                <w:sz w:val="26"/>
                <w:szCs w:val="26"/>
                <w:lang w:bidi="ar-MA"/>
              </w:rPr>
            </w:pPr>
            <w:r w:rsidRPr="00735CAD">
              <w:rPr>
                <w:b w:val="0"/>
                <w:sz w:val="26"/>
                <w:szCs w:val="26"/>
                <w:lang w:bidi="ar-MA"/>
              </w:rPr>
              <w:t>5,9</w:t>
            </w:r>
          </w:p>
        </w:tc>
        <w:tc>
          <w:tcPr>
            <w:tcW w:w="1032" w:type="dxa"/>
          </w:tcPr>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sz w:val="26"/>
                <w:szCs w:val="26"/>
                <w:lang w:bidi="ar-MA"/>
              </w:rPr>
            </w:pPr>
            <w:r w:rsidRPr="00735CAD">
              <w:rPr>
                <w:sz w:val="26"/>
                <w:szCs w:val="26"/>
                <w:lang w:bidi="ar-MA"/>
              </w:rPr>
              <w:t>18,7</w:t>
            </w:r>
          </w:p>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sz w:val="26"/>
                <w:szCs w:val="26"/>
                <w:lang w:bidi="ar-MA"/>
              </w:rPr>
            </w:pPr>
            <w:r>
              <w:rPr>
                <w:sz w:val="26"/>
                <w:szCs w:val="26"/>
                <w:lang w:bidi="ar-MA"/>
              </w:rPr>
              <w:t>1</w:t>
            </w:r>
            <w:r w:rsidRPr="00735CAD">
              <w:rPr>
                <w:sz w:val="26"/>
                <w:szCs w:val="26"/>
                <w:lang w:bidi="ar-MA"/>
              </w:rPr>
              <w:t>,</w:t>
            </w:r>
            <w:r>
              <w:rPr>
                <w:sz w:val="26"/>
                <w:szCs w:val="26"/>
                <w:lang w:bidi="ar-MA"/>
              </w:rPr>
              <w:t>8</w:t>
            </w:r>
          </w:p>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b w:val="0"/>
                <w:sz w:val="26"/>
                <w:szCs w:val="26"/>
                <w:lang w:bidi="ar-MA"/>
              </w:rPr>
            </w:pPr>
            <w:r>
              <w:rPr>
                <w:b w:val="0"/>
                <w:sz w:val="26"/>
                <w:szCs w:val="26"/>
                <w:lang w:bidi="ar-MA"/>
              </w:rPr>
              <w:t>0</w:t>
            </w:r>
            <w:r w:rsidRPr="00735CAD">
              <w:rPr>
                <w:b w:val="0"/>
                <w:sz w:val="26"/>
                <w:szCs w:val="26"/>
                <w:lang w:bidi="ar-MA"/>
              </w:rPr>
              <w:t>,</w:t>
            </w:r>
            <w:r>
              <w:rPr>
                <w:b w:val="0"/>
                <w:sz w:val="26"/>
                <w:szCs w:val="26"/>
                <w:lang w:bidi="ar-MA"/>
              </w:rPr>
              <w:t>3</w:t>
            </w:r>
          </w:p>
          <w:p w:rsidR="004A6764" w:rsidRPr="00735CAD" w:rsidRDefault="004A6764" w:rsidP="00E8181A">
            <w:pPr>
              <w:spacing w:line="320" w:lineRule="exact"/>
              <w:jc w:val="center"/>
              <w:rPr>
                <w:b w:val="0"/>
                <w:sz w:val="26"/>
                <w:szCs w:val="26"/>
                <w:lang w:bidi="ar-MA"/>
              </w:rPr>
            </w:pPr>
          </w:p>
          <w:p w:rsidR="004A6764" w:rsidRPr="00735CAD" w:rsidRDefault="004A6764" w:rsidP="00E8181A">
            <w:pPr>
              <w:spacing w:line="320" w:lineRule="exact"/>
              <w:jc w:val="center"/>
              <w:rPr>
                <w:b w:val="0"/>
                <w:sz w:val="26"/>
                <w:szCs w:val="26"/>
                <w:lang w:bidi="ar-MA"/>
              </w:rPr>
            </w:pPr>
            <w:r>
              <w:rPr>
                <w:b w:val="0"/>
                <w:sz w:val="26"/>
                <w:szCs w:val="26"/>
                <w:lang w:bidi="ar-MA"/>
              </w:rPr>
              <w:t>2</w:t>
            </w:r>
            <w:r w:rsidRPr="00735CAD">
              <w:rPr>
                <w:b w:val="0"/>
                <w:sz w:val="26"/>
                <w:szCs w:val="26"/>
                <w:lang w:bidi="ar-MA"/>
              </w:rPr>
              <w:t>,</w:t>
            </w:r>
            <w:r>
              <w:rPr>
                <w:b w:val="0"/>
                <w:sz w:val="26"/>
                <w:szCs w:val="26"/>
                <w:lang w:bidi="ar-MA"/>
              </w:rPr>
              <w:t>7</w:t>
            </w:r>
          </w:p>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sz w:val="26"/>
                <w:szCs w:val="26"/>
                <w:lang w:bidi="ar-MA"/>
              </w:rPr>
            </w:pPr>
          </w:p>
        </w:tc>
        <w:tc>
          <w:tcPr>
            <w:tcW w:w="1032" w:type="dxa"/>
            <w:shd w:val="clear" w:color="auto" w:fill="C6D9F1" w:themeFill="text2" w:themeFillTint="33"/>
          </w:tcPr>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sz w:val="26"/>
                <w:szCs w:val="26"/>
                <w:lang w:bidi="ar-MA"/>
              </w:rPr>
            </w:pPr>
            <w:r>
              <w:rPr>
                <w:sz w:val="26"/>
                <w:szCs w:val="26"/>
                <w:lang w:bidi="ar-MA"/>
              </w:rPr>
              <w:t>-1,7</w:t>
            </w:r>
          </w:p>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sz w:val="26"/>
                <w:szCs w:val="26"/>
                <w:lang w:bidi="ar-MA"/>
              </w:rPr>
            </w:pPr>
            <w:r w:rsidRPr="00735CAD">
              <w:rPr>
                <w:sz w:val="26"/>
                <w:szCs w:val="26"/>
                <w:lang w:bidi="ar-MA"/>
              </w:rPr>
              <w:t>3,</w:t>
            </w:r>
            <w:r>
              <w:rPr>
                <w:sz w:val="26"/>
                <w:szCs w:val="26"/>
                <w:lang w:bidi="ar-MA"/>
              </w:rPr>
              <w:t>4</w:t>
            </w:r>
          </w:p>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b w:val="0"/>
                <w:bCs w:val="0"/>
                <w:sz w:val="26"/>
                <w:szCs w:val="26"/>
                <w:lang w:bidi="ar-MA"/>
              </w:rPr>
            </w:pPr>
            <w:r>
              <w:rPr>
                <w:b w:val="0"/>
                <w:bCs w:val="0"/>
                <w:sz w:val="26"/>
                <w:szCs w:val="26"/>
                <w:lang w:bidi="ar-MA"/>
              </w:rPr>
              <w:t>3</w:t>
            </w:r>
            <w:r w:rsidRPr="00735CAD">
              <w:rPr>
                <w:b w:val="0"/>
                <w:bCs w:val="0"/>
                <w:sz w:val="26"/>
                <w:szCs w:val="26"/>
                <w:lang w:bidi="ar-MA"/>
              </w:rPr>
              <w:t>,</w:t>
            </w:r>
            <w:r>
              <w:rPr>
                <w:b w:val="0"/>
                <w:bCs w:val="0"/>
                <w:sz w:val="26"/>
                <w:szCs w:val="26"/>
                <w:lang w:bidi="ar-MA"/>
              </w:rPr>
              <w:t>0</w:t>
            </w:r>
          </w:p>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b w:val="0"/>
                <w:bCs w:val="0"/>
                <w:sz w:val="26"/>
                <w:szCs w:val="26"/>
                <w:lang w:bidi="ar-MA"/>
              </w:rPr>
            </w:pPr>
            <w:r>
              <w:rPr>
                <w:b w:val="0"/>
                <w:bCs w:val="0"/>
                <w:sz w:val="26"/>
                <w:szCs w:val="26"/>
                <w:lang w:bidi="ar-MA"/>
              </w:rPr>
              <w:t>3</w:t>
            </w:r>
            <w:r w:rsidRPr="00735CAD">
              <w:rPr>
                <w:b w:val="0"/>
                <w:bCs w:val="0"/>
                <w:sz w:val="26"/>
                <w:szCs w:val="26"/>
                <w:lang w:bidi="ar-MA"/>
              </w:rPr>
              <w:t>,</w:t>
            </w:r>
            <w:r>
              <w:rPr>
                <w:b w:val="0"/>
                <w:bCs w:val="0"/>
                <w:sz w:val="26"/>
                <w:szCs w:val="26"/>
                <w:lang w:bidi="ar-MA"/>
              </w:rPr>
              <w:t>7</w:t>
            </w:r>
          </w:p>
          <w:p w:rsidR="004A6764" w:rsidRPr="00735CAD" w:rsidRDefault="004A6764" w:rsidP="00E8181A">
            <w:pPr>
              <w:spacing w:line="320" w:lineRule="exact"/>
              <w:jc w:val="center"/>
              <w:rPr>
                <w:sz w:val="26"/>
                <w:szCs w:val="26"/>
                <w:lang w:bidi="ar-MA"/>
              </w:rPr>
            </w:pPr>
          </w:p>
        </w:tc>
        <w:tc>
          <w:tcPr>
            <w:tcW w:w="1089" w:type="dxa"/>
            <w:shd w:val="clear" w:color="auto" w:fill="C6D9F1" w:themeFill="text2" w:themeFillTint="33"/>
          </w:tcPr>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sz w:val="26"/>
                <w:szCs w:val="26"/>
                <w:lang w:bidi="ar-MA"/>
              </w:rPr>
            </w:pPr>
            <w:r>
              <w:rPr>
                <w:sz w:val="26"/>
                <w:szCs w:val="26"/>
                <w:lang w:bidi="ar-MA"/>
              </w:rPr>
              <w:t>9,3</w:t>
            </w:r>
          </w:p>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sz w:val="26"/>
                <w:szCs w:val="26"/>
                <w:lang w:bidi="ar-MA"/>
              </w:rPr>
            </w:pPr>
            <w:r>
              <w:rPr>
                <w:sz w:val="26"/>
                <w:szCs w:val="26"/>
                <w:lang w:bidi="ar-MA"/>
              </w:rPr>
              <w:t>4</w:t>
            </w:r>
            <w:r w:rsidRPr="00735CAD">
              <w:rPr>
                <w:sz w:val="26"/>
                <w:szCs w:val="26"/>
                <w:lang w:bidi="ar-MA"/>
              </w:rPr>
              <w:t>,</w:t>
            </w:r>
            <w:r>
              <w:rPr>
                <w:sz w:val="26"/>
                <w:szCs w:val="26"/>
                <w:lang w:bidi="ar-MA"/>
              </w:rPr>
              <w:t>1</w:t>
            </w:r>
          </w:p>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b w:val="0"/>
                <w:bCs w:val="0"/>
                <w:sz w:val="26"/>
                <w:szCs w:val="26"/>
                <w:lang w:bidi="ar-MA"/>
              </w:rPr>
            </w:pPr>
            <w:r>
              <w:rPr>
                <w:b w:val="0"/>
                <w:bCs w:val="0"/>
                <w:sz w:val="26"/>
                <w:szCs w:val="26"/>
                <w:lang w:bidi="ar-MA"/>
              </w:rPr>
              <w:t>3</w:t>
            </w:r>
            <w:r w:rsidRPr="00735CAD">
              <w:rPr>
                <w:b w:val="0"/>
                <w:bCs w:val="0"/>
                <w:sz w:val="26"/>
                <w:szCs w:val="26"/>
                <w:lang w:bidi="ar-MA"/>
              </w:rPr>
              <w:t>,</w:t>
            </w:r>
            <w:r>
              <w:rPr>
                <w:b w:val="0"/>
                <w:bCs w:val="0"/>
                <w:sz w:val="26"/>
                <w:szCs w:val="26"/>
                <w:lang w:bidi="ar-MA"/>
              </w:rPr>
              <w:t>5</w:t>
            </w:r>
          </w:p>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b w:val="0"/>
                <w:bCs w:val="0"/>
                <w:sz w:val="26"/>
                <w:szCs w:val="26"/>
                <w:lang w:bidi="ar-MA"/>
              </w:rPr>
            </w:pPr>
            <w:r w:rsidRPr="00735CAD">
              <w:rPr>
                <w:b w:val="0"/>
                <w:bCs w:val="0"/>
                <w:sz w:val="26"/>
                <w:szCs w:val="26"/>
                <w:lang w:bidi="ar-MA"/>
              </w:rPr>
              <w:t>4,</w:t>
            </w:r>
            <w:r>
              <w:rPr>
                <w:b w:val="0"/>
                <w:bCs w:val="0"/>
                <w:sz w:val="26"/>
                <w:szCs w:val="26"/>
                <w:lang w:bidi="ar-MA"/>
              </w:rPr>
              <w:t>5</w:t>
            </w:r>
          </w:p>
          <w:p w:rsidR="004A6764" w:rsidRPr="00735CAD" w:rsidRDefault="004A6764" w:rsidP="00E8181A">
            <w:pPr>
              <w:spacing w:line="320" w:lineRule="exact"/>
              <w:jc w:val="center"/>
              <w:rPr>
                <w:sz w:val="26"/>
                <w:szCs w:val="26"/>
                <w:lang w:bidi="ar-MA"/>
              </w:rPr>
            </w:pPr>
          </w:p>
        </w:tc>
      </w:tr>
      <w:tr w:rsidR="004A6764" w:rsidRPr="00735CAD" w:rsidTr="00E8181A">
        <w:trPr>
          <w:trHeight w:val="626"/>
          <w:jc w:val="center"/>
        </w:trPr>
        <w:tc>
          <w:tcPr>
            <w:tcW w:w="5142" w:type="dxa"/>
          </w:tcPr>
          <w:p w:rsidR="004A6764" w:rsidRPr="00735CAD" w:rsidRDefault="004A6764" w:rsidP="00E8181A">
            <w:pPr>
              <w:spacing w:line="320" w:lineRule="exact"/>
              <w:rPr>
                <w:sz w:val="26"/>
                <w:szCs w:val="26"/>
                <w:lang w:bidi="ar-MA"/>
              </w:rPr>
            </w:pPr>
            <w:r w:rsidRPr="00735CAD">
              <w:rPr>
                <w:sz w:val="26"/>
                <w:szCs w:val="26"/>
                <w:lang w:bidi="ar-MA"/>
              </w:rPr>
              <w:t>Valeur ajoutée totale………………</w:t>
            </w:r>
          </w:p>
        </w:tc>
        <w:tc>
          <w:tcPr>
            <w:tcW w:w="1032" w:type="dxa"/>
          </w:tcPr>
          <w:p w:rsidR="004A6764" w:rsidRPr="00735CAD" w:rsidRDefault="004A6764" w:rsidP="00E8181A">
            <w:pPr>
              <w:spacing w:line="320" w:lineRule="exact"/>
              <w:jc w:val="center"/>
              <w:rPr>
                <w:sz w:val="26"/>
                <w:szCs w:val="26"/>
                <w:lang w:bidi="ar-MA"/>
              </w:rPr>
            </w:pPr>
            <w:r w:rsidRPr="00735CAD">
              <w:rPr>
                <w:sz w:val="26"/>
                <w:szCs w:val="26"/>
                <w:lang w:bidi="ar-MA"/>
              </w:rPr>
              <w:t>2,5</w:t>
            </w:r>
          </w:p>
        </w:tc>
        <w:tc>
          <w:tcPr>
            <w:tcW w:w="1032" w:type="dxa"/>
          </w:tcPr>
          <w:p w:rsidR="004A6764" w:rsidRPr="00735CAD" w:rsidRDefault="004A6764" w:rsidP="00E8181A">
            <w:pPr>
              <w:spacing w:line="320" w:lineRule="exact"/>
              <w:jc w:val="center"/>
              <w:rPr>
                <w:sz w:val="26"/>
                <w:szCs w:val="26"/>
                <w:lang w:bidi="ar-MA"/>
              </w:rPr>
            </w:pPr>
            <w:r w:rsidRPr="00735CAD">
              <w:rPr>
                <w:sz w:val="26"/>
                <w:szCs w:val="26"/>
                <w:lang w:bidi="ar-MA"/>
              </w:rPr>
              <w:t>4,</w:t>
            </w:r>
            <w:r>
              <w:rPr>
                <w:sz w:val="26"/>
                <w:szCs w:val="26"/>
                <w:lang w:bidi="ar-MA"/>
              </w:rPr>
              <w:t>3</w:t>
            </w:r>
          </w:p>
        </w:tc>
        <w:tc>
          <w:tcPr>
            <w:tcW w:w="1032" w:type="dxa"/>
            <w:shd w:val="clear" w:color="auto" w:fill="C6D9F1" w:themeFill="text2" w:themeFillTint="33"/>
          </w:tcPr>
          <w:p w:rsidR="004A6764" w:rsidRPr="00735CAD" w:rsidRDefault="004A6764" w:rsidP="00E8181A">
            <w:pPr>
              <w:spacing w:line="320" w:lineRule="exact"/>
              <w:jc w:val="center"/>
              <w:rPr>
                <w:sz w:val="26"/>
                <w:szCs w:val="26"/>
                <w:lang w:bidi="ar-MA"/>
              </w:rPr>
            </w:pPr>
            <w:r>
              <w:rPr>
                <w:sz w:val="26"/>
                <w:szCs w:val="26"/>
                <w:lang w:bidi="ar-MA"/>
              </w:rPr>
              <w:t>2</w:t>
            </w:r>
            <w:r w:rsidRPr="00735CAD">
              <w:rPr>
                <w:sz w:val="26"/>
                <w:szCs w:val="26"/>
                <w:lang w:bidi="ar-MA"/>
              </w:rPr>
              <w:t>,</w:t>
            </w:r>
            <w:r>
              <w:rPr>
                <w:sz w:val="26"/>
                <w:szCs w:val="26"/>
                <w:lang w:bidi="ar-MA"/>
              </w:rPr>
              <w:t>6</w:t>
            </w:r>
          </w:p>
        </w:tc>
        <w:tc>
          <w:tcPr>
            <w:tcW w:w="1089" w:type="dxa"/>
            <w:shd w:val="clear" w:color="auto" w:fill="C6D9F1" w:themeFill="text2" w:themeFillTint="33"/>
          </w:tcPr>
          <w:p w:rsidR="004A6764" w:rsidRPr="00735CAD" w:rsidRDefault="004A6764" w:rsidP="00E8181A">
            <w:pPr>
              <w:spacing w:line="320" w:lineRule="exact"/>
              <w:jc w:val="center"/>
              <w:rPr>
                <w:sz w:val="26"/>
                <w:szCs w:val="26"/>
                <w:lang w:bidi="ar-MA"/>
              </w:rPr>
            </w:pPr>
            <w:r>
              <w:rPr>
                <w:sz w:val="26"/>
                <w:szCs w:val="26"/>
                <w:lang w:bidi="ar-MA"/>
              </w:rPr>
              <w:t>4,9</w:t>
            </w:r>
          </w:p>
        </w:tc>
      </w:tr>
      <w:tr w:rsidR="004A6764" w:rsidRPr="00735CAD" w:rsidTr="00E8181A">
        <w:trPr>
          <w:trHeight w:val="812"/>
          <w:jc w:val="center"/>
        </w:trPr>
        <w:tc>
          <w:tcPr>
            <w:tcW w:w="5142" w:type="dxa"/>
          </w:tcPr>
          <w:p w:rsidR="004A6764" w:rsidRPr="00735CAD" w:rsidRDefault="004A6764" w:rsidP="00E8181A">
            <w:pPr>
              <w:spacing w:line="320" w:lineRule="exact"/>
              <w:rPr>
                <w:b w:val="0"/>
                <w:sz w:val="26"/>
                <w:szCs w:val="26"/>
                <w:lang w:bidi="ar-MA"/>
              </w:rPr>
            </w:pPr>
            <w:r w:rsidRPr="00735CAD">
              <w:rPr>
                <w:b w:val="0"/>
                <w:sz w:val="26"/>
                <w:szCs w:val="26"/>
                <w:lang w:bidi="ar-MA"/>
              </w:rPr>
              <w:t>Impôts et taxes sur produits nets de subventions (ITS)……………………….</w:t>
            </w:r>
          </w:p>
          <w:p w:rsidR="004A6764" w:rsidRPr="00735CAD" w:rsidRDefault="004A6764" w:rsidP="00E8181A">
            <w:pPr>
              <w:spacing w:line="320" w:lineRule="exact"/>
              <w:rPr>
                <w:b w:val="0"/>
                <w:sz w:val="26"/>
                <w:szCs w:val="26"/>
                <w:lang w:bidi="ar-MA"/>
              </w:rPr>
            </w:pPr>
          </w:p>
        </w:tc>
        <w:tc>
          <w:tcPr>
            <w:tcW w:w="1032" w:type="dxa"/>
          </w:tcPr>
          <w:p w:rsidR="004A6764" w:rsidRPr="00735CAD" w:rsidRDefault="004A6764" w:rsidP="00E8181A">
            <w:pPr>
              <w:spacing w:line="320" w:lineRule="exact"/>
              <w:jc w:val="center"/>
              <w:rPr>
                <w:b w:val="0"/>
                <w:sz w:val="26"/>
                <w:szCs w:val="26"/>
                <w:lang w:bidi="ar-MA"/>
              </w:rPr>
            </w:pPr>
          </w:p>
          <w:p w:rsidR="004A6764" w:rsidRPr="00735CAD" w:rsidRDefault="004A6764" w:rsidP="00E8181A">
            <w:pPr>
              <w:spacing w:line="320" w:lineRule="exact"/>
              <w:jc w:val="center"/>
              <w:rPr>
                <w:b w:val="0"/>
                <w:sz w:val="26"/>
                <w:szCs w:val="26"/>
                <w:lang w:bidi="ar-MA"/>
              </w:rPr>
            </w:pPr>
            <w:r w:rsidRPr="00735CAD">
              <w:rPr>
                <w:b w:val="0"/>
                <w:sz w:val="26"/>
                <w:szCs w:val="26"/>
                <w:lang w:bidi="ar-MA"/>
              </w:rPr>
              <w:t>5,2</w:t>
            </w:r>
          </w:p>
        </w:tc>
        <w:tc>
          <w:tcPr>
            <w:tcW w:w="1032" w:type="dxa"/>
          </w:tcPr>
          <w:p w:rsidR="004A6764" w:rsidRPr="00735CAD" w:rsidRDefault="004A6764" w:rsidP="00E8181A">
            <w:pPr>
              <w:spacing w:line="320" w:lineRule="exact"/>
              <w:jc w:val="center"/>
              <w:rPr>
                <w:b w:val="0"/>
                <w:sz w:val="26"/>
                <w:szCs w:val="26"/>
                <w:lang w:bidi="ar-MA"/>
              </w:rPr>
            </w:pPr>
          </w:p>
          <w:p w:rsidR="004A6764" w:rsidRPr="00735CAD" w:rsidRDefault="004A6764" w:rsidP="00E8181A">
            <w:pPr>
              <w:spacing w:line="320" w:lineRule="exact"/>
              <w:jc w:val="center"/>
              <w:rPr>
                <w:b w:val="0"/>
                <w:sz w:val="26"/>
                <w:szCs w:val="26"/>
                <w:lang w:bidi="ar-MA"/>
              </w:rPr>
            </w:pPr>
            <w:r>
              <w:rPr>
                <w:b w:val="0"/>
                <w:sz w:val="26"/>
                <w:szCs w:val="26"/>
                <w:lang w:bidi="ar-MA"/>
              </w:rPr>
              <w:t>6</w:t>
            </w:r>
            <w:r w:rsidRPr="00735CAD">
              <w:rPr>
                <w:b w:val="0"/>
                <w:sz w:val="26"/>
                <w:szCs w:val="26"/>
                <w:lang w:bidi="ar-MA"/>
              </w:rPr>
              <w:t>,</w:t>
            </w:r>
            <w:r>
              <w:rPr>
                <w:b w:val="0"/>
                <w:sz w:val="26"/>
                <w:szCs w:val="26"/>
                <w:lang w:bidi="ar-MA"/>
              </w:rPr>
              <w:t>0</w:t>
            </w:r>
          </w:p>
        </w:tc>
        <w:tc>
          <w:tcPr>
            <w:tcW w:w="1032" w:type="dxa"/>
            <w:shd w:val="clear" w:color="auto" w:fill="C6D9F1" w:themeFill="text2" w:themeFillTint="33"/>
          </w:tcPr>
          <w:p w:rsidR="004A6764" w:rsidRPr="00735CAD" w:rsidRDefault="004A6764" w:rsidP="00E8181A">
            <w:pPr>
              <w:spacing w:line="320" w:lineRule="exact"/>
              <w:jc w:val="center"/>
              <w:rPr>
                <w:b w:val="0"/>
                <w:sz w:val="26"/>
                <w:szCs w:val="26"/>
                <w:lang w:bidi="ar-MA"/>
              </w:rPr>
            </w:pPr>
          </w:p>
          <w:p w:rsidR="004A6764" w:rsidRPr="00735CAD" w:rsidRDefault="004A6764" w:rsidP="00E8181A">
            <w:pPr>
              <w:spacing w:line="320" w:lineRule="exact"/>
              <w:jc w:val="center"/>
              <w:rPr>
                <w:b w:val="0"/>
                <w:sz w:val="26"/>
                <w:szCs w:val="26"/>
                <w:lang w:bidi="ar-MA"/>
              </w:rPr>
            </w:pPr>
            <w:r>
              <w:rPr>
                <w:b w:val="0"/>
                <w:sz w:val="26"/>
                <w:szCs w:val="26"/>
                <w:lang w:bidi="ar-MA"/>
              </w:rPr>
              <w:t>2,8</w:t>
            </w:r>
          </w:p>
        </w:tc>
        <w:tc>
          <w:tcPr>
            <w:tcW w:w="1089" w:type="dxa"/>
            <w:shd w:val="clear" w:color="auto" w:fill="C6D9F1" w:themeFill="text2" w:themeFillTint="33"/>
          </w:tcPr>
          <w:p w:rsidR="004A6764" w:rsidRPr="00735CAD" w:rsidRDefault="004A6764" w:rsidP="00E8181A">
            <w:pPr>
              <w:spacing w:line="320" w:lineRule="exact"/>
              <w:jc w:val="center"/>
              <w:rPr>
                <w:b w:val="0"/>
                <w:sz w:val="26"/>
                <w:szCs w:val="26"/>
                <w:lang w:bidi="ar-MA"/>
              </w:rPr>
            </w:pPr>
          </w:p>
          <w:p w:rsidR="004A6764" w:rsidRPr="00735CAD" w:rsidRDefault="004A6764" w:rsidP="00E8181A">
            <w:pPr>
              <w:spacing w:line="320" w:lineRule="exact"/>
              <w:jc w:val="center"/>
              <w:rPr>
                <w:b w:val="0"/>
                <w:sz w:val="26"/>
                <w:szCs w:val="26"/>
                <w:lang w:bidi="ar-MA"/>
              </w:rPr>
            </w:pPr>
            <w:r>
              <w:rPr>
                <w:b w:val="0"/>
                <w:sz w:val="26"/>
                <w:szCs w:val="26"/>
                <w:lang w:bidi="ar-MA"/>
              </w:rPr>
              <w:t>3,6</w:t>
            </w:r>
          </w:p>
        </w:tc>
      </w:tr>
      <w:tr w:rsidR="004A6764" w:rsidRPr="00735CAD" w:rsidTr="00E8181A">
        <w:trPr>
          <w:trHeight w:val="812"/>
          <w:jc w:val="center"/>
        </w:trPr>
        <w:tc>
          <w:tcPr>
            <w:tcW w:w="5142" w:type="dxa"/>
          </w:tcPr>
          <w:p w:rsidR="004A6764" w:rsidRPr="00735CAD" w:rsidRDefault="004A6764" w:rsidP="00E8181A">
            <w:pPr>
              <w:spacing w:line="320" w:lineRule="exact"/>
              <w:rPr>
                <w:b w:val="0"/>
                <w:sz w:val="26"/>
                <w:szCs w:val="26"/>
                <w:lang w:val="it-IT" w:bidi="ar-MA"/>
              </w:rPr>
            </w:pPr>
          </w:p>
          <w:p w:rsidR="004A6764" w:rsidRPr="00735CAD" w:rsidRDefault="004A6764" w:rsidP="00E8181A">
            <w:pPr>
              <w:spacing w:line="320" w:lineRule="exact"/>
              <w:rPr>
                <w:b w:val="0"/>
                <w:sz w:val="26"/>
                <w:szCs w:val="26"/>
                <w:lang w:val="it-IT" w:bidi="ar-MA"/>
              </w:rPr>
            </w:pPr>
            <w:r w:rsidRPr="00735CAD">
              <w:rPr>
                <w:b w:val="0"/>
                <w:sz w:val="26"/>
                <w:szCs w:val="26"/>
                <w:lang w:val="it-IT" w:bidi="ar-MA"/>
              </w:rPr>
              <w:t>PIB non agricole (VA +ITS).......................</w:t>
            </w:r>
          </w:p>
        </w:tc>
        <w:tc>
          <w:tcPr>
            <w:tcW w:w="1032" w:type="dxa"/>
          </w:tcPr>
          <w:p w:rsidR="004A6764" w:rsidRPr="00735CAD" w:rsidRDefault="004A6764" w:rsidP="00E8181A">
            <w:pPr>
              <w:spacing w:line="320" w:lineRule="exact"/>
              <w:jc w:val="center"/>
              <w:rPr>
                <w:b w:val="0"/>
                <w:sz w:val="26"/>
                <w:szCs w:val="26"/>
                <w:lang w:bidi="ar-MA"/>
              </w:rPr>
            </w:pPr>
          </w:p>
          <w:p w:rsidR="004A6764" w:rsidRPr="00735CAD" w:rsidRDefault="004A6764" w:rsidP="00E8181A">
            <w:pPr>
              <w:spacing w:line="320" w:lineRule="exact"/>
              <w:jc w:val="center"/>
              <w:rPr>
                <w:b w:val="0"/>
                <w:sz w:val="26"/>
                <w:szCs w:val="26"/>
                <w:lang w:bidi="ar-MA"/>
              </w:rPr>
            </w:pPr>
            <w:r w:rsidRPr="00735CAD">
              <w:rPr>
                <w:b w:val="0"/>
                <w:sz w:val="26"/>
                <w:szCs w:val="26"/>
                <w:lang w:bidi="ar-MA"/>
              </w:rPr>
              <w:t>4,3</w:t>
            </w:r>
          </w:p>
        </w:tc>
        <w:tc>
          <w:tcPr>
            <w:tcW w:w="1032" w:type="dxa"/>
          </w:tcPr>
          <w:p w:rsidR="004A6764" w:rsidRPr="00735CAD" w:rsidRDefault="004A6764" w:rsidP="00E8181A">
            <w:pPr>
              <w:spacing w:line="320" w:lineRule="exact"/>
              <w:jc w:val="center"/>
              <w:rPr>
                <w:b w:val="0"/>
                <w:sz w:val="26"/>
                <w:szCs w:val="26"/>
                <w:lang w:val="it-IT" w:bidi="ar-MA"/>
              </w:rPr>
            </w:pPr>
          </w:p>
          <w:p w:rsidR="004A6764" w:rsidRPr="00735CAD" w:rsidRDefault="004A6764" w:rsidP="00E8181A">
            <w:pPr>
              <w:spacing w:line="320" w:lineRule="exact"/>
              <w:jc w:val="center"/>
              <w:rPr>
                <w:b w:val="0"/>
                <w:sz w:val="26"/>
                <w:szCs w:val="26"/>
                <w:lang w:bidi="ar-MA"/>
              </w:rPr>
            </w:pPr>
            <w:r>
              <w:rPr>
                <w:b w:val="0"/>
                <w:sz w:val="26"/>
                <w:szCs w:val="26"/>
                <w:lang w:bidi="ar-MA"/>
              </w:rPr>
              <w:t>2</w:t>
            </w:r>
            <w:r w:rsidRPr="00735CAD">
              <w:rPr>
                <w:b w:val="0"/>
                <w:sz w:val="26"/>
                <w:szCs w:val="26"/>
                <w:lang w:bidi="ar-MA"/>
              </w:rPr>
              <w:t>,</w:t>
            </w:r>
            <w:r>
              <w:rPr>
                <w:b w:val="0"/>
                <w:sz w:val="26"/>
                <w:szCs w:val="26"/>
                <w:lang w:bidi="ar-MA"/>
              </w:rPr>
              <w:t>2</w:t>
            </w:r>
          </w:p>
        </w:tc>
        <w:tc>
          <w:tcPr>
            <w:tcW w:w="1032" w:type="dxa"/>
            <w:shd w:val="clear" w:color="auto" w:fill="C6D9F1" w:themeFill="text2" w:themeFillTint="33"/>
          </w:tcPr>
          <w:p w:rsidR="004A6764" w:rsidRPr="00735CAD" w:rsidRDefault="004A6764" w:rsidP="00E8181A">
            <w:pPr>
              <w:spacing w:line="320" w:lineRule="exact"/>
              <w:jc w:val="center"/>
              <w:rPr>
                <w:b w:val="0"/>
                <w:sz w:val="26"/>
                <w:szCs w:val="26"/>
                <w:lang w:bidi="ar-MA"/>
              </w:rPr>
            </w:pPr>
          </w:p>
          <w:p w:rsidR="004A6764" w:rsidRPr="00735CAD" w:rsidRDefault="004A6764" w:rsidP="00E8181A">
            <w:pPr>
              <w:spacing w:line="320" w:lineRule="exact"/>
              <w:jc w:val="center"/>
              <w:rPr>
                <w:b w:val="0"/>
                <w:sz w:val="26"/>
                <w:szCs w:val="26"/>
                <w:lang w:bidi="ar-MA"/>
              </w:rPr>
            </w:pPr>
            <w:r>
              <w:rPr>
                <w:b w:val="0"/>
                <w:sz w:val="26"/>
                <w:szCs w:val="26"/>
                <w:lang w:bidi="ar-MA"/>
              </w:rPr>
              <w:t>3,4</w:t>
            </w:r>
          </w:p>
        </w:tc>
        <w:tc>
          <w:tcPr>
            <w:tcW w:w="1089" w:type="dxa"/>
            <w:shd w:val="clear" w:color="auto" w:fill="C6D9F1" w:themeFill="text2" w:themeFillTint="33"/>
          </w:tcPr>
          <w:p w:rsidR="004A6764" w:rsidRPr="00735CAD" w:rsidRDefault="004A6764" w:rsidP="00E8181A">
            <w:pPr>
              <w:spacing w:line="320" w:lineRule="exact"/>
              <w:jc w:val="center"/>
              <w:rPr>
                <w:b w:val="0"/>
                <w:sz w:val="26"/>
                <w:szCs w:val="26"/>
                <w:lang w:bidi="ar-MA"/>
              </w:rPr>
            </w:pPr>
          </w:p>
          <w:p w:rsidR="004A6764" w:rsidRPr="00735CAD" w:rsidRDefault="004A6764" w:rsidP="00E8181A">
            <w:pPr>
              <w:spacing w:line="320" w:lineRule="exact"/>
              <w:jc w:val="center"/>
              <w:rPr>
                <w:b w:val="0"/>
                <w:sz w:val="26"/>
                <w:szCs w:val="26"/>
                <w:lang w:bidi="ar-MA"/>
              </w:rPr>
            </w:pPr>
            <w:r>
              <w:rPr>
                <w:b w:val="0"/>
                <w:sz w:val="26"/>
                <w:szCs w:val="26"/>
                <w:lang w:bidi="ar-MA"/>
              </w:rPr>
              <w:t>4</w:t>
            </w:r>
            <w:r w:rsidRPr="00735CAD">
              <w:rPr>
                <w:b w:val="0"/>
                <w:sz w:val="26"/>
                <w:szCs w:val="26"/>
                <w:lang w:bidi="ar-MA"/>
              </w:rPr>
              <w:t>,</w:t>
            </w:r>
            <w:r>
              <w:rPr>
                <w:b w:val="0"/>
                <w:sz w:val="26"/>
                <w:szCs w:val="26"/>
                <w:lang w:bidi="ar-MA"/>
              </w:rPr>
              <w:t>1</w:t>
            </w:r>
          </w:p>
        </w:tc>
      </w:tr>
      <w:tr w:rsidR="004A6764" w:rsidRPr="00735CAD" w:rsidTr="00E8181A">
        <w:trPr>
          <w:trHeight w:val="812"/>
          <w:jc w:val="center"/>
        </w:trPr>
        <w:tc>
          <w:tcPr>
            <w:tcW w:w="5142" w:type="dxa"/>
          </w:tcPr>
          <w:p w:rsidR="004A6764" w:rsidRPr="000A356D" w:rsidRDefault="004A6764" w:rsidP="00E8181A">
            <w:pPr>
              <w:spacing w:line="320" w:lineRule="exact"/>
              <w:jc w:val="center"/>
              <w:rPr>
                <w:sz w:val="28"/>
                <w:szCs w:val="28"/>
                <w:lang w:bidi="ar-MA"/>
              </w:rPr>
            </w:pPr>
          </w:p>
          <w:p w:rsidR="004A6764" w:rsidRPr="000A356D" w:rsidRDefault="004A6764" w:rsidP="00E8181A">
            <w:pPr>
              <w:spacing w:line="320" w:lineRule="exact"/>
              <w:jc w:val="center"/>
              <w:rPr>
                <w:sz w:val="28"/>
                <w:szCs w:val="28"/>
                <w:lang w:bidi="ar-MA"/>
              </w:rPr>
            </w:pPr>
            <w:r w:rsidRPr="000A356D">
              <w:rPr>
                <w:sz w:val="28"/>
                <w:szCs w:val="28"/>
                <w:lang w:bidi="ar-MA"/>
              </w:rPr>
              <w:t>PIB en volume…………………..………..</w:t>
            </w:r>
          </w:p>
          <w:p w:rsidR="004A6764" w:rsidRPr="000A356D" w:rsidRDefault="004A6764" w:rsidP="00E8181A">
            <w:pPr>
              <w:spacing w:line="320" w:lineRule="exact"/>
              <w:rPr>
                <w:sz w:val="28"/>
                <w:szCs w:val="28"/>
                <w:lang w:bidi="ar-MA"/>
              </w:rPr>
            </w:pPr>
          </w:p>
        </w:tc>
        <w:tc>
          <w:tcPr>
            <w:tcW w:w="1032" w:type="dxa"/>
          </w:tcPr>
          <w:p w:rsidR="004A6764" w:rsidRPr="000A356D" w:rsidRDefault="004A6764" w:rsidP="00E8181A">
            <w:pPr>
              <w:spacing w:line="320" w:lineRule="exact"/>
              <w:jc w:val="center"/>
              <w:rPr>
                <w:sz w:val="28"/>
                <w:szCs w:val="28"/>
                <w:lang w:bidi="ar-MA"/>
              </w:rPr>
            </w:pPr>
          </w:p>
          <w:p w:rsidR="004A6764" w:rsidRPr="000A356D" w:rsidRDefault="004A6764" w:rsidP="00E8181A">
            <w:pPr>
              <w:spacing w:line="320" w:lineRule="exact"/>
              <w:jc w:val="center"/>
              <w:rPr>
                <w:sz w:val="28"/>
                <w:szCs w:val="28"/>
                <w:lang w:bidi="ar-MA"/>
              </w:rPr>
            </w:pPr>
            <w:r w:rsidRPr="000A356D">
              <w:rPr>
                <w:sz w:val="28"/>
                <w:szCs w:val="28"/>
                <w:lang w:bidi="ar-MA"/>
              </w:rPr>
              <w:t>2,7</w:t>
            </w:r>
          </w:p>
        </w:tc>
        <w:tc>
          <w:tcPr>
            <w:tcW w:w="1032" w:type="dxa"/>
          </w:tcPr>
          <w:p w:rsidR="004A6764" w:rsidRPr="000A356D" w:rsidRDefault="004A6764" w:rsidP="00E8181A">
            <w:pPr>
              <w:spacing w:line="320" w:lineRule="exact"/>
              <w:jc w:val="center"/>
              <w:rPr>
                <w:sz w:val="28"/>
                <w:szCs w:val="28"/>
                <w:lang w:bidi="ar-MA"/>
              </w:rPr>
            </w:pPr>
          </w:p>
          <w:p w:rsidR="004A6764" w:rsidRPr="000A356D" w:rsidRDefault="004A6764" w:rsidP="00E8181A">
            <w:pPr>
              <w:spacing w:line="320" w:lineRule="exact"/>
              <w:jc w:val="center"/>
              <w:rPr>
                <w:sz w:val="28"/>
                <w:szCs w:val="28"/>
                <w:lang w:bidi="ar-MA"/>
              </w:rPr>
            </w:pPr>
            <w:r w:rsidRPr="000A356D">
              <w:rPr>
                <w:sz w:val="28"/>
                <w:szCs w:val="28"/>
                <w:lang w:bidi="ar-MA"/>
              </w:rPr>
              <w:t>4,4</w:t>
            </w:r>
          </w:p>
        </w:tc>
        <w:tc>
          <w:tcPr>
            <w:tcW w:w="1032" w:type="dxa"/>
            <w:shd w:val="clear" w:color="auto" w:fill="C6D9F1" w:themeFill="text2" w:themeFillTint="33"/>
          </w:tcPr>
          <w:p w:rsidR="004A6764" w:rsidRPr="000A356D" w:rsidRDefault="004A6764" w:rsidP="00E8181A">
            <w:pPr>
              <w:spacing w:line="320" w:lineRule="exact"/>
              <w:jc w:val="center"/>
              <w:rPr>
                <w:sz w:val="28"/>
                <w:szCs w:val="28"/>
                <w:lang w:bidi="ar-MA"/>
              </w:rPr>
            </w:pPr>
          </w:p>
          <w:p w:rsidR="004A6764" w:rsidRPr="000A356D" w:rsidRDefault="004A6764" w:rsidP="00E8181A">
            <w:pPr>
              <w:spacing w:line="320" w:lineRule="exact"/>
              <w:jc w:val="center"/>
              <w:rPr>
                <w:sz w:val="28"/>
                <w:szCs w:val="28"/>
                <w:lang w:bidi="ar-MA"/>
              </w:rPr>
            </w:pPr>
            <w:r w:rsidRPr="000A356D">
              <w:rPr>
                <w:sz w:val="28"/>
                <w:szCs w:val="28"/>
                <w:lang w:bidi="ar-MA"/>
              </w:rPr>
              <w:t>2,</w:t>
            </w:r>
            <w:r>
              <w:rPr>
                <w:sz w:val="28"/>
                <w:szCs w:val="28"/>
                <w:lang w:bidi="ar-MA"/>
              </w:rPr>
              <w:t>6</w:t>
            </w:r>
          </w:p>
        </w:tc>
        <w:tc>
          <w:tcPr>
            <w:tcW w:w="1089" w:type="dxa"/>
            <w:shd w:val="clear" w:color="auto" w:fill="C6D9F1" w:themeFill="text2" w:themeFillTint="33"/>
          </w:tcPr>
          <w:p w:rsidR="004A6764" w:rsidRPr="000A356D" w:rsidRDefault="004A6764" w:rsidP="00E8181A">
            <w:pPr>
              <w:spacing w:line="320" w:lineRule="exact"/>
              <w:jc w:val="center"/>
              <w:rPr>
                <w:sz w:val="28"/>
                <w:szCs w:val="28"/>
                <w:lang w:bidi="ar-MA"/>
              </w:rPr>
            </w:pPr>
          </w:p>
          <w:p w:rsidR="004A6764" w:rsidRPr="000A356D" w:rsidRDefault="004A6764" w:rsidP="00E8181A">
            <w:pPr>
              <w:spacing w:line="320" w:lineRule="exact"/>
              <w:jc w:val="center"/>
              <w:rPr>
                <w:sz w:val="28"/>
                <w:szCs w:val="28"/>
                <w:lang w:bidi="ar-MA"/>
              </w:rPr>
            </w:pPr>
            <w:r>
              <w:rPr>
                <w:sz w:val="28"/>
                <w:szCs w:val="28"/>
                <w:lang w:bidi="ar-MA"/>
              </w:rPr>
              <w:t>4,8</w:t>
            </w:r>
          </w:p>
        </w:tc>
      </w:tr>
      <w:tr w:rsidR="004A6764" w:rsidRPr="00735CAD" w:rsidTr="00E8181A">
        <w:trPr>
          <w:trHeight w:val="812"/>
          <w:jc w:val="center"/>
        </w:trPr>
        <w:tc>
          <w:tcPr>
            <w:tcW w:w="5142" w:type="dxa"/>
          </w:tcPr>
          <w:p w:rsidR="004A6764" w:rsidRPr="00735CAD" w:rsidRDefault="004A6764" w:rsidP="00E8181A">
            <w:pPr>
              <w:spacing w:line="320" w:lineRule="exact"/>
              <w:rPr>
                <w:sz w:val="26"/>
                <w:szCs w:val="26"/>
                <w:lang w:bidi="ar-MA"/>
              </w:rPr>
            </w:pPr>
          </w:p>
          <w:p w:rsidR="004A6764" w:rsidRPr="00735CAD" w:rsidRDefault="004A6764" w:rsidP="00E8181A">
            <w:pPr>
              <w:spacing w:line="320" w:lineRule="exact"/>
              <w:rPr>
                <w:sz w:val="26"/>
                <w:szCs w:val="26"/>
                <w:lang w:bidi="ar-MA"/>
              </w:rPr>
            </w:pPr>
            <w:r w:rsidRPr="00735CAD">
              <w:rPr>
                <w:sz w:val="26"/>
                <w:szCs w:val="26"/>
                <w:lang w:bidi="ar-MA"/>
              </w:rPr>
              <w:t>Variation du prix implicite du PIB……..</w:t>
            </w:r>
          </w:p>
        </w:tc>
        <w:tc>
          <w:tcPr>
            <w:tcW w:w="1032" w:type="dxa"/>
          </w:tcPr>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sz w:val="26"/>
                <w:szCs w:val="26"/>
                <w:lang w:bidi="ar-MA"/>
              </w:rPr>
            </w:pPr>
            <w:r w:rsidRPr="00735CAD">
              <w:rPr>
                <w:sz w:val="26"/>
                <w:szCs w:val="26"/>
                <w:lang w:bidi="ar-MA"/>
              </w:rPr>
              <w:t>0,</w:t>
            </w:r>
            <w:r>
              <w:rPr>
                <w:sz w:val="26"/>
                <w:szCs w:val="26"/>
                <w:lang w:bidi="ar-MA"/>
              </w:rPr>
              <w:t>4</w:t>
            </w:r>
          </w:p>
        </w:tc>
        <w:tc>
          <w:tcPr>
            <w:tcW w:w="1032" w:type="dxa"/>
          </w:tcPr>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sz w:val="26"/>
                <w:szCs w:val="26"/>
                <w:lang w:bidi="ar-MA"/>
              </w:rPr>
            </w:pPr>
            <w:r w:rsidRPr="00735CAD">
              <w:rPr>
                <w:sz w:val="26"/>
                <w:szCs w:val="26"/>
                <w:lang w:bidi="ar-MA"/>
              </w:rPr>
              <w:t>1,</w:t>
            </w:r>
            <w:r>
              <w:rPr>
                <w:sz w:val="26"/>
                <w:szCs w:val="26"/>
                <w:lang w:bidi="ar-MA"/>
              </w:rPr>
              <w:t>1</w:t>
            </w:r>
          </w:p>
          <w:p w:rsidR="004A6764" w:rsidRPr="00735CAD" w:rsidRDefault="004A6764" w:rsidP="00E8181A">
            <w:pPr>
              <w:spacing w:line="320" w:lineRule="exact"/>
              <w:jc w:val="center"/>
              <w:rPr>
                <w:sz w:val="26"/>
                <w:szCs w:val="26"/>
                <w:lang w:bidi="ar-MA"/>
              </w:rPr>
            </w:pPr>
          </w:p>
        </w:tc>
        <w:tc>
          <w:tcPr>
            <w:tcW w:w="1032" w:type="dxa"/>
            <w:shd w:val="clear" w:color="auto" w:fill="C6D9F1" w:themeFill="text2" w:themeFillTint="33"/>
          </w:tcPr>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sz w:val="26"/>
                <w:szCs w:val="26"/>
                <w:lang w:bidi="ar-MA"/>
              </w:rPr>
            </w:pPr>
            <w:r>
              <w:rPr>
                <w:sz w:val="26"/>
                <w:szCs w:val="26"/>
                <w:lang w:bidi="ar-MA"/>
              </w:rPr>
              <w:t>0,4</w:t>
            </w:r>
          </w:p>
        </w:tc>
        <w:tc>
          <w:tcPr>
            <w:tcW w:w="1089" w:type="dxa"/>
            <w:shd w:val="clear" w:color="auto" w:fill="C6D9F1" w:themeFill="text2" w:themeFillTint="33"/>
          </w:tcPr>
          <w:p w:rsidR="004A6764" w:rsidRPr="00735CAD" w:rsidRDefault="004A6764" w:rsidP="00E8181A">
            <w:pPr>
              <w:spacing w:line="320" w:lineRule="exact"/>
              <w:jc w:val="center"/>
              <w:rPr>
                <w:sz w:val="26"/>
                <w:szCs w:val="26"/>
                <w:lang w:bidi="ar-MA"/>
              </w:rPr>
            </w:pPr>
          </w:p>
          <w:p w:rsidR="004A6764" w:rsidRPr="00735CAD" w:rsidRDefault="004A6764" w:rsidP="00E8181A">
            <w:pPr>
              <w:spacing w:line="320" w:lineRule="exact"/>
              <w:jc w:val="center"/>
              <w:rPr>
                <w:sz w:val="26"/>
                <w:szCs w:val="26"/>
                <w:lang w:bidi="ar-MA"/>
              </w:rPr>
            </w:pPr>
            <w:r>
              <w:rPr>
                <w:sz w:val="26"/>
                <w:szCs w:val="26"/>
                <w:lang w:bidi="ar-MA"/>
              </w:rPr>
              <w:t>0,8</w:t>
            </w:r>
          </w:p>
        </w:tc>
      </w:tr>
    </w:tbl>
    <w:p w:rsidR="004A6764" w:rsidRPr="00EE7F4A" w:rsidRDefault="004A6764" w:rsidP="004A6764">
      <w:pPr>
        <w:keepNext/>
        <w:spacing w:line="320" w:lineRule="exact"/>
        <w:rPr>
          <w:b w:val="0"/>
          <w:bCs w:val="0"/>
          <w:sz w:val="20"/>
          <w:szCs w:val="20"/>
        </w:rPr>
      </w:pPr>
      <w:r w:rsidRPr="00EE7F4A">
        <w:rPr>
          <w:b w:val="0"/>
          <w:bCs w:val="0"/>
          <w:sz w:val="20"/>
          <w:szCs w:val="20"/>
        </w:rPr>
        <w:t>(*) : Estimation pour 2014    (**) : Prévision</w:t>
      </w:r>
      <w:r>
        <w:rPr>
          <w:b w:val="0"/>
          <w:bCs w:val="0"/>
          <w:sz w:val="20"/>
          <w:szCs w:val="20"/>
        </w:rPr>
        <w:t>s</w:t>
      </w:r>
      <w:r w:rsidRPr="00EE7F4A">
        <w:rPr>
          <w:b w:val="0"/>
          <w:bCs w:val="0"/>
          <w:sz w:val="20"/>
          <w:szCs w:val="20"/>
          <w:lang w:bidi="ar-MA"/>
        </w:rPr>
        <w:t xml:space="preserve"> établies par le Haut Commissariat au Plan pour 2015. </w:t>
      </w:r>
    </w:p>
    <w:p w:rsidR="004A6764" w:rsidRPr="00735CAD" w:rsidRDefault="004A6764" w:rsidP="004A6764">
      <w:pPr>
        <w:spacing w:line="320" w:lineRule="exact"/>
        <w:jc w:val="center"/>
        <w:rPr>
          <w:sz w:val="26"/>
          <w:szCs w:val="26"/>
        </w:rPr>
      </w:pPr>
      <w:r w:rsidRPr="00735CAD">
        <w:rPr>
          <w:sz w:val="26"/>
          <w:szCs w:val="26"/>
        </w:rPr>
        <w:tab/>
      </w:r>
    </w:p>
    <w:p w:rsidR="004A6764" w:rsidRPr="00735CAD" w:rsidRDefault="004A6764" w:rsidP="004A6764">
      <w:pPr>
        <w:spacing w:before="100" w:beforeAutospacing="1" w:after="240"/>
        <w:ind w:left="360"/>
        <w:jc w:val="center"/>
        <w:rPr>
          <w:sz w:val="26"/>
          <w:szCs w:val="26"/>
        </w:rPr>
      </w:pPr>
    </w:p>
    <w:p w:rsidR="004A6764" w:rsidRDefault="004A6764" w:rsidP="004A6764">
      <w:pPr>
        <w:spacing w:before="100" w:beforeAutospacing="1" w:after="240"/>
        <w:ind w:left="360"/>
        <w:jc w:val="center"/>
        <w:rPr>
          <w:sz w:val="28"/>
          <w:szCs w:val="28"/>
        </w:rPr>
      </w:pPr>
    </w:p>
    <w:p w:rsidR="004A6764" w:rsidRPr="007A39B3" w:rsidRDefault="004A6764" w:rsidP="004A6764">
      <w:pPr>
        <w:rPr>
          <w:sz w:val="26"/>
          <w:szCs w:val="26"/>
        </w:rPr>
      </w:pPr>
      <w:r>
        <w:rPr>
          <w:sz w:val="28"/>
          <w:szCs w:val="28"/>
        </w:rPr>
        <w:br w:type="page"/>
      </w:r>
      <w:r w:rsidR="000C624B">
        <w:rPr>
          <w:sz w:val="28"/>
          <w:szCs w:val="28"/>
        </w:rPr>
        <w:lastRenderedPageBreak/>
        <w:t xml:space="preserve">                         </w:t>
      </w:r>
      <w:r w:rsidRPr="007A39B3">
        <w:rPr>
          <w:sz w:val="26"/>
          <w:szCs w:val="26"/>
        </w:rPr>
        <w:t xml:space="preserve">Equilibre Ressources-Emplois en volume </w:t>
      </w:r>
    </w:p>
    <w:p w:rsidR="004A6764" w:rsidRPr="007A39B3" w:rsidRDefault="004A6764" w:rsidP="004A6764">
      <w:pPr>
        <w:spacing w:before="240" w:after="120"/>
        <w:ind w:left="357"/>
        <w:jc w:val="center"/>
        <w:rPr>
          <w:sz w:val="26"/>
          <w:szCs w:val="26"/>
        </w:rPr>
      </w:pPr>
      <w:r w:rsidRPr="007A39B3">
        <w:rPr>
          <w:sz w:val="26"/>
          <w:szCs w:val="26"/>
        </w:rPr>
        <w:t>et autres indicateurs macroéconomiques : Variation en %</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0"/>
        <w:gridCol w:w="1313"/>
        <w:gridCol w:w="1388"/>
        <w:gridCol w:w="1350"/>
        <w:gridCol w:w="1417"/>
      </w:tblGrid>
      <w:tr w:rsidR="004A6764" w:rsidRPr="003B56FE" w:rsidTr="00E8181A">
        <w:trPr>
          <w:trHeight w:val="315"/>
          <w:jc w:val="center"/>
        </w:trPr>
        <w:tc>
          <w:tcPr>
            <w:tcW w:w="4480" w:type="dxa"/>
          </w:tcPr>
          <w:p w:rsidR="004A6764" w:rsidRPr="003B56FE" w:rsidRDefault="004A6764" w:rsidP="00E8181A">
            <w:pPr>
              <w:bidi/>
              <w:spacing w:line="320" w:lineRule="exact"/>
              <w:jc w:val="center"/>
              <w:rPr>
                <w:lang w:bidi="ar-MA"/>
              </w:rPr>
            </w:pPr>
            <w:r w:rsidRPr="003B56FE">
              <w:rPr>
                <w:lang w:bidi="ar-MA"/>
              </w:rPr>
              <w:t>RUBRIQUES</w:t>
            </w:r>
          </w:p>
          <w:p w:rsidR="004A6764" w:rsidRPr="003B56FE" w:rsidRDefault="004A6764" w:rsidP="00E8181A">
            <w:pPr>
              <w:bidi/>
              <w:spacing w:line="320" w:lineRule="exact"/>
              <w:jc w:val="center"/>
              <w:rPr>
                <w:lang w:bidi="ar-MA"/>
              </w:rPr>
            </w:pPr>
          </w:p>
        </w:tc>
        <w:tc>
          <w:tcPr>
            <w:tcW w:w="1313" w:type="dxa"/>
            <w:vAlign w:val="center"/>
          </w:tcPr>
          <w:p w:rsidR="004A6764" w:rsidRPr="003B56FE" w:rsidRDefault="004A6764" w:rsidP="00E8181A">
            <w:pPr>
              <w:bidi/>
              <w:spacing w:line="320" w:lineRule="exact"/>
              <w:jc w:val="right"/>
              <w:rPr>
                <w:lang w:bidi="ar-MA"/>
              </w:rPr>
            </w:pPr>
            <w:r w:rsidRPr="003B56FE">
              <w:rPr>
                <w:lang w:bidi="ar-MA"/>
              </w:rPr>
              <w:t>2012</w:t>
            </w:r>
          </w:p>
        </w:tc>
        <w:tc>
          <w:tcPr>
            <w:tcW w:w="1388" w:type="dxa"/>
            <w:vAlign w:val="center"/>
          </w:tcPr>
          <w:p w:rsidR="004A6764" w:rsidRPr="003B56FE" w:rsidRDefault="004A6764" w:rsidP="00E8181A">
            <w:pPr>
              <w:bidi/>
              <w:spacing w:line="320" w:lineRule="exact"/>
              <w:jc w:val="right"/>
              <w:rPr>
                <w:lang w:bidi="ar-MA"/>
              </w:rPr>
            </w:pPr>
            <w:r w:rsidRPr="003B56FE">
              <w:rPr>
                <w:lang w:bidi="ar-MA"/>
              </w:rPr>
              <w:t>2013</w:t>
            </w:r>
          </w:p>
        </w:tc>
        <w:tc>
          <w:tcPr>
            <w:tcW w:w="1350" w:type="dxa"/>
            <w:shd w:val="clear" w:color="auto" w:fill="C6D9F1" w:themeFill="text2" w:themeFillTint="33"/>
            <w:vAlign w:val="center"/>
          </w:tcPr>
          <w:p w:rsidR="004A6764" w:rsidRPr="003B56FE" w:rsidRDefault="004A6764" w:rsidP="00E8181A">
            <w:pPr>
              <w:bidi/>
              <w:spacing w:line="320" w:lineRule="exact"/>
              <w:jc w:val="right"/>
              <w:rPr>
                <w:lang w:bidi="ar-MA"/>
              </w:rPr>
            </w:pPr>
            <w:r w:rsidRPr="003B56FE">
              <w:rPr>
                <w:lang w:bidi="ar-MA"/>
              </w:rPr>
              <w:t>2014*</w:t>
            </w:r>
          </w:p>
        </w:tc>
        <w:tc>
          <w:tcPr>
            <w:tcW w:w="1417" w:type="dxa"/>
            <w:shd w:val="clear" w:color="auto" w:fill="C6D9F1" w:themeFill="text2" w:themeFillTint="33"/>
            <w:vAlign w:val="center"/>
          </w:tcPr>
          <w:p w:rsidR="004A6764" w:rsidRPr="003B56FE" w:rsidRDefault="004A6764" w:rsidP="00E8181A">
            <w:pPr>
              <w:bidi/>
              <w:spacing w:line="320" w:lineRule="exact"/>
              <w:jc w:val="right"/>
              <w:rPr>
                <w:lang w:bidi="ar-MA"/>
              </w:rPr>
            </w:pPr>
            <w:r w:rsidRPr="003B56FE">
              <w:rPr>
                <w:lang w:bidi="ar-MA"/>
              </w:rPr>
              <w:t>2015**</w:t>
            </w:r>
          </w:p>
        </w:tc>
      </w:tr>
      <w:tr w:rsidR="004A6764" w:rsidRPr="003B56FE" w:rsidTr="00E8181A">
        <w:trPr>
          <w:trHeight w:val="641"/>
          <w:jc w:val="center"/>
        </w:trPr>
        <w:tc>
          <w:tcPr>
            <w:tcW w:w="4480" w:type="dxa"/>
            <w:tcBorders>
              <w:bottom w:val="nil"/>
            </w:tcBorders>
            <w:vAlign w:val="center"/>
          </w:tcPr>
          <w:p w:rsidR="004A6764" w:rsidRPr="003B56FE" w:rsidRDefault="004A6764" w:rsidP="00E8181A">
            <w:pPr>
              <w:keepNext/>
              <w:bidi/>
              <w:spacing w:line="320" w:lineRule="exact"/>
              <w:jc w:val="right"/>
              <w:rPr>
                <w:b w:val="0"/>
                <w:bCs w:val="0"/>
                <w:lang w:bidi="ar-MA"/>
              </w:rPr>
            </w:pPr>
            <w:r w:rsidRPr="003B56FE">
              <w:rPr>
                <w:b w:val="0"/>
                <w:bCs w:val="0"/>
                <w:lang w:bidi="ar-MA"/>
              </w:rPr>
              <w:t>PIB……………………………</w:t>
            </w:r>
          </w:p>
        </w:tc>
        <w:tc>
          <w:tcPr>
            <w:tcW w:w="1313" w:type="dxa"/>
            <w:tcBorders>
              <w:bottom w:val="nil"/>
            </w:tcBorders>
            <w:vAlign w:val="center"/>
          </w:tcPr>
          <w:p w:rsidR="004A6764" w:rsidRPr="003B56FE" w:rsidRDefault="004A6764" w:rsidP="00E8181A">
            <w:pPr>
              <w:bidi/>
              <w:spacing w:line="320" w:lineRule="exact"/>
              <w:jc w:val="center"/>
              <w:rPr>
                <w:b w:val="0"/>
                <w:bCs w:val="0"/>
                <w:lang w:bidi="ar-MA"/>
              </w:rPr>
            </w:pPr>
            <w:r w:rsidRPr="003B56FE">
              <w:rPr>
                <w:b w:val="0"/>
                <w:bCs w:val="0"/>
                <w:lang w:bidi="ar-MA"/>
              </w:rPr>
              <w:t>2,7</w:t>
            </w:r>
          </w:p>
        </w:tc>
        <w:tc>
          <w:tcPr>
            <w:tcW w:w="1388" w:type="dxa"/>
            <w:tcBorders>
              <w:bottom w:val="nil"/>
            </w:tcBorders>
            <w:vAlign w:val="center"/>
          </w:tcPr>
          <w:p w:rsidR="004A6764" w:rsidRPr="003B56FE" w:rsidRDefault="004A6764" w:rsidP="00E8181A">
            <w:pPr>
              <w:bidi/>
              <w:spacing w:line="320" w:lineRule="exact"/>
              <w:jc w:val="center"/>
              <w:rPr>
                <w:b w:val="0"/>
                <w:bCs w:val="0"/>
                <w:lang w:bidi="ar-MA"/>
              </w:rPr>
            </w:pPr>
            <w:r w:rsidRPr="003B56FE">
              <w:rPr>
                <w:b w:val="0"/>
                <w:bCs w:val="0"/>
                <w:lang w:bidi="ar-MA"/>
              </w:rPr>
              <w:t>4,4</w:t>
            </w:r>
          </w:p>
        </w:tc>
        <w:tc>
          <w:tcPr>
            <w:tcW w:w="1350" w:type="dxa"/>
            <w:tcBorders>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r w:rsidRPr="003B56FE">
              <w:rPr>
                <w:b w:val="0"/>
                <w:bCs w:val="0"/>
                <w:lang w:bidi="ar-MA"/>
              </w:rPr>
              <w:t>2,</w:t>
            </w:r>
            <w:r>
              <w:rPr>
                <w:b w:val="0"/>
                <w:bCs w:val="0"/>
                <w:lang w:bidi="ar-MA"/>
              </w:rPr>
              <w:t>6</w:t>
            </w:r>
          </w:p>
        </w:tc>
        <w:tc>
          <w:tcPr>
            <w:tcW w:w="1417" w:type="dxa"/>
            <w:tcBorders>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r>
              <w:rPr>
                <w:b w:val="0"/>
                <w:bCs w:val="0"/>
                <w:lang w:bidi="ar-MA"/>
              </w:rPr>
              <w:t>4,8</w:t>
            </w:r>
          </w:p>
        </w:tc>
      </w:tr>
      <w:tr w:rsidR="004A6764" w:rsidRPr="003B56FE" w:rsidTr="00E8181A">
        <w:trPr>
          <w:trHeight w:val="641"/>
          <w:jc w:val="center"/>
        </w:trPr>
        <w:tc>
          <w:tcPr>
            <w:tcW w:w="4480" w:type="dxa"/>
            <w:tcBorders>
              <w:top w:val="nil"/>
              <w:bottom w:val="nil"/>
            </w:tcBorders>
            <w:vAlign w:val="center"/>
          </w:tcPr>
          <w:p w:rsidR="004A6764" w:rsidRPr="003B56FE" w:rsidRDefault="004A6764" w:rsidP="00E8181A">
            <w:pPr>
              <w:keepNext/>
              <w:bidi/>
              <w:spacing w:line="320" w:lineRule="exact"/>
              <w:jc w:val="right"/>
              <w:rPr>
                <w:b w:val="0"/>
                <w:bCs w:val="0"/>
                <w:lang w:bidi="ar-MA"/>
              </w:rPr>
            </w:pPr>
            <w:r w:rsidRPr="003B56FE">
              <w:rPr>
                <w:b w:val="0"/>
                <w:bCs w:val="0"/>
                <w:lang w:bidi="ar-MA"/>
              </w:rPr>
              <w:t>Consommation finale, dont:……</w:t>
            </w:r>
          </w:p>
        </w:tc>
        <w:tc>
          <w:tcPr>
            <w:tcW w:w="1313" w:type="dxa"/>
            <w:tcBorders>
              <w:top w:val="nil"/>
              <w:bottom w:val="nil"/>
            </w:tcBorders>
            <w:vAlign w:val="center"/>
          </w:tcPr>
          <w:p w:rsidR="004A6764" w:rsidRPr="003B56FE" w:rsidRDefault="004A6764" w:rsidP="00E8181A">
            <w:pPr>
              <w:bidi/>
              <w:spacing w:line="320" w:lineRule="exact"/>
              <w:jc w:val="center"/>
              <w:rPr>
                <w:b w:val="0"/>
                <w:bCs w:val="0"/>
                <w:lang w:bidi="ar-MA"/>
              </w:rPr>
            </w:pPr>
            <w:r w:rsidRPr="003B56FE">
              <w:rPr>
                <w:b w:val="0"/>
                <w:bCs w:val="0"/>
                <w:lang w:bidi="ar-MA"/>
              </w:rPr>
              <w:t>4,7</w:t>
            </w:r>
          </w:p>
        </w:tc>
        <w:tc>
          <w:tcPr>
            <w:tcW w:w="1388" w:type="dxa"/>
            <w:tcBorders>
              <w:top w:val="nil"/>
              <w:bottom w:val="nil"/>
            </w:tcBorders>
            <w:vAlign w:val="center"/>
          </w:tcPr>
          <w:p w:rsidR="004A6764" w:rsidRPr="003B56FE" w:rsidRDefault="004A6764" w:rsidP="00E8181A">
            <w:pPr>
              <w:bidi/>
              <w:spacing w:line="320" w:lineRule="exact"/>
              <w:jc w:val="center"/>
              <w:rPr>
                <w:b w:val="0"/>
                <w:bCs w:val="0"/>
                <w:lang w:bidi="ar-MA"/>
              </w:rPr>
            </w:pPr>
            <w:r w:rsidRPr="003B56FE">
              <w:rPr>
                <w:b w:val="0"/>
                <w:bCs w:val="0"/>
                <w:lang w:bidi="ar-MA"/>
              </w:rPr>
              <w:t>3,7</w:t>
            </w:r>
          </w:p>
        </w:tc>
        <w:tc>
          <w:tcPr>
            <w:tcW w:w="1350" w:type="dxa"/>
            <w:tcBorders>
              <w:top w:val="nil"/>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r>
              <w:rPr>
                <w:b w:val="0"/>
                <w:bCs w:val="0"/>
                <w:lang w:bidi="ar-MA"/>
              </w:rPr>
              <w:t>3,0</w:t>
            </w:r>
          </w:p>
        </w:tc>
        <w:tc>
          <w:tcPr>
            <w:tcW w:w="1417" w:type="dxa"/>
            <w:tcBorders>
              <w:top w:val="nil"/>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r>
              <w:rPr>
                <w:b w:val="0"/>
                <w:bCs w:val="0"/>
                <w:lang w:bidi="ar-MA"/>
              </w:rPr>
              <w:t>4</w:t>
            </w:r>
            <w:r w:rsidRPr="003B56FE">
              <w:rPr>
                <w:b w:val="0"/>
                <w:bCs w:val="0"/>
                <w:lang w:bidi="ar-MA"/>
              </w:rPr>
              <w:t>,</w:t>
            </w:r>
            <w:r>
              <w:rPr>
                <w:b w:val="0"/>
                <w:bCs w:val="0"/>
                <w:lang w:bidi="ar-MA"/>
              </w:rPr>
              <w:t>5</w:t>
            </w:r>
          </w:p>
        </w:tc>
      </w:tr>
      <w:tr w:rsidR="004A6764" w:rsidRPr="003B56FE" w:rsidTr="00E8181A">
        <w:trPr>
          <w:trHeight w:val="766"/>
          <w:jc w:val="center"/>
        </w:trPr>
        <w:tc>
          <w:tcPr>
            <w:tcW w:w="4480" w:type="dxa"/>
            <w:tcBorders>
              <w:top w:val="nil"/>
              <w:bottom w:val="nil"/>
            </w:tcBorders>
            <w:vAlign w:val="center"/>
          </w:tcPr>
          <w:p w:rsidR="004A6764" w:rsidRPr="003B56FE" w:rsidRDefault="004A6764" w:rsidP="00E8181A">
            <w:pPr>
              <w:bidi/>
              <w:spacing w:line="320" w:lineRule="exact"/>
              <w:jc w:val="right"/>
              <w:rPr>
                <w:b w:val="0"/>
                <w:bCs w:val="0"/>
                <w:lang w:bidi="ar-MA"/>
              </w:rPr>
            </w:pPr>
            <w:r w:rsidRPr="003B56FE">
              <w:rPr>
                <w:b w:val="0"/>
                <w:bCs w:val="0"/>
                <w:lang w:bidi="ar-MA"/>
              </w:rPr>
              <w:t>-Ménages résidents…….……..…</w:t>
            </w:r>
          </w:p>
        </w:tc>
        <w:tc>
          <w:tcPr>
            <w:tcW w:w="1313" w:type="dxa"/>
            <w:tcBorders>
              <w:top w:val="nil"/>
              <w:bottom w:val="nil"/>
            </w:tcBorders>
            <w:vAlign w:val="center"/>
          </w:tcPr>
          <w:p w:rsidR="004A6764" w:rsidRPr="003B56FE" w:rsidRDefault="004A6764" w:rsidP="00E8181A">
            <w:pPr>
              <w:bidi/>
              <w:spacing w:line="320" w:lineRule="exact"/>
              <w:jc w:val="center"/>
              <w:rPr>
                <w:b w:val="0"/>
                <w:bCs w:val="0"/>
                <w:lang w:bidi="ar-MA"/>
              </w:rPr>
            </w:pPr>
            <w:r w:rsidRPr="003B56FE">
              <w:rPr>
                <w:b w:val="0"/>
                <w:bCs w:val="0"/>
                <w:lang w:bidi="ar-MA"/>
              </w:rPr>
              <w:t>3,7</w:t>
            </w:r>
          </w:p>
        </w:tc>
        <w:tc>
          <w:tcPr>
            <w:tcW w:w="1388" w:type="dxa"/>
            <w:tcBorders>
              <w:top w:val="nil"/>
              <w:bottom w:val="nil"/>
            </w:tcBorders>
            <w:vAlign w:val="center"/>
          </w:tcPr>
          <w:p w:rsidR="004A6764" w:rsidRPr="003B56FE" w:rsidRDefault="004A6764" w:rsidP="00E8181A">
            <w:pPr>
              <w:bidi/>
              <w:spacing w:line="320" w:lineRule="exact"/>
              <w:jc w:val="center"/>
              <w:rPr>
                <w:b w:val="0"/>
                <w:bCs w:val="0"/>
                <w:lang w:bidi="ar-MA"/>
              </w:rPr>
            </w:pPr>
            <w:r w:rsidRPr="003B56FE">
              <w:rPr>
                <w:b w:val="0"/>
                <w:bCs w:val="0"/>
                <w:lang w:bidi="ar-MA"/>
              </w:rPr>
              <w:t>3,7</w:t>
            </w:r>
          </w:p>
        </w:tc>
        <w:tc>
          <w:tcPr>
            <w:tcW w:w="1350" w:type="dxa"/>
            <w:tcBorders>
              <w:top w:val="nil"/>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r>
              <w:rPr>
                <w:b w:val="0"/>
                <w:bCs w:val="0"/>
                <w:lang w:bidi="ar-MA"/>
              </w:rPr>
              <w:t>3,0</w:t>
            </w:r>
          </w:p>
        </w:tc>
        <w:tc>
          <w:tcPr>
            <w:tcW w:w="1417" w:type="dxa"/>
            <w:tcBorders>
              <w:top w:val="nil"/>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r>
              <w:rPr>
                <w:b w:val="0"/>
                <w:bCs w:val="0"/>
                <w:lang w:bidi="ar-MA"/>
              </w:rPr>
              <w:t>4,4</w:t>
            </w:r>
          </w:p>
        </w:tc>
      </w:tr>
      <w:tr w:rsidR="004A6764" w:rsidRPr="003B56FE" w:rsidTr="00E8181A">
        <w:trPr>
          <w:trHeight w:val="641"/>
          <w:jc w:val="center"/>
        </w:trPr>
        <w:tc>
          <w:tcPr>
            <w:tcW w:w="4480" w:type="dxa"/>
            <w:tcBorders>
              <w:top w:val="nil"/>
              <w:bottom w:val="nil"/>
            </w:tcBorders>
            <w:vAlign w:val="center"/>
          </w:tcPr>
          <w:p w:rsidR="004A6764" w:rsidRPr="003B56FE" w:rsidRDefault="004A6764" w:rsidP="00E8181A">
            <w:pPr>
              <w:bidi/>
              <w:spacing w:line="320" w:lineRule="exact"/>
              <w:jc w:val="right"/>
              <w:rPr>
                <w:b w:val="0"/>
                <w:bCs w:val="0"/>
                <w:lang w:bidi="ar-MA"/>
              </w:rPr>
            </w:pPr>
            <w:r w:rsidRPr="003B56FE">
              <w:rPr>
                <w:b w:val="0"/>
                <w:bCs w:val="0"/>
                <w:lang w:bidi="ar-MA"/>
              </w:rPr>
              <w:t>-Administrations publiques............</w:t>
            </w:r>
          </w:p>
        </w:tc>
        <w:tc>
          <w:tcPr>
            <w:tcW w:w="1313" w:type="dxa"/>
            <w:tcBorders>
              <w:top w:val="nil"/>
              <w:bottom w:val="nil"/>
            </w:tcBorders>
            <w:vAlign w:val="center"/>
          </w:tcPr>
          <w:p w:rsidR="004A6764" w:rsidRPr="003B56FE" w:rsidRDefault="004A6764" w:rsidP="00E8181A">
            <w:pPr>
              <w:bidi/>
              <w:spacing w:line="320" w:lineRule="exact"/>
              <w:jc w:val="center"/>
              <w:rPr>
                <w:b w:val="0"/>
                <w:bCs w:val="0"/>
                <w:lang w:bidi="ar-MA"/>
              </w:rPr>
            </w:pPr>
            <w:r w:rsidRPr="003B56FE">
              <w:rPr>
                <w:b w:val="0"/>
                <w:bCs w:val="0"/>
                <w:lang w:bidi="ar-MA"/>
              </w:rPr>
              <w:t>7,9</w:t>
            </w:r>
          </w:p>
        </w:tc>
        <w:tc>
          <w:tcPr>
            <w:tcW w:w="1388" w:type="dxa"/>
            <w:tcBorders>
              <w:top w:val="nil"/>
              <w:bottom w:val="nil"/>
            </w:tcBorders>
            <w:vAlign w:val="center"/>
          </w:tcPr>
          <w:p w:rsidR="004A6764" w:rsidRPr="003B56FE" w:rsidRDefault="004A6764" w:rsidP="00E8181A">
            <w:pPr>
              <w:bidi/>
              <w:spacing w:line="320" w:lineRule="exact"/>
              <w:jc w:val="center"/>
              <w:rPr>
                <w:b w:val="0"/>
                <w:bCs w:val="0"/>
                <w:lang w:bidi="ar-MA"/>
              </w:rPr>
            </w:pPr>
            <w:r w:rsidRPr="003B56FE">
              <w:rPr>
                <w:b w:val="0"/>
                <w:bCs w:val="0"/>
                <w:lang w:bidi="ar-MA"/>
              </w:rPr>
              <w:t>3,7</w:t>
            </w:r>
          </w:p>
        </w:tc>
        <w:tc>
          <w:tcPr>
            <w:tcW w:w="1350" w:type="dxa"/>
            <w:tcBorders>
              <w:top w:val="nil"/>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p>
          <w:p w:rsidR="004A6764" w:rsidRPr="003B56FE" w:rsidRDefault="004A6764" w:rsidP="00E8181A">
            <w:pPr>
              <w:bidi/>
              <w:spacing w:line="320" w:lineRule="exact"/>
              <w:jc w:val="center"/>
              <w:rPr>
                <w:b w:val="0"/>
                <w:bCs w:val="0"/>
                <w:lang w:bidi="ar-MA"/>
              </w:rPr>
            </w:pPr>
            <w:r>
              <w:rPr>
                <w:b w:val="0"/>
                <w:bCs w:val="0"/>
                <w:lang w:bidi="ar-MA"/>
              </w:rPr>
              <w:t>2,9</w:t>
            </w:r>
          </w:p>
          <w:p w:rsidR="004A6764" w:rsidRPr="003B56FE" w:rsidRDefault="004A6764" w:rsidP="00E8181A">
            <w:pPr>
              <w:bidi/>
              <w:spacing w:line="320" w:lineRule="exact"/>
              <w:jc w:val="center"/>
              <w:rPr>
                <w:b w:val="0"/>
                <w:bCs w:val="0"/>
                <w:lang w:bidi="ar-MA"/>
              </w:rPr>
            </w:pPr>
          </w:p>
        </w:tc>
        <w:tc>
          <w:tcPr>
            <w:tcW w:w="1417" w:type="dxa"/>
            <w:tcBorders>
              <w:top w:val="nil"/>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p>
          <w:p w:rsidR="004A6764" w:rsidRPr="003B56FE" w:rsidRDefault="004A6764" w:rsidP="00E8181A">
            <w:pPr>
              <w:bidi/>
              <w:spacing w:line="320" w:lineRule="exact"/>
              <w:jc w:val="center"/>
              <w:rPr>
                <w:b w:val="0"/>
                <w:bCs w:val="0"/>
                <w:lang w:bidi="ar-MA"/>
              </w:rPr>
            </w:pPr>
            <w:r>
              <w:rPr>
                <w:b w:val="0"/>
                <w:bCs w:val="0"/>
                <w:lang w:bidi="ar-MA"/>
              </w:rPr>
              <w:t>4,9</w:t>
            </w:r>
          </w:p>
          <w:p w:rsidR="004A6764" w:rsidRPr="003B56FE" w:rsidRDefault="004A6764" w:rsidP="00E8181A">
            <w:pPr>
              <w:bidi/>
              <w:spacing w:line="320" w:lineRule="exact"/>
              <w:jc w:val="center"/>
              <w:rPr>
                <w:b w:val="0"/>
                <w:bCs w:val="0"/>
                <w:lang w:bidi="ar-MA"/>
              </w:rPr>
            </w:pPr>
          </w:p>
        </w:tc>
      </w:tr>
      <w:tr w:rsidR="004A6764" w:rsidRPr="003B56FE" w:rsidTr="00E8181A">
        <w:trPr>
          <w:trHeight w:val="641"/>
          <w:jc w:val="center"/>
        </w:trPr>
        <w:tc>
          <w:tcPr>
            <w:tcW w:w="4480" w:type="dxa"/>
            <w:tcBorders>
              <w:top w:val="nil"/>
              <w:bottom w:val="nil"/>
            </w:tcBorders>
            <w:vAlign w:val="center"/>
          </w:tcPr>
          <w:p w:rsidR="004A6764" w:rsidRPr="003B56FE" w:rsidRDefault="004A6764" w:rsidP="00E8181A">
            <w:pPr>
              <w:keepNext/>
              <w:bidi/>
              <w:spacing w:line="320" w:lineRule="exact"/>
              <w:jc w:val="right"/>
              <w:rPr>
                <w:b w:val="0"/>
                <w:bCs w:val="0"/>
                <w:lang w:bidi="ar-MA"/>
              </w:rPr>
            </w:pPr>
            <w:r w:rsidRPr="003B56FE">
              <w:rPr>
                <w:b w:val="0"/>
                <w:bCs w:val="0"/>
                <w:lang w:bidi="ar-MA"/>
              </w:rPr>
              <w:t>FBCF……………………………</w:t>
            </w:r>
          </w:p>
        </w:tc>
        <w:tc>
          <w:tcPr>
            <w:tcW w:w="1313" w:type="dxa"/>
            <w:tcBorders>
              <w:top w:val="nil"/>
              <w:bottom w:val="nil"/>
            </w:tcBorders>
            <w:vAlign w:val="center"/>
          </w:tcPr>
          <w:p w:rsidR="004A6764" w:rsidRPr="003B56FE" w:rsidRDefault="004A6764" w:rsidP="00E8181A">
            <w:pPr>
              <w:bidi/>
              <w:spacing w:line="320" w:lineRule="exact"/>
              <w:jc w:val="center"/>
              <w:rPr>
                <w:b w:val="0"/>
                <w:bCs w:val="0"/>
                <w:lang w:bidi="ar-MA"/>
              </w:rPr>
            </w:pPr>
          </w:p>
          <w:p w:rsidR="004A6764" w:rsidRPr="003B56FE" w:rsidRDefault="004A6764" w:rsidP="00E8181A">
            <w:pPr>
              <w:bidi/>
              <w:spacing w:line="320" w:lineRule="exact"/>
              <w:jc w:val="center"/>
              <w:rPr>
                <w:b w:val="0"/>
                <w:bCs w:val="0"/>
                <w:lang w:bidi="ar-MA"/>
              </w:rPr>
            </w:pPr>
            <w:r w:rsidRPr="003B56FE">
              <w:rPr>
                <w:b w:val="0"/>
                <w:bCs w:val="0"/>
                <w:lang w:bidi="ar-MA"/>
              </w:rPr>
              <w:t>1,6</w:t>
            </w:r>
          </w:p>
        </w:tc>
        <w:tc>
          <w:tcPr>
            <w:tcW w:w="1388" w:type="dxa"/>
            <w:tcBorders>
              <w:top w:val="nil"/>
              <w:bottom w:val="nil"/>
            </w:tcBorders>
            <w:vAlign w:val="center"/>
          </w:tcPr>
          <w:p w:rsidR="004A6764" w:rsidRPr="003B56FE" w:rsidRDefault="004A6764" w:rsidP="00E8181A">
            <w:pPr>
              <w:bidi/>
              <w:spacing w:line="320" w:lineRule="exact"/>
              <w:jc w:val="center"/>
              <w:rPr>
                <w:b w:val="0"/>
                <w:bCs w:val="0"/>
                <w:lang w:bidi="ar-MA"/>
              </w:rPr>
            </w:pPr>
          </w:p>
          <w:p w:rsidR="004A6764" w:rsidRPr="003B56FE" w:rsidRDefault="004A6764" w:rsidP="00E8181A">
            <w:pPr>
              <w:bidi/>
              <w:spacing w:line="320" w:lineRule="exact"/>
              <w:jc w:val="center"/>
              <w:rPr>
                <w:b w:val="0"/>
                <w:bCs w:val="0"/>
                <w:lang w:bidi="ar-MA"/>
              </w:rPr>
            </w:pPr>
            <w:r w:rsidRPr="003B56FE">
              <w:rPr>
                <w:b w:val="0"/>
                <w:bCs w:val="0"/>
                <w:lang w:bidi="ar-MA"/>
              </w:rPr>
              <w:t>0,2</w:t>
            </w:r>
          </w:p>
        </w:tc>
        <w:tc>
          <w:tcPr>
            <w:tcW w:w="1350" w:type="dxa"/>
            <w:tcBorders>
              <w:top w:val="nil"/>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p>
          <w:p w:rsidR="004A6764" w:rsidRPr="003B56FE" w:rsidRDefault="004A6764" w:rsidP="00E8181A">
            <w:pPr>
              <w:bidi/>
              <w:spacing w:line="320" w:lineRule="exact"/>
              <w:jc w:val="center"/>
              <w:rPr>
                <w:b w:val="0"/>
                <w:bCs w:val="0"/>
                <w:lang w:bidi="ar-MA"/>
              </w:rPr>
            </w:pPr>
            <w:r>
              <w:rPr>
                <w:b w:val="0"/>
                <w:bCs w:val="0"/>
                <w:lang w:bidi="ar-MA"/>
              </w:rPr>
              <w:t>0,8</w:t>
            </w:r>
          </w:p>
        </w:tc>
        <w:tc>
          <w:tcPr>
            <w:tcW w:w="1417" w:type="dxa"/>
            <w:tcBorders>
              <w:top w:val="nil"/>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p>
          <w:p w:rsidR="004A6764" w:rsidRPr="003B56FE" w:rsidRDefault="004A6764" w:rsidP="00E8181A">
            <w:pPr>
              <w:bidi/>
              <w:spacing w:line="320" w:lineRule="exact"/>
              <w:jc w:val="center"/>
              <w:rPr>
                <w:b w:val="0"/>
                <w:bCs w:val="0"/>
                <w:lang w:bidi="ar-MA"/>
              </w:rPr>
            </w:pPr>
            <w:r>
              <w:rPr>
                <w:b w:val="0"/>
                <w:bCs w:val="0"/>
                <w:lang w:bidi="ar-MA"/>
              </w:rPr>
              <w:t>1,9</w:t>
            </w:r>
          </w:p>
        </w:tc>
      </w:tr>
      <w:tr w:rsidR="004A6764" w:rsidRPr="003B56FE" w:rsidTr="00E8181A">
        <w:trPr>
          <w:trHeight w:val="749"/>
          <w:jc w:val="center"/>
        </w:trPr>
        <w:tc>
          <w:tcPr>
            <w:tcW w:w="4480" w:type="dxa"/>
            <w:tcBorders>
              <w:top w:val="nil"/>
              <w:bottom w:val="nil"/>
            </w:tcBorders>
            <w:vAlign w:val="center"/>
          </w:tcPr>
          <w:p w:rsidR="004A6764" w:rsidRPr="003B56FE" w:rsidRDefault="004A6764" w:rsidP="00E8181A">
            <w:pPr>
              <w:keepNext/>
              <w:bidi/>
              <w:spacing w:line="320" w:lineRule="exact"/>
              <w:jc w:val="right"/>
              <w:rPr>
                <w:b w:val="0"/>
                <w:bCs w:val="0"/>
                <w:lang w:bidi="ar-MA"/>
              </w:rPr>
            </w:pPr>
            <w:r w:rsidRPr="003B56FE">
              <w:rPr>
                <w:b w:val="0"/>
                <w:bCs w:val="0"/>
                <w:lang w:bidi="ar-MA"/>
              </w:rPr>
              <w:t>Exportations de biens et services...</w:t>
            </w:r>
          </w:p>
        </w:tc>
        <w:tc>
          <w:tcPr>
            <w:tcW w:w="1313" w:type="dxa"/>
            <w:tcBorders>
              <w:top w:val="nil"/>
              <w:bottom w:val="nil"/>
            </w:tcBorders>
            <w:vAlign w:val="center"/>
          </w:tcPr>
          <w:p w:rsidR="004A6764" w:rsidRPr="003B56FE" w:rsidRDefault="004A6764" w:rsidP="00E8181A">
            <w:pPr>
              <w:bidi/>
              <w:spacing w:line="320" w:lineRule="exact"/>
              <w:jc w:val="center"/>
              <w:rPr>
                <w:b w:val="0"/>
                <w:bCs w:val="0"/>
                <w:lang w:bidi="ar-MA"/>
              </w:rPr>
            </w:pPr>
            <w:r w:rsidRPr="003B56FE">
              <w:rPr>
                <w:b w:val="0"/>
                <w:bCs w:val="0"/>
                <w:lang w:bidi="ar-MA"/>
              </w:rPr>
              <w:t>2,6</w:t>
            </w:r>
          </w:p>
        </w:tc>
        <w:tc>
          <w:tcPr>
            <w:tcW w:w="1388" w:type="dxa"/>
            <w:tcBorders>
              <w:top w:val="nil"/>
              <w:bottom w:val="nil"/>
            </w:tcBorders>
            <w:vAlign w:val="center"/>
          </w:tcPr>
          <w:p w:rsidR="004A6764" w:rsidRPr="003B56FE" w:rsidRDefault="004A6764" w:rsidP="00E8181A">
            <w:pPr>
              <w:bidi/>
              <w:spacing w:line="320" w:lineRule="exact"/>
              <w:jc w:val="center"/>
              <w:rPr>
                <w:b w:val="0"/>
                <w:bCs w:val="0"/>
                <w:lang w:bidi="ar-MA"/>
              </w:rPr>
            </w:pPr>
          </w:p>
          <w:p w:rsidR="004A6764" w:rsidRPr="003B56FE" w:rsidRDefault="004A6764" w:rsidP="00E8181A">
            <w:pPr>
              <w:bidi/>
              <w:spacing w:line="320" w:lineRule="exact"/>
              <w:jc w:val="center"/>
              <w:rPr>
                <w:b w:val="0"/>
                <w:bCs w:val="0"/>
                <w:lang w:bidi="ar-MA"/>
              </w:rPr>
            </w:pPr>
            <w:r>
              <w:rPr>
                <w:b w:val="0"/>
                <w:bCs w:val="0"/>
                <w:lang w:bidi="ar-MA"/>
              </w:rPr>
              <w:t>2</w:t>
            </w:r>
            <w:r w:rsidRPr="003B56FE">
              <w:rPr>
                <w:b w:val="0"/>
                <w:bCs w:val="0"/>
                <w:lang w:bidi="ar-MA"/>
              </w:rPr>
              <w:t>,</w:t>
            </w:r>
            <w:r>
              <w:rPr>
                <w:b w:val="0"/>
                <w:bCs w:val="0"/>
                <w:lang w:bidi="ar-MA"/>
              </w:rPr>
              <w:t>4</w:t>
            </w:r>
          </w:p>
          <w:p w:rsidR="004A6764" w:rsidRPr="003B56FE" w:rsidRDefault="004A6764" w:rsidP="00E8181A">
            <w:pPr>
              <w:bidi/>
              <w:spacing w:line="320" w:lineRule="exact"/>
              <w:jc w:val="center"/>
              <w:rPr>
                <w:b w:val="0"/>
                <w:bCs w:val="0"/>
                <w:lang w:bidi="ar-MA"/>
              </w:rPr>
            </w:pPr>
          </w:p>
        </w:tc>
        <w:tc>
          <w:tcPr>
            <w:tcW w:w="1350" w:type="dxa"/>
            <w:tcBorders>
              <w:top w:val="nil"/>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r>
              <w:rPr>
                <w:b w:val="0"/>
                <w:bCs w:val="0"/>
                <w:lang w:bidi="ar-MA"/>
              </w:rPr>
              <w:t>6,1</w:t>
            </w:r>
          </w:p>
        </w:tc>
        <w:tc>
          <w:tcPr>
            <w:tcW w:w="1417" w:type="dxa"/>
            <w:tcBorders>
              <w:top w:val="nil"/>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r>
              <w:rPr>
                <w:b w:val="0"/>
                <w:bCs w:val="0"/>
                <w:lang w:bidi="ar-MA"/>
              </w:rPr>
              <w:t>6,7</w:t>
            </w:r>
          </w:p>
        </w:tc>
      </w:tr>
      <w:tr w:rsidR="004A6764" w:rsidRPr="003B56FE" w:rsidTr="00E8181A">
        <w:trPr>
          <w:trHeight w:val="507"/>
          <w:jc w:val="center"/>
        </w:trPr>
        <w:tc>
          <w:tcPr>
            <w:tcW w:w="4480" w:type="dxa"/>
            <w:tcBorders>
              <w:top w:val="nil"/>
              <w:bottom w:val="nil"/>
            </w:tcBorders>
            <w:vAlign w:val="center"/>
          </w:tcPr>
          <w:p w:rsidR="004A6764" w:rsidRPr="003B56FE" w:rsidRDefault="004A6764" w:rsidP="00E8181A">
            <w:pPr>
              <w:keepNext/>
              <w:bidi/>
              <w:spacing w:line="320" w:lineRule="exact"/>
              <w:jc w:val="right"/>
              <w:rPr>
                <w:b w:val="0"/>
                <w:bCs w:val="0"/>
                <w:lang w:bidi="ar-MA"/>
              </w:rPr>
            </w:pPr>
            <w:r w:rsidRPr="003B56FE">
              <w:rPr>
                <w:b w:val="0"/>
                <w:bCs w:val="0"/>
                <w:lang w:bidi="ar-MA"/>
              </w:rPr>
              <w:t>Importations de biens et services…</w:t>
            </w:r>
          </w:p>
        </w:tc>
        <w:tc>
          <w:tcPr>
            <w:tcW w:w="1313" w:type="dxa"/>
            <w:tcBorders>
              <w:top w:val="nil"/>
              <w:bottom w:val="nil"/>
            </w:tcBorders>
            <w:vAlign w:val="center"/>
          </w:tcPr>
          <w:p w:rsidR="004A6764" w:rsidRPr="003B56FE" w:rsidRDefault="004A6764" w:rsidP="00E8181A">
            <w:pPr>
              <w:bidi/>
              <w:spacing w:line="320" w:lineRule="exact"/>
              <w:jc w:val="center"/>
              <w:rPr>
                <w:b w:val="0"/>
                <w:bCs w:val="0"/>
                <w:lang w:bidi="ar-MA"/>
              </w:rPr>
            </w:pPr>
          </w:p>
          <w:p w:rsidR="004A6764" w:rsidRPr="003B56FE" w:rsidRDefault="004A6764" w:rsidP="00E8181A">
            <w:pPr>
              <w:bidi/>
              <w:spacing w:line="320" w:lineRule="exact"/>
              <w:jc w:val="center"/>
              <w:rPr>
                <w:b w:val="0"/>
                <w:bCs w:val="0"/>
                <w:lang w:bidi="ar-MA"/>
              </w:rPr>
            </w:pPr>
            <w:r w:rsidRPr="003B56FE">
              <w:rPr>
                <w:b w:val="0"/>
                <w:bCs w:val="0"/>
                <w:lang w:bidi="ar-MA"/>
              </w:rPr>
              <w:t>1,7</w:t>
            </w:r>
          </w:p>
        </w:tc>
        <w:tc>
          <w:tcPr>
            <w:tcW w:w="1388" w:type="dxa"/>
            <w:tcBorders>
              <w:top w:val="nil"/>
              <w:bottom w:val="nil"/>
            </w:tcBorders>
            <w:vAlign w:val="center"/>
          </w:tcPr>
          <w:p w:rsidR="004A6764" w:rsidRPr="003B56FE" w:rsidRDefault="004A6764" w:rsidP="00E8181A">
            <w:pPr>
              <w:bidi/>
              <w:spacing w:line="320" w:lineRule="exact"/>
              <w:jc w:val="center"/>
              <w:rPr>
                <w:b w:val="0"/>
                <w:bCs w:val="0"/>
                <w:lang w:bidi="ar-MA"/>
              </w:rPr>
            </w:pPr>
          </w:p>
          <w:p w:rsidR="004A6764" w:rsidRPr="003B56FE" w:rsidRDefault="004A6764" w:rsidP="00E8181A">
            <w:pPr>
              <w:bidi/>
              <w:spacing w:line="320" w:lineRule="exact"/>
              <w:jc w:val="center"/>
              <w:rPr>
                <w:b w:val="0"/>
                <w:bCs w:val="0"/>
                <w:lang w:bidi="ar-MA"/>
              </w:rPr>
            </w:pPr>
            <w:r w:rsidRPr="003B56FE">
              <w:rPr>
                <w:b w:val="0"/>
                <w:bCs w:val="0"/>
                <w:lang w:bidi="ar-MA"/>
              </w:rPr>
              <w:t>-1,5</w:t>
            </w:r>
          </w:p>
        </w:tc>
        <w:tc>
          <w:tcPr>
            <w:tcW w:w="1350" w:type="dxa"/>
            <w:tcBorders>
              <w:top w:val="nil"/>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p>
          <w:p w:rsidR="004A6764" w:rsidRPr="003B56FE" w:rsidRDefault="004A6764" w:rsidP="00E8181A">
            <w:pPr>
              <w:bidi/>
              <w:spacing w:line="320" w:lineRule="exact"/>
              <w:jc w:val="center"/>
              <w:rPr>
                <w:b w:val="0"/>
                <w:bCs w:val="0"/>
                <w:lang w:bidi="ar-MA"/>
              </w:rPr>
            </w:pPr>
            <w:r>
              <w:rPr>
                <w:b w:val="0"/>
                <w:bCs w:val="0"/>
                <w:lang w:bidi="ar-MA"/>
              </w:rPr>
              <w:t>4,7</w:t>
            </w:r>
          </w:p>
        </w:tc>
        <w:tc>
          <w:tcPr>
            <w:tcW w:w="1417" w:type="dxa"/>
            <w:tcBorders>
              <w:top w:val="nil"/>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p>
          <w:p w:rsidR="004A6764" w:rsidRPr="003B56FE" w:rsidRDefault="004A6764" w:rsidP="00E8181A">
            <w:pPr>
              <w:bidi/>
              <w:spacing w:line="320" w:lineRule="exact"/>
              <w:jc w:val="center"/>
              <w:rPr>
                <w:b w:val="0"/>
                <w:bCs w:val="0"/>
                <w:lang w:bidi="ar-MA"/>
              </w:rPr>
            </w:pPr>
            <w:r>
              <w:rPr>
                <w:b w:val="0"/>
                <w:bCs w:val="0"/>
                <w:lang w:bidi="ar-MA"/>
              </w:rPr>
              <w:t>7,7</w:t>
            </w:r>
          </w:p>
        </w:tc>
      </w:tr>
      <w:tr w:rsidR="004A6764" w:rsidRPr="003B56FE" w:rsidTr="00E8181A">
        <w:trPr>
          <w:trHeight w:val="275"/>
          <w:jc w:val="center"/>
        </w:trPr>
        <w:tc>
          <w:tcPr>
            <w:tcW w:w="4480" w:type="dxa"/>
            <w:tcBorders>
              <w:top w:val="nil"/>
              <w:bottom w:val="nil"/>
            </w:tcBorders>
          </w:tcPr>
          <w:p w:rsidR="004A6764" w:rsidRPr="003B56FE" w:rsidRDefault="004A6764" w:rsidP="00E8181A">
            <w:pPr>
              <w:bidi/>
              <w:spacing w:line="320" w:lineRule="exact"/>
              <w:rPr>
                <w:b w:val="0"/>
                <w:bCs w:val="0"/>
                <w:lang w:bidi="ar-MA"/>
              </w:rPr>
            </w:pPr>
          </w:p>
        </w:tc>
        <w:tc>
          <w:tcPr>
            <w:tcW w:w="1313" w:type="dxa"/>
            <w:tcBorders>
              <w:top w:val="nil"/>
              <w:bottom w:val="nil"/>
            </w:tcBorders>
          </w:tcPr>
          <w:p w:rsidR="004A6764" w:rsidRPr="003B56FE" w:rsidRDefault="004A6764" w:rsidP="00E8181A">
            <w:pPr>
              <w:bidi/>
              <w:spacing w:line="320" w:lineRule="exact"/>
              <w:jc w:val="center"/>
              <w:rPr>
                <w:lang w:bidi="ar-MA"/>
              </w:rPr>
            </w:pPr>
          </w:p>
        </w:tc>
        <w:tc>
          <w:tcPr>
            <w:tcW w:w="1388" w:type="dxa"/>
            <w:tcBorders>
              <w:top w:val="nil"/>
              <w:bottom w:val="nil"/>
            </w:tcBorders>
          </w:tcPr>
          <w:p w:rsidR="004A6764" w:rsidRPr="003B56FE" w:rsidRDefault="004A6764" w:rsidP="00E8181A">
            <w:pPr>
              <w:bidi/>
              <w:spacing w:line="320" w:lineRule="exact"/>
              <w:jc w:val="center"/>
              <w:rPr>
                <w:lang w:bidi="ar-MA"/>
              </w:rPr>
            </w:pPr>
          </w:p>
        </w:tc>
        <w:tc>
          <w:tcPr>
            <w:tcW w:w="1350" w:type="dxa"/>
            <w:tcBorders>
              <w:top w:val="nil"/>
              <w:bottom w:val="nil"/>
            </w:tcBorders>
            <w:shd w:val="clear" w:color="auto" w:fill="C6D9F1" w:themeFill="text2" w:themeFillTint="33"/>
          </w:tcPr>
          <w:p w:rsidR="004A6764" w:rsidRPr="003B56FE" w:rsidRDefault="004A6764" w:rsidP="00E8181A">
            <w:pPr>
              <w:bidi/>
              <w:spacing w:line="320" w:lineRule="exact"/>
              <w:jc w:val="center"/>
              <w:rPr>
                <w:lang w:bidi="ar-MA"/>
              </w:rPr>
            </w:pPr>
          </w:p>
        </w:tc>
        <w:tc>
          <w:tcPr>
            <w:tcW w:w="1417" w:type="dxa"/>
            <w:tcBorders>
              <w:top w:val="nil"/>
              <w:bottom w:val="nil"/>
            </w:tcBorders>
            <w:shd w:val="clear" w:color="auto" w:fill="C6D9F1" w:themeFill="text2" w:themeFillTint="33"/>
          </w:tcPr>
          <w:p w:rsidR="004A6764" w:rsidRPr="003B56FE" w:rsidRDefault="004A6764" w:rsidP="00E8181A">
            <w:pPr>
              <w:bidi/>
              <w:spacing w:line="320" w:lineRule="exact"/>
              <w:jc w:val="center"/>
              <w:rPr>
                <w:lang w:bidi="ar-MA"/>
              </w:rPr>
            </w:pPr>
          </w:p>
        </w:tc>
      </w:tr>
      <w:tr w:rsidR="004A6764" w:rsidRPr="003B56FE" w:rsidTr="00E8181A">
        <w:trPr>
          <w:trHeight w:val="80"/>
          <w:jc w:val="center"/>
        </w:trPr>
        <w:tc>
          <w:tcPr>
            <w:tcW w:w="4480" w:type="dxa"/>
            <w:tcBorders>
              <w:top w:val="nil"/>
              <w:bottom w:val="nil"/>
            </w:tcBorders>
          </w:tcPr>
          <w:p w:rsidR="004A6764" w:rsidRPr="003B56FE" w:rsidRDefault="004A6764" w:rsidP="00E8181A">
            <w:pPr>
              <w:bidi/>
              <w:spacing w:line="320" w:lineRule="exact"/>
              <w:jc w:val="right"/>
              <w:rPr>
                <w:b w:val="0"/>
                <w:bCs w:val="0"/>
                <w:lang w:bidi="ar-MA"/>
              </w:rPr>
            </w:pPr>
            <w:r w:rsidRPr="003B56FE">
              <w:rPr>
                <w:b w:val="0"/>
                <w:bCs w:val="0"/>
                <w:lang w:bidi="ar-MA"/>
              </w:rPr>
              <w:t>Epargne intérieure (en % du PIB)….……</w:t>
            </w:r>
          </w:p>
          <w:p w:rsidR="004A6764" w:rsidRPr="003B56FE" w:rsidRDefault="004A6764" w:rsidP="00E8181A">
            <w:pPr>
              <w:bidi/>
              <w:spacing w:line="320" w:lineRule="exact"/>
              <w:jc w:val="right"/>
              <w:rPr>
                <w:b w:val="0"/>
                <w:bCs w:val="0"/>
                <w:lang w:bidi="ar-MA"/>
              </w:rPr>
            </w:pPr>
          </w:p>
        </w:tc>
        <w:tc>
          <w:tcPr>
            <w:tcW w:w="1313" w:type="dxa"/>
            <w:tcBorders>
              <w:top w:val="nil"/>
              <w:bottom w:val="nil"/>
            </w:tcBorders>
            <w:vAlign w:val="center"/>
          </w:tcPr>
          <w:p w:rsidR="004A6764" w:rsidRPr="003B56FE" w:rsidRDefault="004A6764" w:rsidP="00E8181A">
            <w:pPr>
              <w:bidi/>
              <w:jc w:val="center"/>
              <w:rPr>
                <w:b w:val="0"/>
                <w:bCs w:val="0"/>
                <w:lang w:bidi="ar-MA"/>
              </w:rPr>
            </w:pPr>
            <w:r w:rsidRPr="003B56FE">
              <w:rPr>
                <w:b w:val="0"/>
                <w:bCs w:val="0"/>
                <w:lang w:bidi="ar-MA"/>
              </w:rPr>
              <w:t>20,9</w:t>
            </w:r>
          </w:p>
        </w:tc>
        <w:tc>
          <w:tcPr>
            <w:tcW w:w="1388" w:type="dxa"/>
            <w:tcBorders>
              <w:top w:val="nil"/>
              <w:bottom w:val="nil"/>
            </w:tcBorders>
            <w:vAlign w:val="center"/>
          </w:tcPr>
          <w:p w:rsidR="004A6764" w:rsidRPr="003B56FE" w:rsidRDefault="004A6764" w:rsidP="00E8181A">
            <w:pPr>
              <w:bidi/>
              <w:spacing w:line="320" w:lineRule="exact"/>
              <w:jc w:val="center"/>
              <w:rPr>
                <w:b w:val="0"/>
                <w:bCs w:val="0"/>
                <w:lang w:bidi="ar-MA"/>
              </w:rPr>
            </w:pPr>
            <w:r w:rsidRPr="003B56FE">
              <w:rPr>
                <w:b w:val="0"/>
                <w:bCs w:val="0"/>
                <w:lang w:bidi="ar-MA"/>
              </w:rPr>
              <w:t>20,9</w:t>
            </w:r>
          </w:p>
        </w:tc>
        <w:tc>
          <w:tcPr>
            <w:tcW w:w="1350" w:type="dxa"/>
            <w:tcBorders>
              <w:top w:val="nil"/>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r w:rsidRPr="003B56FE">
              <w:rPr>
                <w:b w:val="0"/>
                <w:bCs w:val="0"/>
                <w:lang w:bidi="ar-MA"/>
              </w:rPr>
              <w:t>20,</w:t>
            </w:r>
            <w:r>
              <w:rPr>
                <w:b w:val="0"/>
                <w:bCs w:val="0"/>
                <w:lang w:bidi="ar-MA"/>
              </w:rPr>
              <w:t>7</w:t>
            </w:r>
          </w:p>
        </w:tc>
        <w:tc>
          <w:tcPr>
            <w:tcW w:w="1417" w:type="dxa"/>
            <w:tcBorders>
              <w:top w:val="nil"/>
              <w:bottom w:val="nil"/>
            </w:tcBorders>
            <w:shd w:val="clear" w:color="auto" w:fill="C6D9F1" w:themeFill="text2" w:themeFillTint="33"/>
            <w:vAlign w:val="center"/>
          </w:tcPr>
          <w:p w:rsidR="004A6764" w:rsidRPr="003B56FE" w:rsidRDefault="004A6764" w:rsidP="00E8181A">
            <w:pPr>
              <w:bidi/>
              <w:spacing w:line="320" w:lineRule="exact"/>
              <w:jc w:val="center"/>
              <w:rPr>
                <w:b w:val="0"/>
                <w:bCs w:val="0"/>
                <w:lang w:bidi="ar-MA"/>
              </w:rPr>
            </w:pPr>
            <w:r>
              <w:rPr>
                <w:b w:val="0"/>
                <w:bCs w:val="0"/>
                <w:lang w:bidi="ar-MA"/>
              </w:rPr>
              <w:t>21,1</w:t>
            </w:r>
          </w:p>
        </w:tc>
      </w:tr>
      <w:tr w:rsidR="004A6764" w:rsidRPr="00FD2ADD" w:rsidTr="00E8181A">
        <w:trPr>
          <w:trHeight w:val="463"/>
          <w:jc w:val="center"/>
        </w:trPr>
        <w:tc>
          <w:tcPr>
            <w:tcW w:w="4480" w:type="dxa"/>
            <w:tcBorders>
              <w:top w:val="nil"/>
            </w:tcBorders>
          </w:tcPr>
          <w:p w:rsidR="004A6764" w:rsidRPr="00FD2ADD" w:rsidRDefault="004A6764" w:rsidP="00E8181A">
            <w:pPr>
              <w:bidi/>
              <w:spacing w:line="320" w:lineRule="exact"/>
              <w:jc w:val="right"/>
              <w:rPr>
                <w:b w:val="0"/>
                <w:bCs w:val="0"/>
                <w:lang w:bidi="ar-MA"/>
              </w:rPr>
            </w:pPr>
            <w:r w:rsidRPr="00FD2ADD">
              <w:rPr>
                <w:b w:val="0"/>
                <w:bCs w:val="0"/>
                <w:lang w:bidi="ar-MA"/>
              </w:rPr>
              <w:t>Epargne nationale en % du PIB……</w:t>
            </w:r>
          </w:p>
          <w:p w:rsidR="004A6764" w:rsidRPr="00FD2ADD" w:rsidRDefault="004A6764" w:rsidP="00E8181A">
            <w:pPr>
              <w:bidi/>
              <w:spacing w:line="320" w:lineRule="exact"/>
              <w:jc w:val="right"/>
              <w:rPr>
                <w:b w:val="0"/>
                <w:bCs w:val="0"/>
                <w:lang w:bidi="ar-MA"/>
              </w:rPr>
            </w:pPr>
          </w:p>
          <w:p w:rsidR="004A6764" w:rsidRPr="00FD2ADD" w:rsidRDefault="004A6764" w:rsidP="00E8181A">
            <w:pPr>
              <w:bidi/>
              <w:spacing w:line="320" w:lineRule="exact"/>
              <w:jc w:val="right"/>
              <w:rPr>
                <w:b w:val="0"/>
                <w:bCs w:val="0"/>
                <w:lang w:bidi="ar-MA"/>
              </w:rPr>
            </w:pPr>
            <w:r w:rsidRPr="00FD2ADD">
              <w:rPr>
                <w:b w:val="0"/>
                <w:bCs w:val="0"/>
                <w:lang w:bidi="ar-MA"/>
              </w:rPr>
              <w:t>Investissement en % du PIB………..</w:t>
            </w:r>
          </w:p>
          <w:p w:rsidR="004A6764" w:rsidRDefault="004A6764" w:rsidP="00E8181A">
            <w:pPr>
              <w:bidi/>
              <w:spacing w:line="320" w:lineRule="exact"/>
              <w:jc w:val="right"/>
              <w:rPr>
                <w:b w:val="0"/>
                <w:bCs w:val="0"/>
                <w:lang w:bidi="ar-MA"/>
              </w:rPr>
            </w:pPr>
          </w:p>
          <w:p w:rsidR="004A6764" w:rsidRPr="00FD2ADD" w:rsidRDefault="004A6764" w:rsidP="00E8181A">
            <w:pPr>
              <w:bidi/>
              <w:spacing w:line="320" w:lineRule="exact"/>
              <w:jc w:val="right"/>
              <w:rPr>
                <w:b w:val="0"/>
                <w:bCs w:val="0"/>
                <w:lang w:bidi="ar-MA"/>
              </w:rPr>
            </w:pPr>
          </w:p>
          <w:p w:rsidR="004A6764" w:rsidRPr="00FD2ADD" w:rsidRDefault="004A6764" w:rsidP="00E8181A">
            <w:pPr>
              <w:bidi/>
              <w:spacing w:line="320" w:lineRule="exact"/>
              <w:jc w:val="right"/>
              <w:rPr>
                <w:b w:val="0"/>
                <w:bCs w:val="0"/>
                <w:lang w:bidi="ar-MA"/>
              </w:rPr>
            </w:pPr>
            <w:r w:rsidRPr="00FD2ADD">
              <w:rPr>
                <w:b w:val="0"/>
                <w:bCs w:val="0"/>
                <w:lang w:bidi="ar-MA"/>
              </w:rPr>
              <w:t>Besoin de financement de l’économie (en % du PIB)………………………</w:t>
            </w:r>
          </w:p>
          <w:p w:rsidR="004A6764" w:rsidRPr="00FD2ADD" w:rsidRDefault="004A6764" w:rsidP="00E8181A">
            <w:pPr>
              <w:bidi/>
              <w:spacing w:line="320" w:lineRule="exact"/>
              <w:jc w:val="right"/>
              <w:rPr>
                <w:b w:val="0"/>
                <w:bCs w:val="0"/>
                <w:lang w:bidi="ar-MA"/>
              </w:rPr>
            </w:pPr>
          </w:p>
          <w:p w:rsidR="004A6764" w:rsidRPr="00FD2ADD" w:rsidRDefault="004A6764" w:rsidP="00E8181A">
            <w:pPr>
              <w:bidi/>
              <w:spacing w:line="320" w:lineRule="exact"/>
              <w:jc w:val="right"/>
              <w:rPr>
                <w:b w:val="0"/>
                <w:bCs w:val="0"/>
                <w:lang w:bidi="ar-MA"/>
              </w:rPr>
            </w:pPr>
            <w:r w:rsidRPr="00FD2ADD">
              <w:rPr>
                <w:b w:val="0"/>
                <w:bCs w:val="0"/>
                <w:lang w:bidi="ar-MA"/>
              </w:rPr>
              <w:t>Déficit Budgétaire en % du PIB……</w:t>
            </w:r>
          </w:p>
          <w:p w:rsidR="004A6764" w:rsidRPr="00FD2ADD" w:rsidRDefault="004A6764" w:rsidP="00E8181A">
            <w:pPr>
              <w:bidi/>
              <w:spacing w:line="320" w:lineRule="exact"/>
              <w:jc w:val="right"/>
              <w:rPr>
                <w:b w:val="0"/>
                <w:bCs w:val="0"/>
                <w:lang w:bidi="ar-MA"/>
              </w:rPr>
            </w:pPr>
          </w:p>
          <w:p w:rsidR="004A6764" w:rsidRPr="00FD2ADD" w:rsidRDefault="004A6764" w:rsidP="00E8181A">
            <w:pPr>
              <w:bidi/>
              <w:spacing w:line="320" w:lineRule="exact"/>
              <w:jc w:val="right"/>
              <w:rPr>
                <w:b w:val="0"/>
                <w:bCs w:val="0"/>
                <w:lang w:bidi="ar-MA"/>
              </w:rPr>
            </w:pPr>
            <w:r w:rsidRPr="00FD2ADD">
              <w:rPr>
                <w:b w:val="0"/>
                <w:bCs w:val="0"/>
                <w:lang w:bidi="ar-MA"/>
              </w:rPr>
              <w:t>Dette Publique en % du PIB……….</w:t>
            </w:r>
          </w:p>
          <w:p w:rsidR="004A6764" w:rsidRPr="00FD2ADD" w:rsidRDefault="004A6764" w:rsidP="00E8181A">
            <w:pPr>
              <w:bidi/>
              <w:spacing w:line="320" w:lineRule="exact"/>
              <w:jc w:val="right"/>
              <w:rPr>
                <w:b w:val="0"/>
                <w:bCs w:val="0"/>
                <w:lang w:bidi="ar-MA"/>
              </w:rPr>
            </w:pPr>
          </w:p>
          <w:p w:rsidR="004A6764" w:rsidRPr="00FD2ADD" w:rsidRDefault="004A6764" w:rsidP="00E8181A">
            <w:pPr>
              <w:bidi/>
              <w:spacing w:line="320" w:lineRule="exact"/>
              <w:jc w:val="right"/>
              <w:rPr>
                <w:b w:val="0"/>
                <w:bCs w:val="0"/>
                <w:lang w:bidi="ar-MA"/>
              </w:rPr>
            </w:pPr>
            <w:r w:rsidRPr="00FD2ADD">
              <w:rPr>
                <w:b w:val="0"/>
                <w:bCs w:val="0"/>
                <w:lang w:bidi="ar-MA"/>
              </w:rPr>
              <w:t>Dette de Trésor en % du PIB……….</w:t>
            </w:r>
          </w:p>
          <w:p w:rsidR="004A6764" w:rsidRPr="00FD2ADD" w:rsidRDefault="004A6764" w:rsidP="00E8181A">
            <w:pPr>
              <w:bidi/>
              <w:spacing w:line="320" w:lineRule="exact"/>
              <w:jc w:val="right"/>
              <w:rPr>
                <w:b w:val="0"/>
                <w:bCs w:val="0"/>
                <w:lang w:bidi="ar-MA"/>
              </w:rPr>
            </w:pPr>
          </w:p>
          <w:p w:rsidR="004A6764" w:rsidRPr="00FD2ADD" w:rsidRDefault="004A6764" w:rsidP="00E8181A">
            <w:pPr>
              <w:bidi/>
              <w:jc w:val="right"/>
              <w:rPr>
                <w:b w:val="0"/>
                <w:bCs w:val="0"/>
                <w:lang w:bidi="ar-MA"/>
              </w:rPr>
            </w:pPr>
            <w:r w:rsidRPr="00FD2ADD">
              <w:rPr>
                <w:b w:val="0"/>
                <w:bCs w:val="0"/>
                <w:lang w:bidi="ar-MA"/>
              </w:rPr>
              <w:t>Réserves : En mois d'importations…….</w:t>
            </w:r>
          </w:p>
        </w:tc>
        <w:tc>
          <w:tcPr>
            <w:tcW w:w="1313" w:type="dxa"/>
            <w:tcBorders>
              <w:top w:val="nil"/>
            </w:tcBorders>
          </w:tcPr>
          <w:p w:rsidR="004A6764" w:rsidRPr="00FD2ADD" w:rsidRDefault="004A6764" w:rsidP="00E8181A">
            <w:pPr>
              <w:bidi/>
              <w:spacing w:line="320" w:lineRule="exact"/>
              <w:jc w:val="center"/>
              <w:rPr>
                <w:b w:val="0"/>
                <w:bCs w:val="0"/>
                <w:lang w:bidi="ar-MA"/>
              </w:rPr>
            </w:pPr>
            <w:r w:rsidRPr="00FD2ADD">
              <w:rPr>
                <w:b w:val="0"/>
                <w:bCs w:val="0"/>
                <w:lang w:bidi="ar-MA"/>
              </w:rPr>
              <w:t>25,5</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35,3</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-9,7</w:t>
            </w:r>
          </w:p>
          <w:p w:rsidR="004A6764"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-7,0</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71,2</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59,7</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4,1</w:t>
            </w:r>
          </w:p>
        </w:tc>
        <w:tc>
          <w:tcPr>
            <w:tcW w:w="1388" w:type="dxa"/>
            <w:tcBorders>
              <w:top w:val="nil"/>
            </w:tcBorders>
          </w:tcPr>
          <w:p w:rsidR="004A6764" w:rsidRPr="00FD2ADD" w:rsidRDefault="004A6764" w:rsidP="00E8181A">
            <w:pPr>
              <w:bidi/>
              <w:spacing w:line="320" w:lineRule="exact"/>
              <w:jc w:val="center"/>
              <w:rPr>
                <w:b w:val="0"/>
                <w:bCs w:val="0"/>
                <w:lang w:bidi="ar-MA"/>
              </w:rPr>
            </w:pPr>
            <w:r w:rsidRPr="00FD2ADD">
              <w:rPr>
                <w:b w:val="0"/>
                <w:bCs w:val="0"/>
                <w:lang w:bidi="ar-MA"/>
              </w:rPr>
              <w:t>26,6</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34,2</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-7,6</w:t>
            </w:r>
          </w:p>
          <w:p w:rsidR="004A6764"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-5,5</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75,5</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63,5</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4,3</w:t>
            </w:r>
          </w:p>
        </w:tc>
        <w:tc>
          <w:tcPr>
            <w:tcW w:w="1350" w:type="dxa"/>
            <w:tcBorders>
              <w:top w:val="nil"/>
            </w:tcBorders>
            <w:shd w:val="clear" w:color="auto" w:fill="C6D9F1" w:themeFill="text2" w:themeFillTint="33"/>
          </w:tcPr>
          <w:p w:rsidR="004A6764" w:rsidRPr="00FD2ADD" w:rsidRDefault="004A6764" w:rsidP="00E8181A">
            <w:pPr>
              <w:bidi/>
              <w:spacing w:line="320" w:lineRule="exact"/>
              <w:jc w:val="center"/>
              <w:rPr>
                <w:b w:val="0"/>
                <w:bCs w:val="0"/>
                <w:lang w:bidi="ar-MA"/>
              </w:rPr>
            </w:pPr>
            <w:r w:rsidRPr="00FD2ADD">
              <w:rPr>
                <w:b w:val="0"/>
                <w:bCs w:val="0"/>
                <w:lang w:bidi="ar-MA"/>
              </w:rPr>
              <w:t>25,</w:t>
            </w:r>
            <w:r>
              <w:rPr>
                <w:b w:val="0"/>
                <w:bCs w:val="0"/>
                <w:lang w:bidi="ar-MA"/>
              </w:rPr>
              <w:t>8</w:t>
            </w:r>
          </w:p>
          <w:p w:rsidR="004A6764" w:rsidRPr="00FD2ADD" w:rsidRDefault="004A6764" w:rsidP="00E8181A">
            <w:pPr>
              <w:bidi/>
              <w:spacing w:line="320" w:lineRule="exact"/>
              <w:jc w:val="center"/>
              <w:rPr>
                <w:b w:val="0"/>
                <w:bCs w:val="0"/>
                <w:lang w:bidi="ar-MA"/>
              </w:rPr>
            </w:pPr>
          </w:p>
          <w:p w:rsidR="004A6764" w:rsidRPr="00FD2ADD" w:rsidRDefault="004A6764" w:rsidP="00C21CB1">
            <w:pPr>
              <w:bidi/>
              <w:spacing w:line="320" w:lineRule="exact"/>
              <w:jc w:val="center"/>
              <w:rPr>
                <w:b w:val="0"/>
                <w:bCs w:val="0"/>
                <w:lang w:bidi="ar-MA"/>
              </w:rPr>
            </w:pPr>
            <w:r w:rsidRPr="00FD2ADD">
              <w:rPr>
                <w:b w:val="0"/>
                <w:bCs w:val="0"/>
                <w:lang w:bidi="ar-MA"/>
              </w:rPr>
              <w:t>31,</w:t>
            </w:r>
            <w:r w:rsidR="00C21CB1">
              <w:rPr>
                <w:b w:val="0"/>
                <w:bCs w:val="0"/>
                <w:lang w:bidi="ar-MA"/>
              </w:rPr>
              <w:t>8</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p>
          <w:p w:rsidR="004A6764" w:rsidRPr="00FD2ADD" w:rsidRDefault="004A6764" w:rsidP="00D57677">
            <w:pPr>
              <w:bidi/>
              <w:spacing w:line="320" w:lineRule="exact"/>
              <w:jc w:val="center"/>
              <w:rPr>
                <w:b w:val="0"/>
                <w:bCs w:val="0"/>
                <w:lang w:bidi="ar-MA"/>
              </w:rPr>
            </w:pPr>
            <w:r w:rsidRPr="00FD2ADD">
              <w:rPr>
                <w:b w:val="0"/>
                <w:bCs w:val="0"/>
                <w:lang w:bidi="ar-MA"/>
              </w:rPr>
              <w:t>-</w:t>
            </w:r>
            <w:r w:rsidR="00D57677">
              <w:rPr>
                <w:b w:val="0"/>
                <w:bCs w:val="0"/>
                <w:lang w:bidi="ar-MA"/>
              </w:rPr>
              <w:t>6</w:t>
            </w:r>
            <w:r w:rsidRPr="00FD2ADD">
              <w:rPr>
                <w:b w:val="0"/>
                <w:bCs w:val="0"/>
                <w:lang w:bidi="ar-MA"/>
              </w:rPr>
              <w:t>,</w:t>
            </w:r>
            <w:r w:rsidR="00D57677">
              <w:rPr>
                <w:b w:val="0"/>
                <w:bCs w:val="0"/>
                <w:lang w:bidi="ar-MA"/>
              </w:rPr>
              <w:t>0</w:t>
            </w:r>
          </w:p>
          <w:p w:rsidR="004A6764"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-5,</w:t>
            </w:r>
            <w:r>
              <w:rPr>
                <w:b w:val="0"/>
                <w:bCs w:val="0"/>
                <w:lang w:bidi="ar-MA"/>
              </w:rPr>
              <w:t>0</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7</w:t>
            </w:r>
            <w:r>
              <w:rPr>
                <w:b w:val="0"/>
                <w:bCs w:val="0"/>
                <w:lang w:bidi="ar-MA"/>
              </w:rPr>
              <w:t>8</w:t>
            </w:r>
            <w:r w:rsidRPr="00FD2ADD">
              <w:rPr>
                <w:b w:val="0"/>
                <w:bCs w:val="0"/>
                <w:lang w:bidi="ar-MA"/>
              </w:rPr>
              <w:t>,</w:t>
            </w:r>
            <w:r>
              <w:rPr>
                <w:b w:val="0"/>
                <w:bCs w:val="0"/>
                <w:lang w:bidi="ar-MA"/>
              </w:rPr>
              <w:t>6</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6</w:t>
            </w:r>
            <w:r>
              <w:rPr>
                <w:b w:val="0"/>
                <w:bCs w:val="0"/>
                <w:lang w:bidi="ar-MA"/>
              </w:rPr>
              <w:t>4</w:t>
            </w:r>
            <w:r w:rsidRPr="00FD2ADD">
              <w:rPr>
                <w:b w:val="0"/>
                <w:bCs w:val="0"/>
                <w:lang w:bidi="ar-MA"/>
              </w:rPr>
              <w:t>,</w:t>
            </w:r>
            <w:r>
              <w:rPr>
                <w:b w:val="0"/>
                <w:bCs w:val="0"/>
                <w:lang w:bidi="ar-MA"/>
              </w:rPr>
              <w:t>3</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Pr>
                <w:b w:val="0"/>
                <w:bCs w:val="0"/>
                <w:lang w:bidi="ar-MA"/>
              </w:rPr>
              <w:t>5</w:t>
            </w:r>
            <w:r w:rsidRPr="00FD2ADD">
              <w:rPr>
                <w:b w:val="0"/>
                <w:bCs w:val="0"/>
                <w:lang w:bidi="ar-MA"/>
              </w:rPr>
              <w:t>,</w:t>
            </w:r>
            <w:r>
              <w:rPr>
                <w:b w:val="0"/>
                <w:bCs w:val="0"/>
                <w:lang w:bidi="ar-MA"/>
              </w:rPr>
              <w:t>1</w:t>
            </w:r>
          </w:p>
        </w:tc>
        <w:tc>
          <w:tcPr>
            <w:tcW w:w="1417" w:type="dxa"/>
            <w:tcBorders>
              <w:top w:val="nil"/>
            </w:tcBorders>
            <w:shd w:val="clear" w:color="auto" w:fill="C6D9F1" w:themeFill="text2" w:themeFillTint="33"/>
          </w:tcPr>
          <w:p w:rsidR="004A6764" w:rsidRPr="00FD2ADD" w:rsidRDefault="004A6764" w:rsidP="00E8181A">
            <w:pPr>
              <w:bidi/>
              <w:spacing w:line="320" w:lineRule="exact"/>
              <w:jc w:val="center"/>
              <w:rPr>
                <w:b w:val="0"/>
                <w:bCs w:val="0"/>
                <w:lang w:bidi="ar-MA"/>
              </w:rPr>
            </w:pPr>
            <w:r w:rsidRPr="00FD2ADD">
              <w:rPr>
                <w:b w:val="0"/>
                <w:bCs w:val="0"/>
                <w:lang w:bidi="ar-MA"/>
              </w:rPr>
              <w:t>2</w:t>
            </w:r>
            <w:r>
              <w:rPr>
                <w:b w:val="0"/>
                <w:bCs w:val="0"/>
                <w:lang w:bidi="ar-MA"/>
              </w:rPr>
              <w:t>5</w:t>
            </w:r>
            <w:r w:rsidRPr="00FD2ADD">
              <w:rPr>
                <w:b w:val="0"/>
                <w:bCs w:val="0"/>
                <w:lang w:bidi="ar-MA"/>
              </w:rPr>
              <w:t>,</w:t>
            </w:r>
            <w:r>
              <w:rPr>
                <w:b w:val="0"/>
                <w:bCs w:val="0"/>
                <w:lang w:bidi="ar-MA"/>
              </w:rPr>
              <w:t>7</w:t>
            </w:r>
          </w:p>
          <w:p w:rsidR="004A6764" w:rsidRPr="00FD2ADD" w:rsidRDefault="004A6764" w:rsidP="00E8181A">
            <w:pPr>
              <w:bidi/>
              <w:spacing w:line="320" w:lineRule="exact"/>
              <w:jc w:val="center"/>
              <w:rPr>
                <w:b w:val="0"/>
                <w:bCs w:val="0"/>
                <w:lang w:bidi="ar-MA"/>
              </w:rPr>
            </w:pPr>
          </w:p>
          <w:p w:rsidR="004A6764" w:rsidRPr="00FD2ADD" w:rsidRDefault="004A6764" w:rsidP="00C21CB1">
            <w:pPr>
              <w:bidi/>
              <w:spacing w:line="320" w:lineRule="exact"/>
              <w:jc w:val="center"/>
              <w:rPr>
                <w:b w:val="0"/>
                <w:bCs w:val="0"/>
                <w:lang w:bidi="ar-MA"/>
              </w:rPr>
            </w:pPr>
            <w:r w:rsidRPr="00FD2ADD">
              <w:rPr>
                <w:b w:val="0"/>
                <w:bCs w:val="0"/>
                <w:lang w:bidi="ar-MA"/>
              </w:rPr>
              <w:t>3</w:t>
            </w:r>
            <w:r>
              <w:rPr>
                <w:b w:val="0"/>
                <w:bCs w:val="0"/>
                <w:lang w:bidi="ar-MA"/>
              </w:rPr>
              <w:t>1</w:t>
            </w:r>
            <w:r w:rsidRPr="00FD2ADD">
              <w:rPr>
                <w:b w:val="0"/>
                <w:bCs w:val="0"/>
                <w:lang w:bidi="ar-MA"/>
              </w:rPr>
              <w:t>,</w:t>
            </w:r>
            <w:r w:rsidR="00C21CB1">
              <w:rPr>
                <w:b w:val="0"/>
                <w:bCs w:val="0"/>
                <w:lang w:bidi="ar-MA"/>
              </w:rPr>
              <w:t>8</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p>
          <w:p w:rsidR="004A6764" w:rsidRPr="00FD2ADD" w:rsidRDefault="004A6764" w:rsidP="00932635">
            <w:pPr>
              <w:bidi/>
              <w:spacing w:line="320" w:lineRule="exact"/>
              <w:jc w:val="center"/>
              <w:rPr>
                <w:b w:val="0"/>
                <w:bCs w:val="0"/>
                <w:lang w:bidi="ar-MA"/>
              </w:rPr>
            </w:pPr>
            <w:r w:rsidRPr="00FD2ADD">
              <w:rPr>
                <w:b w:val="0"/>
                <w:bCs w:val="0"/>
                <w:lang w:bidi="ar-MA"/>
              </w:rPr>
              <w:t>-6,</w:t>
            </w:r>
            <w:r w:rsidR="00932635">
              <w:rPr>
                <w:b w:val="0"/>
                <w:bCs w:val="0"/>
                <w:lang w:bidi="ar-MA"/>
              </w:rPr>
              <w:t>1</w:t>
            </w:r>
          </w:p>
          <w:p w:rsidR="004A6764"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sidRPr="00FD2ADD">
              <w:rPr>
                <w:b w:val="0"/>
                <w:bCs w:val="0"/>
                <w:lang w:bidi="ar-MA"/>
              </w:rPr>
              <w:t>-4,</w:t>
            </w:r>
            <w:r>
              <w:rPr>
                <w:b w:val="0"/>
                <w:bCs w:val="0"/>
                <w:lang w:bidi="ar-MA"/>
              </w:rPr>
              <w:t>5</w:t>
            </w:r>
          </w:p>
          <w:p w:rsidR="004A6764" w:rsidRPr="00FD2ADD" w:rsidRDefault="004A6764" w:rsidP="00E8181A">
            <w:pPr>
              <w:bidi/>
              <w:spacing w:line="320" w:lineRule="exact"/>
              <w:jc w:val="center"/>
              <w:rPr>
                <w:b w:val="0"/>
                <w:bCs w:val="0"/>
                <w:lang w:bidi="ar-MA"/>
              </w:rPr>
            </w:pPr>
          </w:p>
          <w:p w:rsidR="004A6764" w:rsidRPr="00FD2ADD" w:rsidRDefault="004A6764" w:rsidP="00932635">
            <w:pPr>
              <w:bidi/>
              <w:spacing w:line="320" w:lineRule="exact"/>
              <w:jc w:val="center"/>
              <w:rPr>
                <w:b w:val="0"/>
                <w:bCs w:val="0"/>
                <w:lang w:bidi="ar-MA"/>
              </w:rPr>
            </w:pPr>
            <w:r>
              <w:rPr>
                <w:b w:val="0"/>
                <w:bCs w:val="0"/>
                <w:lang w:bidi="ar-MA"/>
              </w:rPr>
              <w:t>7</w:t>
            </w:r>
            <w:r w:rsidR="00932635">
              <w:rPr>
                <w:b w:val="0"/>
                <w:bCs w:val="0"/>
                <w:lang w:bidi="ar-MA"/>
              </w:rPr>
              <w:t>8</w:t>
            </w:r>
            <w:r>
              <w:rPr>
                <w:b w:val="0"/>
                <w:bCs w:val="0"/>
                <w:lang w:bidi="ar-MA"/>
              </w:rPr>
              <w:t>,</w:t>
            </w:r>
            <w:r w:rsidR="00932635">
              <w:rPr>
                <w:b w:val="0"/>
                <w:bCs w:val="0"/>
                <w:lang w:bidi="ar-MA"/>
              </w:rPr>
              <w:t>6</w:t>
            </w:r>
          </w:p>
          <w:p w:rsidR="004A6764" w:rsidRPr="00FD2ADD" w:rsidRDefault="004A6764" w:rsidP="00E8181A">
            <w:pPr>
              <w:bidi/>
              <w:spacing w:line="320" w:lineRule="exact"/>
              <w:jc w:val="center"/>
              <w:rPr>
                <w:b w:val="0"/>
                <w:bCs w:val="0"/>
                <w:lang w:bidi="ar-MA"/>
              </w:rPr>
            </w:pPr>
          </w:p>
          <w:p w:rsidR="004A6764" w:rsidRPr="00FD2ADD" w:rsidRDefault="004A6764" w:rsidP="00932635">
            <w:pPr>
              <w:bidi/>
              <w:spacing w:line="320" w:lineRule="exact"/>
              <w:jc w:val="center"/>
              <w:rPr>
                <w:b w:val="0"/>
                <w:bCs w:val="0"/>
                <w:lang w:bidi="ar-MA"/>
              </w:rPr>
            </w:pPr>
            <w:r w:rsidRPr="00FD2ADD">
              <w:rPr>
                <w:b w:val="0"/>
                <w:bCs w:val="0"/>
                <w:lang w:bidi="ar-MA"/>
              </w:rPr>
              <w:t>6</w:t>
            </w:r>
            <w:r w:rsidR="00932635">
              <w:rPr>
                <w:b w:val="0"/>
                <w:bCs w:val="0"/>
                <w:lang w:bidi="ar-MA"/>
              </w:rPr>
              <w:t>3</w:t>
            </w:r>
            <w:r w:rsidRPr="00FD2ADD">
              <w:rPr>
                <w:b w:val="0"/>
                <w:bCs w:val="0"/>
                <w:lang w:bidi="ar-MA"/>
              </w:rPr>
              <w:t>,</w:t>
            </w:r>
            <w:r w:rsidR="00932635">
              <w:rPr>
                <w:b w:val="0"/>
                <w:bCs w:val="0"/>
                <w:lang w:bidi="ar-MA"/>
              </w:rPr>
              <w:t>6</w:t>
            </w:r>
          </w:p>
          <w:p w:rsidR="004A6764" w:rsidRPr="00FD2ADD" w:rsidRDefault="004A6764" w:rsidP="00E8181A">
            <w:pPr>
              <w:bidi/>
              <w:spacing w:line="320" w:lineRule="exact"/>
              <w:jc w:val="center"/>
              <w:rPr>
                <w:b w:val="0"/>
                <w:bCs w:val="0"/>
                <w:lang w:bidi="ar-MA"/>
              </w:rPr>
            </w:pPr>
          </w:p>
          <w:p w:rsidR="004A6764" w:rsidRPr="00FD2ADD" w:rsidRDefault="004A6764" w:rsidP="00E8181A">
            <w:pPr>
              <w:bidi/>
              <w:spacing w:line="320" w:lineRule="exact"/>
              <w:jc w:val="center"/>
              <w:rPr>
                <w:b w:val="0"/>
                <w:bCs w:val="0"/>
                <w:lang w:bidi="ar-MA"/>
              </w:rPr>
            </w:pPr>
            <w:r>
              <w:rPr>
                <w:b w:val="0"/>
                <w:bCs w:val="0"/>
                <w:lang w:bidi="ar-MA"/>
              </w:rPr>
              <w:t>5</w:t>
            </w:r>
            <w:r w:rsidRPr="00FD2ADD">
              <w:rPr>
                <w:b w:val="0"/>
                <w:bCs w:val="0"/>
                <w:lang w:bidi="ar-MA"/>
              </w:rPr>
              <w:t>,</w:t>
            </w:r>
            <w:r>
              <w:rPr>
                <w:b w:val="0"/>
                <w:bCs w:val="0"/>
                <w:lang w:bidi="ar-MA"/>
              </w:rPr>
              <w:t>2</w:t>
            </w:r>
          </w:p>
        </w:tc>
      </w:tr>
    </w:tbl>
    <w:p w:rsidR="004A6764" w:rsidRPr="007A39B3" w:rsidRDefault="004A6764" w:rsidP="004A6764">
      <w:pPr>
        <w:bidi/>
        <w:spacing w:line="320" w:lineRule="exact"/>
        <w:ind w:right="-142"/>
        <w:jc w:val="right"/>
        <w:rPr>
          <w:b w:val="0"/>
          <w:bCs w:val="0"/>
          <w:sz w:val="18"/>
          <w:szCs w:val="18"/>
          <w:lang w:bidi="ar-MA"/>
        </w:rPr>
      </w:pPr>
      <w:r w:rsidRPr="007A39B3">
        <w:rPr>
          <w:b w:val="0"/>
          <w:bCs w:val="0"/>
          <w:sz w:val="18"/>
          <w:szCs w:val="18"/>
          <w:lang w:bidi="ar-MA"/>
        </w:rPr>
        <w:t xml:space="preserve">NB : -Variations en % aux prix de l’année précédente.  </w:t>
      </w:r>
      <w:r w:rsidRPr="007A39B3">
        <w:rPr>
          <w:b w:val="0"/>
          <w:bCs w:val="0"/>
          <w:sz w:val="18"/>
          <w:szCs w:val="18"/>
        </w:rPr>
        <w:t xml:space="preserve">- (*) : Estimations et  (**) : Prévisions </w:t>
      </w:r>
      <w:r w:rsidRPr="007A39B3">
        <w:rPr>
          <w:b w:val="0"/>
          <w:bCs w:val="0"/>
          <w:sz w:val="18"/>
          <w:szCs w:val="18"/>
          <w:lang w:bidi="ar-MA"/>
        </w:rPr>
        <w:t xml:space="preserve"> établies par le Haut Commissariat au Plan. </w:t>
      </w:r>
      <w:r>
        <w:rPr>
          <w:b w:val="0"/>
          <w:bCs w:val="0"/>
          <w:sz w:val="18"/>
          <w:szCs w:val="18"/>
          <w:lang w:bidi="ar-MA"/>
        </w:rPr>
        <w:t>Janvier 2015</w:t>
      </w:r>
    </w:p>
    <w:p w:rsidR="00DC267E" w:rsidRDefault="00DC267E" w:rsidP="004A6764">
      <w:pPr>
        <w:widowControl w:val="0"/>
        <w:adjustRightInd w:val="0"/>
        <w:spacing w:after="360"/>
        <w:ind w:firstLine="708"/>
        <w:jc w:val="lowKashida"/>
        <w:rPr>
          <w:b w:val="0"/>
          <w:bCs w:val="0"/>
          <w:sz w:val="15"/>
          <w:szCs w:val="15"/>
          <w:lang w:bidi="ar-MA"/>
        </w:rPr>
      </w:pPr>
    </w:p>
    <w:sectPr w:rsidR="00DC267E" w:rsidSect="000D54D7">
      <w:footerReference w:type="even" r:id="rId8"/>
      <w:footerReference w:type="default" r:id="rId9"/>
      <w:headerReference w:type="first" r:id="rId10"/>
      <w:pgSz w:w="11906" w:h="16838" w:code="9"/>
      <w:pgMar w:top="71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8BD" w:rsidRDefault="009B18BD">
      <w:r>
        <w:separator/>
      </w:r>
    </w:p>
  </w:endnote>
  <w:endnote w:type="continuationSeparator" w:id="1">
    <w:p w:rsidR="009B18BD" w:rsidRDefault="009B18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08" w:rsidRDefault="00C03A57" w:rsidP="00625996">
    <w:pPr>
      <w:pStyle w:val="Pieddepage"/>
      <w:framePr w:wrap="around" w:vAnchor="text" w:hAnchor="margin" w:xAlign="center" w:y="1"/>
      <w:rPr>
        <w:rStyle w:val="Numrodepage"/>
      </w:rPr>
    </w:pPr>
    <w:r>
      <w:rPr>
        <w:rStyle w:val="Numrodepage"/>
      </w:rPr>
      <w:fldChar w:fldCharType="begin"/>
    </w:r>
    <w:r w:rsidR="00EE5008">
      <w:rPr>
        <w:rStyle w:val="Numrodepage"/>
      </w:rPr>
      <w:instrText xml:space="preserve">PAGE  </w:instrText>
    </w:r>
    <w:r>
      <w:rPr>
        <w:rStyle w:val="Numrodepage"/>
      </w:rPr>
      <w:fldChar w:fldCharType="end"/>
    </w:r>
  </w:p>
  <w:p w:rsidR="00EE5008" w:rsidRDefault="00EE50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08" w:rsidRDefault="00C03A57" w:rsidP="00625996">
    <w:pPr>
      <w:pStyle w:val="Pieddepage"/>
      <w:framePr w:wrap="around" w:vAnchor="text" w:hAnchor="margin" w:xAlign="center" w:y="1"/>
      <w:rPr>
        <w:rStyle w:val="Numrodepage"/>
      </w:rPr>
    </w:pPr>
    <w:r>
      <w:rPr>
        <w:rStyle w:val="Numrodepage"/>
      </w:rPr>
      <w:fldChar w:fldCharType="begin"/>
    </w:r>
    <w:r w:rsidR="00EE5008">
      <w:rPr>
        <w:rStyle w:val="Numrodepage"/>
      </w:rPr>
      <w:instrText xml:space="preserve">PAGE  </w:instrText>
    </w:r>
    <w:r>
      <w:rPr>
        <w:rStyle w:val="Numrodepage"/>
      </w:rPr>
      <w:fldChar w:fldCharType="separate"/>
    </w:r>
    <w:r w:rsidR="00A26269">
      <w:rPr>
        <w:rStyle w:val="Numrodepage"/>
        <w:noProof/>
      </w:rPr>
      <w:t>2</w:t>
    </w:r>
    <w:r>
      <w:rPr>
        <w:rStyle w:val="Numrodepage"/>
      </w:rPr>
      <w:fldChar w:fldCharType="end"/>
    </w:r>
  </w:p>
  <w:p w:rsidR="00EE5008" w:rsidRDefault="00EE50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8BD" w:rsidRDefault="009B18BD">
      <w:r>
        <w:separator/>
      </w:r>
    </w:p>
  </w:footnote>
  <w:footnote w:type="continuationSeparator" w:id="1">
    <w:p w:rsidR="009B18BD" w:rsidRDefault="009B18BD">
      <w:r>
        <w:continuationSeparator/>
      </w:r>
    </w:p>
  </w:footnote>
  <w:footnote w:id="2">
    <w:p w:rsidR="005E734E" w:rsidRDefault="005E734E" w:rsidP="005E734E">
      <w:pPr>
        <w:pStyle w:val="Notedebasdepage"/>
      </w:pPr>
      <w:r>
        <w:rPr>
          <w:rStyle w:val="Appelnotedebasdep"/>
        </w:rPr>
        <w:footnoteRef/>
      </w:r>
      <w:r>
        <w:t xml:space="preserve"> Perspectives économiques de l’OCDE, novembre 2014.</w:t>
      </w:r>
    </w:p>
  </w:footnote>
  <w:footnote w:id="3">
    <w:p w:rsidR="005E734E" w:rsidRDefault="005E734E" w:rsidP="005E734E">
      <w:pPr>
        <w:pStyle w:val="Notedebasdepage"/>
      </w:pPr>
      <w:r>
        <w:rPr>
          <w:rStyle w:val="Appelnotedebasdep"/>
        </w:rPr>
        <w:footnoteRef/>
      </w:r>
      <w:r>
        <w:t xml:space="preserve"> Insee, décembre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08" w:rsidRDefault="00C03A57">
    <w:pPr>
      <w:pStyle w:val="En-tte"/>
    </w:pPr>
    <w:r>
      <w:rPr>
        <w:noProof/>
      </w:rPr>
      <w:pict>
        <v:rect id="_x0000_s1025" style="position:absolute;margin-left:-124.9pt;margin-top:-44.45pt;width:685.25pt;height:405.75pt;z-index:251657728" o:preferrelative="t" filled="f" stroked="f" insetpen="t" o:cliptowrap="t">
          <v:imagedata r:id="rId1" o:title=""/>
          <v:path o:extrusionok="f"/>
          <o:lock v:ext="edit" aspectratio="t"/>
          <w10:wrap anchorx="page"/>
        </v:rect>
        <o:OLEObject Type="Embed" ProgID="PBrush" ShapeID="_x0000_s1025" DrawAspect="Content" ObjectID="_148343699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D781CC7"/>
    <w:multiLevelType w:val="hybridMultilevel"/>
    <w:tmpl w:val="7B76F4D0"/>
    <w:lvl w:ilvl="0" w:tplc="040C000B">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34BB1DAF"/>
    <w:multiLevelType w:val="hybridMultilevel"/>
    <w:tmpl w:val="D4F8BF8C"/>
    <w:lvl w:ilvl="0" w:tplc="040C000F">
      <w:start w:val="1"/>
      <w:numFmt w:val="decimal"/>
      <w:lvlText w:val="%1."/>
      <w:lvlJc w:val="left"/>
      <w:pPr>
        <w:tabs>
          <w:tab w:val="num" w:pos="1428"/>
        </w:tabs>
        <w:ind w:left="1428" w:hanging="360"/>
      </w:pPr>
      <w:rPr>
        <w:rFont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3A911D85"/>
    <w:multiLevelType w:val="hybridMultilevel"/>
    <w:tmpl w:val="3208C8AA"/>
    <w:lvl w:ilvl="0" w:tplc="9878CB6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40647832"/>
    <w:multiLevelType w:val="hybridMultilevel"/>
    <w:tmpl w:val="524EEAAA"/>
    <w:lvl w:ilvl="0" w:tplc="EE745C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91C7B8D"/>
    <w:multiLevelType w:val="hybridMultilevel"/>
    <w:tmpl w:val="85024670"/>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B">
      <w:start w:val="1"/>
      <w:numFmt w:val="bullet"/>
      <w:lvlText w:val=""/>
      <w:lvlJc w:val="left"/>
      <w:pPr>
        <w:tabs>
          <w:tab w:val="num" w:pos="2520"/>
        </w:tabs>
        <w:ind w:left="2520" w:hanging="360"/>
      </w:pPr>
      <w:rPr>
        <w:rFonts w:ascii="Wingdings" w:hAnsi="Wingdings"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56362ED1"/>
    <w:multiLevelType w:val="hybridMultilevel"/>
    <w:tmpl w:val="93665BEC"/>
    <w:lvl w:ilvl="0" w:tplc="040C000B">
      <w:start w:val="1"/>
      <w:numFmt w:val="bullet"/>
      <w:lvlText w:val=""/>
      <w:lvlJc w:val="left"/>
      <w:pPr>
        <w:tabs>
          <w:tab w:val="num" w:pos="1353"/>
        </w:tabs>
        <w:ind w:left="1353" w:hanging="360"/>
      </w:pPr>
      <w:rPr>
        <w:rFonts w:ascii="Wingdings" w:hAnsi="Wingdings" w:hint="default"/>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18">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D92F7B"/>
    <w:multiLevelType w:val="multilevel"/>
    <w:tmpl w:val="9986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1">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69B81826"/>
    <w:multiLevelType w:val="hybridMultilevel"/>
    <w:tmpl w:val="9672032A"/>
    <w:lvl w:ilvl="0" w:tplc="F05204B2">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ADA0771"/>
    <w:multiLevelType w:val="hybridMultilevel"/>
    <w:tmpl w:val="9F364F02"/>
    <w:lvl w:ilvl="0" w:tplc="E30CE0D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25">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7">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FE847CA"/>
    <w:multiLevelType w:val="hybridMultilevel"/>
    <w:tmpl w:val="6E122952"/>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3"/>
  </w:num>
  <w:num w:numId="2">
    <w:abstractNumId w:val="25"/>
  </w:num>
  <w:num w:numId="3">
    <w:abstractNumId w:val="7"/>
  </w:num>
  <w:num w:numId="4">
    <w:abstractNumId w:val="0"/>
  </w:num>
  <w:num w:numId="5">
    <w:abstractNumId w:val="28"/>
  </w:num>
  <w:num w:numId="6">
    <w:abstractNumId w:val="2"/>
  </w:num>
  <w:num w:numId="7">
    <w:abstractNumId w:val="24"/>
  </w:num>
  <w:num w:numId="8">
    <w:abstractNumId w:val="27"/>
  </w:num>
  <w:num w:numId="9">
    <w:abstractNumId w:val="11"/>
  </w:num>
  <w:num w:numId="10">
    <w:abstractNumId w:val="21"/>
  </w:num>
  <w:num w:numId="11">
    <w:abstractNumId w:val="26"/>
  </w:num>
  <w:num w:numId="12">
    <w:abstractNumId w:val="1"/>
  </w:num>
  <w:num w:numId="13">
    <w:abstractNumId w:val="3"/>
  </w:num>
  <w:num w:numId="14">
    <w:abstractNumId w:val="20"/>
  </w:num>
  <w:num w:numId="15">
    <w:abstractNumId w:val="15"/>
  </w:num>
  <w:num w:numId="16">
    <w:abstractNumId w:val="4"/>
  </w:num>
  <w:num w:numId="17">
    <w:abstractNumId w:val="18"/>
  </w:num>
  <w:num w:numId="18">
    <w:abstractNumId w:val="14"/>
  </w:num>
  <w:num w:numId="19">
    <w:abstractNumId w:val="9"/>
  </w:num>
  <w:num w:numId="20">
    <w:abstractNumId w:val="16"/>
  </w:num>
  <w:num w:numId="21">
    <w:abstractNumId w:val="12"/>
  </w:num>
  <w:num w:numId="22">
    <w:abstractNumId w:val="17"/>
  </w:num>
  <w:num w:numId="23">
    <w:abstractNumId w:val="6"/>
  </w:num>
  <w:num w:numId="24">
    <w:abstractNumId w:val="29"/>
  </w:num>
  <w:num w:numId="25">
    <w:abstractNumId w:val="19"/>
  </w:num>
  <w:num w:numId="26">
    <w:abstractNumId w:val="22"/>
  </w:num>
  <w:num w:numId="27">
    <w:abstractNumId w:val="10"/>
  </w:num>
  <w:num w:numId="28">
    <w:abstractNumId w:val="5"/>
  </w:num>
  <w:num w:numId="29">
    <w:abstractNumId w:val="2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105474"/>
    <o:shapelayout v:ext="edit">
      <o:idmap v:ext="edit" data="1"/>
    </o:shapelayout>
  </w:hdrShapeDefaults>
  <w:footnotePr>
    <w:footnote w:id="0"/>
    <w:footnote w:id="1"/>
  </w:footnotePr>
  <w:endnotePr>
    <w:endnote w:id="0"/>
    <w:endnote w:id="1"/>
  </w:endnotePr>
  <w:compat/>
  <w:rsids>
    <w:rsidRoot w:val="00605B3C"/>
    <w:rsid w:val="000000A3"/>
    <w:rsid w:val="00001181"/>
    <w:rsid w:val="0000171D"/>
    <w:rsid w:val="00003D85"/>
    <w:rsid w:val="00005F68"/>
    <w:rsid w:val="00010D0C"/>
    <w:rsid w:val="0001119C"/>
    <w:rsid w:val="000153D5"/>
    <w:rsid w:val="000160AC"/>
    <w:rsid w:val="00021CFE"/>
    <w:rsid w:val="00022081"/>
    <w:rsid w:val="00022A1A"/>
    <w:rsid w:val="000257B9"/>
    <w:rsid w:val="00035BAA"/>
    <w:rsid w:val="00042BA6"/>
    <w:rsid w:val="00043526"/>
    <w:rsid w:val="00044D2B"/>
    <w:rsid w:val="0004585C"/>
    <w:rsid w:val="00045D1F"/>
    <w:rsid w:val="00046C13"/>
    <w:rsid w:val="00050BA0"/>
    <w:rsid w:val="00052E2E"/>
    <w:rsid w:val="0005409E"/>
    <w:rsid w:val="0005509F"/>
    <w:rsid w:val="00056239"/>
    <w:rsid w:val="0005757A"/>
    <w:rsid w:val="000623B8"/>
    <w:rsid w:val="00063219"/>
    <w:rsid w:val="0006321A"/>
    <w:rsid w:val="0006498B"/>
    <w:rsid w:val="00066D1D"/>
    <w:rsid w:val="000671B3"/>
    <w:rsid w:val="00072434"/>
    <w:rsid w:val="00073FD8"/>
    <w:rsid w:val="000774C9"/>
    <w:rsid w:val="000774D8"/>
    <w:rsid w:val="0008076D"/>
    <w:rsid w:val="0008251A"/>
    <w:rsid w:val="00083079"/>
    <w:rsid w:val="00083CC2"/>
    <w:rsid w:val="0008599B"/>
    <w:rsid w:val="000861D4"/>
    <w:rsid w:val="00086CD4"/>
    <w:rsid w:val="00087DF6"/>
    <w:rsid w:val="0009060A"/>
    <w:rsid w:val="00090DB9"/>
    <w:rsid w:val="00092BDA"/>
    <w:rsid w:val="00093360"/>
    <w:rsid w:val="000941EC"/>
    <w:rsid w:val="00095CBB"/>
    <w:rsid w:val="00095D4D"/>
    <w:rsid w:val="000966B7"/>
    <w:rsid w:val="00097A41"/>
    <w:rsid w:val="00097BCD"/>
    <w:rsid w:val="000A053D"/>
    <w:rsid w:val="000A1096"/>
    <w:rsid w:val="000A4885"/>
    <w:rsid w:val="000A6E7F"/>
    <w:rsid w:val="000B03DB"/>
    <w:rsid w:val="000B2605"/>
    <w:rsid w:val="000B3102"/>
    <w:rsid w:val="000B5DD7"/>
    <w:rsid w:val="000C184D"/>
    <w:rsid w:val="000C21A3"/>
    <w:rsid w:val="000C2F9B"/>
    <w:rsid w:val="000C347A"/>
    <w:rsid w:val="000C3900"/>
    <w:rsid w:val="000C4199"/>
    <w:rsid w:val="000C4340"/>
    <w:rsid w:val="000C624B"/>
    <w:rsid w:val="000C7700"/>
    <w:rsid w:val="000C7A62"/>
    <w:rsid w:val="000D235A"/>
    <w:rsid w:val="000D547E"/>
    <w:rsid w:val="000D54D7"/>
    <w:rsid w:val="000D58EF"/>
    <w:rsid w:val="000E4010"/>
    <w:rsid w:val="000E4556"/>
    <w:rsid w:val="000E5E83"/>
    <w:rsid w:val="000E670C"/>
    <w:rsid w:val="000E6E48"/>
    <w:rsid w:val="000F103E"/>
    <w:rsid w:val="000F107C"/>
    <w:rsid w:val="000F22C5"/>
    <w:rsid w:val="000F2BD0"/>
    <w:rsid w:val="000F2D27"/>
    <w:rsid w:val="000F2DDF"/>
    <w:rsid w:val="000F30FE"/>
    <w:rsid w:val="000F4384"/>
    <w:rsid w:val="001006F8"/>
    <w:rsid w:val="0010162E"/>
    <w:rsid w:val="0010301E"/>
    <w:rsid w:val="001051C5"/>
    <w:rsid w:val="00105E1D"/>
    <w:rsid w:val="00111343"/>
    <w:rsid w:val="00112112"/>
    <w:rsid w:val="00112904"/>
    <w:rsid w:val="001154DD"/>
    <w:rsid w:val="00117316"/>
    <w:rsid w:val="0012071C"/>
    <w:rsid w:val="0012602E"/>
    <w:rsid w:val="00130C8A"/>
    <w:rsid w:val="0013276B"/>
    <w:rsid w:val="001329B2"/>
    <w:rsid w:val="00133B09"/>
    <w:rsid w:val="0013797D"/>
    <w:rsid w:val="00143742"/>
    <w:rsid w:val="0014549D"/>
    <w:rsid w:val="001462CB"/>
    <w:rsid w:val="00146CF1"/>
    <w:rsid w:val="001500E1"/>
    <w:rsid w:val="00150E8C"/>
    <w:rsid w:val="00157690"/>
    <w:rsid w:val="0016302E"/>
    <w:rsid w:val="00170A7D"/>
    <w:rsid w:val="0017175E"/>
    <w:rsid w:val="0017254F"/>
    <w:rsid w:val="00172D73"/>
    <w:rsid w:val="00173FED"/>
    <w:rsid w:val="001802A2"/>
    <w:rsid w:val="001818CB"/>
    <w:rsid w:val="00182FEA"/>
    <w:rsid w:val="0018389B"/>
    <w:rsid w:val="00190151"/>
    <w:rsid w:val="001940E4"/>
    <w:rsid w:val="001951DA"/>
    <w:rsid w:val="001970A4"/>
    <w:rsid w:val="0019774F"/>
    <w:rsid w:val="001A25CD"/>
    <w:rsid w:val="001A420D"/>
    <w:rsid w:val="001A4A8B"/>
    <w:rsid w:val="001A50AE"/>
    <w:rsid w:val="001B178E"/>
    <w:rsid w:val="001B39CF"/>
    <w:rsid w:val="001B4FB6"/>
    <w:rsid w:val="001C00A6"/>
    <w:rsid w:val="001C14EE"/>
    <w:rsid w:val="001C2F96"/>
    <w:rsid w:val="001C4701"/>
    <w:rsid w:val="001C659C"/>
    <w:rsid w:val="001C66F2"/>
    <w:rsid w:val="001C6898"/>
    <w:rsid w:val="001D0DF4"/>
    <w:rsid w:val="001D23F3"/>
    <w:rsid w:val="001D2E77"/>
    <w:rsid w:val="001D4286"/>
    <w:rsid w:val="001D531A"/>
    <w:rsid w:val="001D61DD"/>
    <w:rsid w:val="001D68D7"/>
    <w:rsid w:val="001D7A2F"/>
    <w:rsid w:val="001E4165"/>
    <w:rsid w:val="001E55EA"/>
    <w:rsid w:val="001F035E"/>
    <w:rsid w:val="001F0A4E"/>
    <w:rsid w:val="001F46B4"/>
    <w:rsid w:val="001F58E8"/>
    <w:rsid w:val="001F6052"/>
    <w:rsid w:val="00201F5F"/>
    <w:rsid w:val="00203A05"/>
    <w:rsid w:val="00211EE6"/>
    <w:rsid w:val="00213CDC"/>
    <w:rsid w:val="00214E5A"/>
    <w:rsid w:val="00215E90"/>
    <w:rsid w:val="0021657F"/>
    <w:rsid w:val="002200DD"/>
    <w:rsid w:val="00220E50"/>
    <w:rsid w:val="0022638D"/>
    <w:rsid w:val="00226A4B"/>
    <w:rsid w:val="00226A88"/>
    <w:rsid w:val="00226F0D"/>
    <w:rsid w:val="0022720A"/>
    <w:rsid w:val="0023243E"/>
    <w:rsid w:val="00234F97"/>
    <w:rsid w:val="00235124"/>
    <w:rsid w:val="00235223"/>
    <w:rsid w:val="00240090"/>
    <w:rsid w:val="00241888"/>
    <w:rsid w:val="00241A4D"/>
    <w:rsid w:val="00242023"/>
    <w:rsid w:val="00243189"/>
    <w:rsid w:val="0024451A"/>
    <w:rsid w:val="00245D05"/>
    <w:rsid w:val="00246BB2"/>
    <w:rsid w:val="002514E2"/>
    <w:rsid w:val="00251E90"/>
    <w:rsid w:val="00251EB8"/>
    <w:rsid w:val="00253151"/>
    <w:rsid w:val="00255258"/>
    <w:rsid w:val="00256DF6"/>
    <w:rsid w:val="0025733F"/>
    <w:rsid w:val="002573D6"/>
    <w:rsid w:val="00260352"/>
    <w:rsid w:val="00260EF8"/>
    <w:rsid w:val="0026335D"/>
    <w:rsid w:val="00263AC6"/>
    <w:rsid w:val="002650C3"/>
    <w:rsid w:val="002651CC"/>
    <w:rsid w:val="00266390"/>
    <w:rsid w:val="00266D5C"/>
    <w:rsid w:val="00267C7B"/>
    <w:rsid w:val="0027216C"/>
    <w:rsid w:val="00272515"/>
    <w:rsid w:val="00274454"/>
    <w:rsid w:val="0027510F"/>
    <w:rsid w:val="00275120"/>
    <w:rsid w:val="002772D5"/>
    <w:rsid w:val="002815D3"/>
    <w:rsid w:val="002818DA"/>
    <w:rsid w:val="00286C6F"/>
    <w:rsid w:val="00286E73"/>
    <w:rsid w:val="002914F9"/>
    <w:rsid w:val="002943A8"/>
    <w:rsid w:val="002946F2"/>
    <w:rsid w:val="00295F2D"/>
    <w:rsid w:val="002964DA"/>
    <w:rsid w:val="002977D6"/>
    <w:rsid w:val="002A18AD"/>
    <w:rsid w:val="002A1996"/>
    <w:rsid w:val="002A26C7"/>
    <w:rsid w:val="002A3E7F"/>
    <w:rsid w:val="002A4CB9"/>
    <w:rsid w:val="002A61C7"/>
    <w:rsid w:val="002A6A34"/>
    <w:rsid w:val="002B48C4"/>
    <w:rsid w:val="002B4F2E"/>
    <w:rsid w:val="002B54CA"/>
    <w:rsid w:val="002B62FC"/>
    <w:rsid w:val="002B6583"/>
    <w:rsid w:val="002B6667"/>
    <w:rsid w:val="002C0AB2"/>
    <w:rsid w:val="002C12D0"/>
    <w:rsid w:val="002C38EF"/>
    <w:rsid w:val="002C4DD0"/>
    <w:rsid w:val="002D698A"/>
    <w:rsid w:val="002E07C3"/>
    <w:rsid w:val="002E1432"/>
    <w:rsid w:val="002E2360"/>
    <w:rsid w:val="002E37A2"/>
    <w:rsid w:val="002E43C3"/>
    <w:rsid w:val="002E4A4B"/>
    <w:rsid w:val="002E64DA"/>
    <w:rsid w:val="002F0D29"/>
    <w:rsid w:val="002F35B6"/>
    <w:rsid w:val="002F4CE8"/>
    <w:rsid w:val="002F66AC"/>
    <w:rsid w:val="002F6A32"/>
    <w:rsid w:val="00300E9B"/>
    <w:rsid w:val="00301DCE"/>
    <w:rsid w:val="003020EC"/>
    <w:rsid w:val="00302495"/>
    <w:rsid w:val="003037E3"/>
    <w:rsid w:val="00305060"/>
    <w:rsid w:val="00306B6C"/>
    <w:rsid w:val="00310265"/>
    <w:rsid w:val="00311243"/>
    <w:rsid w:val="003112E6"/>
    <w:rsid w:val="00313ED7"/>
    <w:rsid w:val="00314762"/>
    <w:rsid w:val="00315727"/>
    <w:rsid w:val="0031663F"/>
    <w:rsid w:val="00317E4B"/>
    <w:rsid w:val="00320C18"/>
    <w:rsid w:val="00323168"/>
    <w:rsid w:val="003310BC"/>
    <w:rsid w:val="0033148C"/>
    <w:rsid w:val="003320D4"/>
    <w:rsid w:val="00333675"/>
    <w:rsid w:val="003412AE"/>
    <w:rsid w:val="003418D6"/>
    <w:rsid w:val="00341F6C"/>
    <w:rsid w:val="00345158"/>
    <w:rsid w:val="00347342"/>
    <w:rsid w:val="003510F3"/>
    <w:rsid w:val="0035323F"/>
    <w:rsid w:val="00356076"/>
    <w:rsid w:val="00357A78"/>
    <w:rsid w:val="003629B4"/>
    <w:rsid w:val="00362BE1"/>
    <w:rsid w:val="0036365D"/>
    <w:rsid w:val="003644F2"/>
    <w:rsid w:val="00366E24"/>
    <w:rsid w:val="00366FAE"/>
    <w:rsid w:val="00367161"/>
    <w:rsid w:val="003671E2"/>
    <w:rsid w:val="00371A98"/>
    <w:rsid w:val="00371CF4"/>
    <w:rsid w:val="0037656F"/>
    <w:rsid w:val="00377CC3"/>
    <w:rsid w:val="00380606"/>
    <w:rsid w:val="00381AE3"/>
    <w:rsid w:val="00384580"/>
    <w:rsid w:val="00384E08"/>
    <w:rsid w:val="00385557"/>
    <w:rsid w:val="00386A39"/>
    <w:rsid w:val="003901B4"/>
    <w:rsid w:val="003908D3"/>
    <w:rsid w:val="00391BCE"/>
    <w:rsid w:val="00393D15"/>
    <w:rsid w:val="0039494E"/>
    <w:rsid w:val="00394D2F"/>
    <w:rsid w:val="003950E4"/>
    <w:rsid w:val="00395967"/>
    <w:rsid w:val="00397118"/>
    <w:rsid w:val="003A105A"/>
    <w:rsid w:val="003A1110"/>
    <w:rsid w:val="003A1A34"/>
    <w:rsid w:val="003A5372"/>
    <w:rsid w:val="003A784E"/>
    <w:rsid w:val="003B1946"/>
    <w:rsid w:val="003B259C"/>
    <w:rsid w:val="003B2BDA"/>
    <w:rsid w:val="003B68C9"/>
    <w:rsid w:val="003B7392"/>
    <w:rsid w:val="003C4982"/>
    <w:rsid w:val="003C5E52"/>
    <w:rsid w:val="003C6552"/>
    <w:rsid w:val="003D0A43"/>
    <w:rsid w:val="003D1AA3"/>
    <w:rsid w:val="003D2182"/>
    <w:rsid w:val="003D38EF"/>
    <w:rsid w:val="003D55B5"/>
    <w:rsid w:val="003D635D"/>
    <w:rsid w:val="003D63B9"/>
    <w:rsid w:val="003D6A78"/>
    <w:rsid w:val="003E2AD6"/>
    <w:rsid w:val="003E30C7"/>
    <w:rsid w:val="003F4AAE"/>
    <w:rsid w:val="003F567C"/>
    <w:rsid w:val="003F5F6E"/>
    <w:rsid w:val="003F6315"/>
    <w:rsid w:val="003F7009"/>
    <w:rsid w:val="0040233D"/>
    <w:rsid w:val="00402F84"/>
    <w:rsid w:val="00403605"/>
    <w:rsid w:val="0040698E"/>
    <w:rsid w:val="004114CB"/>
    <w:rsid w:val="0041188C"/>
    <w:rsid w:val="00412CE2"/>
    <w:rsid w:val="00416721"/>
    <w:rsid w:val="00421078"/>
    <w:rsid w:val="00423E38"/>
    <w:rsid w:val="0042774F"/>
    <w:rsid w:val="00431377"/>
    <w:rsid w:val="0043207D"/>
    <w:rsid w:val="00434125"/>
    <w:rsid w:val="004353A7"/>
    <w:rsid w:val="0043607F"/>
    <w:rsid w:val="004365A8"/>
    <w:rsid w:val="004441EC"/>
    <w:rsid w:val="00445900"/>
    <w:rsid w:val="00446DF1"/>
    <w:rsid w:val="00447432"/>
    <w:rsid w:val="00450351"/>
    <w:rsid w:val="00450420"/>
    <w:rsid w:val="004510C3"/>
    <w:rsid w:val="004517ED"/>
    <w:rsid w:val="0045183D"/>
    <w:rsid w:val="00453975"/>
    <w:rsid w:val="00453DE2"/>
    <w:rsid w:val="00455C56"/>
    <w:rsid w:val="00460C57"/>
    <w:rsid w:val="004663D0"/>
    <w:rsid w:val="00470845"/>
    <w:rsid w:val="00471B41"/>
    <w:rsid w:val="004727BB"/>
    <w:rsid w:val="004751E3"/>
    <w:rsid w:val="004755EC"/>
    <w:rsid w:val="00480AE5"/>
    <w:rsid w:val="00481E85"/>
    <w:rsid w:val="004824FC"/>
    <w:rsid w:val="004826EA"/>
    <w:rsid w:val="0048400B"/>
    <w:rsid w:val="00484F03"/>
    <w:rsid w:val="0048521B"/>
    <w:rsid w:val="00487435"/>
    <w:rsid w:val="0048771F"/>
    <w:rsid w:val="004904AE"/>
    <w:rsid w:val="00490889"/>
    <w:rsid w:val="00490F67"/>
    <w:rsid w:val="0049132C"/>
    <w:rsid w:val="00492080"/>
    <w:rsid w:val="00492310"/>
    <w:rsid w:val="004932C6"/>
    <w:rsid w:val="00494F1C"/>
    <w:rsid w:val="004A0D29"/>
    <w:rsid w:val="004A1296"/>
    <w:rsid w:val="004A6764"/>
    <w:rsid w:val="004A7AF6"/>
    <w:rsid w:val="004B2B98"/>
    <w:rsid w:val="004B46D1"/>
    <w:rsid w:val="004B4FD1"/>
    <w:rsid w:val="004C11FF"/>
    <w:rsid w:val="004C2E19"/>
    <w:rsid w:val="004C3412"/>
    <w:rsid w:val="004C4D45"/>
    <w:rsid w:val="004C61E7"/>
    <w:rsid w:val="004C71AA"/>
    <w:rsid w:val="004D2723"/>
    <w:rsid w:val="004D3467"/>
    <w:rsid w:val="004D43C1"/>
    <w:rsid w:val="004D6142"/>
    <w:rsid w:val="004E128D"/>
    <w:rsid w:val="004E14F9"/>
    <w:rsid w:val="004E2D06"/>
    <w:rsid w:val="004E474E"/>
    <w:rsid w:val="004E5618"/>
    <w:rsid w:val="004E79FD"/>
    <w:rsid w:val="004F0831"/>
    <w:rsid w:val="004F1848"/>
    <w:rsid w:val="004F32B4"/>
    <w:rsid w:val="004F349B"/>
    <w:rsid w:val="004F36AA"/>
    <w:rsid w:val="004F3905"/>
    <w:rsid w:val="004F4295"/>
    <w:rsid w:val="004F7803"/>
    <w:rsid w:val="0050206F"/>
    <w:rsid w:val="005033C0"/>
    <w:rsid w:val="00505190"/>
    <w:rsid w:val="00507E5B"/>
    <w:rsid w:val="00511CDE"/>
    <w:rsid w:val="00511E80"/>
    <w:rsid w:val="005146C5"/>
    <w:rsid w:val="00514958"/>
    <w:rsid w:val="00515CC4"/>
    <w:rsid w:val="00516020"/>
    <w:rsid w:val="00517E73"/>
    <w:rsid w:val="005233D3"/>
    <w:rsid w:val="005256D2"/>
    <w:rsid w:val="00525982"/>
    <w:rsid w:val="005267E0"/>
    <w:rsid w:val="0052788C"/>
    <w:rsid w:val="00531C1B"/>
    <w:rsid w:val="00532A48"/>
    <w:rsid w:val="00533BDC"/>
    <w:rsid w:val="00534A0A"/>
    <w:rsid w:val="00534C4E"/>
    <w:rsid w:val="00535374"/>
    <w:rsid w:val="00535AB7"/>
    <w:rsid w:val="00535E38"/>
    <w:rsid w:val="00536669"/>
    <w:rsid w:val="00537B07"/>
    <w:rsid w:val="00554738"/>
    <w:rsid w:val="005551FD"/>
    <w:rsid w:val="00555326"/>
    <w:rsid w:val="005563A7"/>
    <w:rsid w:val="005575D0"/>
    <w:rsid w:val="00557D3C"/>
    <w:rsid w:val="00567411"/>
    <w:rsid w:val="00567AC1"/>
    <w:rsid w:val="00570C3F"/>
    <w:rsid w:val="0057282A"/>
    <w:rsid w:val="00573DFF"/>
    <w:rsid w:val="00575420"/>
    <w:rsid w:val="00575921"/>
    <w:rsid w:val="005768FC"/>
    <w:rsid w:val="00576EAE"/>
    <w:rsid w:val="00577941"/>
    <w:rsid w:val="0058013D"/>
    <w:rsid w:val="005805BB"/>
    <w:rsid w:val="0058397D"/>
    <w:rsid w:val="00585B09"/>
    <w:rsid w:val="0058607E"/>
    <w:rsid w:val="005919D2"/>
    <w:rsid w:val="00593F68"/>
    <w:rsid w:val="0059458F"/>
    <w:rsid w:val="00594F31"/>
    <w:rsid w:val="00595902"/>
    <w:rsid w:val="0059725E"/>
    <w:rsid w:val="0059773B"/>
    <w:rsid w:val="005A00E5"/>
    <w:rsid w:val="005A0646"/>
    <w:rsid w:val="005A3EA4"/>
    <w:rsid w:val="005A4314"/>
    <w:rsid w:val="005A500A"/>
    <w:rsid w:val="005A5222"/>
    <w:rsid w:val="005A6DCD"/>
    <w:rsid w:val="005A6FAA"/>
    <w:rsid w:val="005B35DC"/>
    <w:rsid w:val="005B4936"/>
    <w:rsid w:val="005B4D2C"/>
    <w:rsid w:val="005B674A"/>
    <w:rsid w:val="005B6DBF"/>
    <w:rsid w:val="005C05A5"/>
    <w:rsid w:val="005C1191"/>
    <w:rsid w:val="005C2445"/>
    <w:rsid w:val="005C247F"/>
    <w:rsid w:val="005C291E"/>
    <w:rsid w:val="005C6F87"/>
    <w:rsid w:val="005C755E"/>
    <w:rsid w:val="005D3880"/>
    <w:rsid w:val="005D59BA"/>
    <w:rsid w:val="005D7EA1"/>
    <w:rsid w:val="005E0512"/>
    <w:rsid w:val="005E077B"/>
    <w:rsid w:val="005E3B02"/>
    <w:rsid w:val="005E734E"/>
    <w:rsid w:val="005E7E76"/>
    <w:rsid w:val="005F0A3A"/>
    <w:rsid w:val="005F0EE6"/>
    <w:rsid w:val="005F2EDD"/>
    <w:rsid w:val="005F7CAB"/>
    <w:rsid w:val="005F7F1B"/>
    <w:rsid w:val="006004A5"/>
    <w:rsid w:val="00601A4E"/>
    <w:rsid w:val="00602354"/>
    <w:rsid w:val="006039F2"/>
    <w:rsid w:val="00605290"/>
    <w:rsid w:val="00605B3C"/>
    <w:rsid w:val="00607619"/>
    <w:rsid w:val="006115E6"/>
    <w:rsid w:val="006125F0"/>
    <w:rsid w:val="00612903"/>
    <w:rsid w:val="006132AD"/>
    <w:rsid w:val="006159A1"/>
    <w:rsid w:val="00617999"/>
    <w:rsid w:val="00620505"/>
    <w:rsid w:val="006222F6"/>
    <w:rsid w:val="0062276D"/>
    <w:rsid w:val="00625996"/>
    <w:rsid w:val="00625A2F"/>
    <w:rsid w:val="00630DF9"/>
    <w:rsid w:val="00635391"/>
    <w:rsid w:val="00636040"/>
    <w:rsid w:val="00636154"/>
    <w:rsid w:val="00640B47"/>
    <w:rsid w:val="00641A78"/>
    <w:rsid w:val="00643E24"/>
    <w:rsid w:val="00644C56"/>
    <w:rsid w:val="00650555"/>
    <w:rsid w:val="00653BD6"/>
    <w:rsid w:val="00661BE9"/>
    <w:rsid w:val="00662E50"/>
    <w:rsid w:val="006653E7"/>
    <w:rsid w:val="00666146"/>
    <w:rsid w:val="00672A7E"/>
    <w:rsid w:val="00673DBF"/>
    <w:rsid w:val="006755C4"/>
    <w:rsid w:val="00682709"/>
    <w:rsid w:val="006844A3"/>
    <w:rsid w:val="00684F13"/>
    <w:rsid w:val="00685A00"/>
    <w:rsid w:val="0068606A"/>
    <w:rsid w:val="00686A0B"/>
    <w:rsid w:val="00687A1C"/>
    <w:rsid w:val="00691B1D"/>
    <w:rsid w:val="0069306A"/>
    <w:rsid w:val="00694566"/>
    <w:rsid w:val="00695097"/>
    <w:rsid w:val="006962A7"/>
    <w:rsid w:val="006968D8"/>
    <w:rsid w:val="00697478"/>
    <w:rsid w:val="006A2D92"/>
    <w:rsid w:val="006A7428"/>
    <w:rsid w:val="006A783A"/>
    <w:rsid w:val="006B0F37"/>
    <w:rsid w:val="006B10AF"/>
    <w:rsid w:val="006B154A"/>
    <w:rsid w:val="006B2835"/>
    <w:rsid w:val="006B294A"/>
    <w:rsid w:val="006B469E"/>
    <w:rsid w:val="006C144F"/>
    <w:rsid w:val="006C2257"/>
    <w:rsid w:val="006C3238"/>
    <w:rsid w:val="006C3706"/>
    <w:rsid w:val="006C4BFE"/>
    <w:rsid w:val="006C6321"/>
    <w:rsid w:val="006C6EFB"/>
    <w:rsid w:val="006C71B9"/>
    <w:rsid w:val="006D0A7E"/>
    <w:rsid w:val="006D148C"/>
    <w:rsid w:val="006D1B71"/>
    <w:rsid w:val="006D1E9C"/>
    <w:rsid w:val="006D2CA2"/>
    <w:rsid w:val="006D4087"/>
    <w:rsid w:val="006D5C8A"/>
    <w:rsid w:val="006E55E0"/>
    <w:rsid w:val="006E5F29"/>
    <w:rsid w:val="006E72CF"/>
    <w:rsid w:val="006F0431"/>
    <w:rsid w:val="006F094F"/>
    <w:rsid w:val="006F25E2"/>
    <w:rsid w:val="006F3349"/>
    <w:rsid w:val="006F7223"/>
    <w:rsid w:val="00700FB0"/>
    <w:rsid w:val="00702959"/>
    <w:rsid w:val="007041A8"/>
    <w:rsid w:val="00706356"/>
    <w:rsid w:val="00707175"/>
    <w:rsid w:val="00710501"/>
    <w:rsid w:val="00710A57"/>
    <w:rsid w:val="00712ECF"/>
    <w:rsid w:val="00714E9D"/>
    <w:rsid w:val="007151FD"/>
    <w:rsid w:val="00715353"/>
    <w:rsid w:val="00715E99"/>
    <w:rsid w:val="007204D2"/>
    <w:rsid w:val="00721AFB"/>
    <w:rsid w:val="00723151"/>
    <w:rsid w:val="0072327E"/>
    <w:rsid w:val="007272C7"/>
    <w:rsid w:val="00731FAB"/>
    <w:rsid w:val="0073298E"/>
    <w:rsid w:val="007332C7"/>
    <w:rsid w:val="00733CE6"/>
    <w:rsid w:val="007340E7"/>
    <w:rsid w:val="0073425D"/>
    <w:rsid w:val="00736C71"/>
    <w:rsid w:val="00736CE1"/>
    <w:rsid w:val="007375FD"/>
    <w:rsid w:val="00737FEA"/>
    <w:rsid w:val="007400A5"/>
    <w:rsid w:val="00741CB6"/>
    <w:rsid w:val="007429BC"/>
    <w:rsid w:val="00743633"/>
    <w:rsid w:val="00745238"/>
    <w:rsid w:val="00746010"/>
    <w:rsid w:val="00746592"/>
    <w:rsid w:val="00746BC8"/>
    <w:rsid w:val="007512EB"/>
    <w:rsid w:val="0075359A"/>
    <w:rsid w:val="007542DB"/>
    <w:rsid w:val="00755894"/>
    <w:rsid w:val="00756100"/>
    <w:rsid w:val="0075759E"/>
    <w:rsid w:val="0076081F"/>
    <w:rsid w:val="00761769"/>
    <w:rsid w:val="00770D0C"/>
    <w:rsid w:val="007711EF"/>
    <w:rsid w:val="007719BE"/>
    <w:rsid w:val="00772209"/>
    <w:rsid w:val="007749DB"/>
    <w:rsid w:val="00774F6F"/>
    <w:rsid w:val="00775A11"/>
    <w:rsid w:val="007762DC"/>
    <w:rsid w:val="007774FB"/>
    <w:rsid w:val="00777B26"/>
    <w:rsid w:val="00781F47"/>
    <w:rsid w:val="00783499"/>
    <w:rsid w:val="0078702E"/>
    <w:rsid w:val="007871DA"/>
    <w:rsid w:val="00791588"/>
    <w:rsid w:val="0079170F"/>
    <w:rsid w:val="00793F7E"/>
    <w:rsid w:val="0079479E"/>
    <w:rsid w:val="00796B8A"/>
    <w:rsid w:val="007971CA"/>
    <w:rsid w:val="007A0666"/>
    <w:rsid w:val="007A1045"/>
    <w:rsid w:val="007A10A1"/>
    <w:rsid w:val="007A1DF8"/>
    <w:rsid w:val="007A20E5"/>
    <w:rsid w:val="007A30A6"/>
    <w:rsid w:val="007A70E2"/>
    <w:rsid w:val="007A7561"/>
    <w:rsid w:val="007A77A4"/>
    <w:rsid w:val="007B0697"/>
    <w:rsid w:val="007B07D4"/>
    <w:rsid w:val="007B25E0"/>
    <w:rsid w:val="007B34A0"/>
    <w:rsid w:val="007B3624"/>
    <w:rsid w:val="007B406B"/>
    <w:rsid w:val="007B40D6"/>
    <w:rsid w:val="007B43F3"/>
    <w:rsid w:val="007B79F1"/>
    <w:rsid w:val="007C052F"/>
    <w:rsid w:val="007C1820"/>
    <w:rsid w:val="007C2117"/>
    <w:rsid w:val="007C372D"/>
    <w:rsid w:val="007C4BC9"/>
    <w:rsid w:val="007C5509"/>
    <w:rsid w:val="007C5F86"/>
    <w:rsid w:val="007C7127"/>
    <w:rsid w:val="007C7443"/>
    <w:rsid w:val="007D0951"/>
    <w:rsid w:val="007D1025"/>
    <w:rsid w:val="007D19EF"/>
    <w:rsid w:val="007D499E"/>
    <w:rsid w:val="007D55C2"/>
    <w:rsid w:val="007D6AE6"/>
    <w:rsid w:val="007E4EB3"/>
    <w:rsid w:val="007F1B2E"/>
    <w:rsid w:val="007F29A4"/>
    <w:rsid w:val="007F396D"/>
    <w:rsid w:val="007F3C3F"/>
    <w:rsid w:val="007F53C1"/>
    <w:rsid w:val="007F5B07"/>
    <w:rsid w:val="007F5EDC"/>
    <w:rsid w:val="008061BB"/>
    <w:rsid w:val="00812081"/>
    <w:rsid w:val="00814EBB"/>
    <w:rsid w:val="00816998"/>
    <w:rsid w:val="0082194D"/>
    <w:rsid w:val="0082397C"/>
    <w:rsid w:val="00823EBA"/>
    <w:rsid w:val="0082432B"/>
    <w:rsid w:val="00826043"/>
    <w:rsid w:val="00830090"/>
    <w:rsid w:val="00830A41"/>
    <w:rsid w:val="0083353F"/>
    <w:rsid w:val="00836F72"/>
    <w:rsid w:val="008371DF"/>
    <w:rsid w:val="00837454"/>
    <w:rsid w:val="00837C00"/>
    <w:rsid w:val="00840D4C"/>
    <w:rsid w:val="008429FD"/>
    <w:rsid w:val="00844CA7"/>
    <w:rsid w:val="0084599E"/>
    <w:rsid w:val="0084682D"/>
    <w:rsid w:val="008500FB"/>
    <w:rsid w:val="00851157"/>
    <w:rsid w:val="008534E3"/>
    <w:rsid w:val="00857B52"/>
    <w:rsid w:val="0086063C"/>
    <w:rsid w:val="00861B28"/>
    <w:rsid w:val="008625CE"/>
    <w:rsid w:val="00862F05"/>
    <w:rsid w:val="0086426C"/>
    <w:rsid w:val="00865BC3"/>
    <w:rsid w:val="008677BC"/>
    <w:rsid w:val="00870E1D"/>
    <w:rsid w:val="00871CA9"/>
    <w:rsid w:val="0087325C"/>
    <w:rsid w:val="00873DC4"/>
    <w:rsid w:val="00876A01"/>
    <w:rsid w:val="00877020"/>
    <w:rsid w:val="008829DB"/>
    <w:rsid w:val="008836CC"/>
    <w:rsid w:val="008875BC"/>
    <w:rsid w:val="00893144"/>
    <w:rsid w:val="00893FE9"/>
    <w:rsid w:val="00895DFF"/>
    <w:rsid w:val="00896AF2"/>
    <w:rsid w:val="008971ED"/>
    <w:rsid w:val="008A0850"/>
    <w:rsid w:val="008A0E65"/>
    <w:rsid w:val="008A1F88"/>
    <w:rsid w:val="008A3373"/>
    <w:rsid w:val="008A3DFF"/>
    <w:rsid w:val="008A3EDA"/>
    <w:rsid w:val="008A5F02"/>
    <w:rsid w:val="008A758F"/>
    <w:rsid w:val="008A7E8C"/>
    <w:rsid w:val="008B3335"/>
    <w:rsid w:val="008B42C6"/>
    <w:rsid w:val="008B449C"/>
    <w:rsid w:val="008B5C8B"/>
    <w:rsid w:val="008C16FE"/>
    <w:rsid w:val="008C537D"/>
    <w:rsid w:val="008D35C9"/>
    <w:rsid w:val="008D371A"/>
    <w:rsid w:val="008D5125"/>
    <w:rsid w:val="008D51E2"/>
    <w:rsid w:val="008D6F26"/>
    <w:rsid w:val="008D79B0"/>
    <w:rsid w:val="008E2E39"/>
    <w:rsid w:val="008E55E2"/>
    <w:rsid w:val="008F2860"/>
    <w:rsid w:val="008F2ACD"/>
    <w:rsid w:val="008F3418"/>
    <w:rsid w:val="008F7023"/>
    <w:rsid w:val="00900240"/>
    <w:rsid w:val="009011EE"/>
    <w:rsid w:val="0090165C"/>
    <w:rsid w:val="00901A7C"/>
    <w:rsid w:val="009071E8"/>
    <w:rsid w:val="00911B11"/>
    <w:rsid w:val="00911E40"/>
    <w:rsid w:val="0091287C"/>
    <w:rsid w:val="009143F7"/>
    <w:rsid w:val="00920BD3"/>
    <w:rsid w:val="00920EE1"/>
    <w:rsid w:val="00921498"/>
    <w:rsid w:val="00921B51"/>
    <w:rsid w:val="009231E4"/>
    <w:rsid w:val="009231FE"/>
    <w:rsid w:val="009232E1"/>
    <w:rsid w:val="009244A5"/>
    <w:rsid w:val="00926334"/>
    <w:rsid w:val="009263E7"/>
    <w:rsid w:val="009278FE"/>
    <w:rsid w:val="00930EB8"/>
    <w:rsid w:val="00932635"/>
    <w:rsid w:val="0093513C"/>
    <w:rsid w:val="00940905"/>
    <w:rsid w:val="009423EA"/>
    <w:rsid w:val="00942B70"/>
    <w:rsid w:val="0094488B"/>
    <w:rsid w:val="009456FF"/>
    <w:rsid w:val="009459B0"/>
    <w:rsid w:val="009467C4"/>
    <w:rsid w:val="00947A8F"/>
    <w:rsid w:val="009500D8"/>
    <w:rsid w:val="00953DA2"/>
    <w:rsid w:val="009551ED"/>
    <w:rsid w:val="00960AAB"/>
    <w:rsid w:val="00961715"/>
    <w:rsid w:val="00961ECA"/>
    <w:rsid w:val="0096213B"/>
    <w:rsid w:val="009645A3"/>
    <w:rsid w:val="009645FC"/>
    <w:rsid w:val="0096468B"/>
    <w:rsid w:val="00964C5A"/>
    <w:rsid w:val="0097024E"/>
    <w:rsid w:val="00974014"/>
    <w:rsid w:val="00976293"/>
    <w:rsid w:val="00976EC1"/>
    <w:rsid w:val="00977766"/>
    <w:rsid w:val="00982563"/>
    <w:rsid w:val="00982DE3"/>
    <w:rsid w:val="00982E29"/>
    <w:rsid w:val="0098467F"/>
    <w:rsid w:val="00990373"/>
    <w:rsid w:val="00990CC6"/>
    <w:rsid w:val="009929E3"/>
    <w:rsid w:val="009948AB"/>
    <w:rsid w:val="00995F93"/>
    <w:rsid w:val="00996EB5"/>
    <w:rsid w:val="009A25C1"/>
    <w:rsid w:val="009A7AA8"/>
    <w:rsid w:val="009B019E"/>
    <w:rsid w:val="009B082E"/>
    <w:rsid w:val="009B182F"/>
    <w:rsid w:val="009B18BD"/>
    <w:rsid w:val="009B47F7"/>
    <w:rsid w:val="009B7A22"/>
    <w:rsid w:val="009C2D98"/>
    <w:rsid w:val="009C34E3"/>
    <w:rsid w:val="009C5CDB"/>
    <w:rsid w:val="009C6AED"/>
    <w:rsid w:val="009C75AA"/>
    <w:rsid w:val="009D2EF1"/>
    <w:rsid w:val="009D5D64"/>
    <w:rsid w:val="009E3016"/>
    <w:rsid w:val="009E4E38"/>
    <w:rsid w:val="009E6CDE"/>
    <w:rsid w:val="009F0459"/>
    <w:rsid w:val="009F1C42"/>
    <w:rsid w:val="009F2940"/>
    <w:rsid w:val="009F32A7"/>
    <w:rsid w:val="009F3F6A"/>
    <w:rsid w:val="009F4D65"/>
    <w:rsid w:val="009F5ABB"/>
    <w:rsid w:val="009F7707"/>
    <w:rsid w:val="00A02413"/>
    <w:rsid w:val="00A05334"/>
    <w:rsid w:val="00A06C83"/>
    <w:rsid w:val="00A116FC"/>
    <w:rsid w:val="00A11716"/>
    <w:rsid w:val="00A1182D"/>
    <w:rsid w:val="00A14A73"/>
    <w:rsid w:val="00A1571D"/>
    <w:rsid w:val="00A210B2"/>
    <w:rsid w:val="00A26269"/>
    <w:rsid w:val="00A2705A"/>
    <w:rsid w:val="00A30BD9"/>
    <w:rsid w:val="00A31C83"/>
    <w:rsid w:val="00A32CD3"/>
    <w:rsid w:val="00A36658"/>
    <w:rsid w:val="00A37136"/>
    <w:rsid w:val="00A37BAC"/>
    <w:rsid w:val="00A4106A"/>
    <w:rsid w:val="00A41900"/>
    <w:rsid w:val="00A46D6D"/>
    <w:rsid w:val="00A477AA"/>
    <w:rsid w:val="00A5043F"/>
    <w:rsid w:val="00A51978"/>
    <w:rsid w:val="00A52D5D"/>
    <w:rsid w:val="00A53589"/>
    <w:rsid w:val="00A5430D"/>
    <w:rsid w:val="00A61F03"/>
    <w:rsid w:val="00A6388B"/>
    <w:rsid w:val="00A65568"/>
    <w:rsid w:val="00A65813"/>
    <w:rsid w:val="00A66CE2"/>
    <w:rsid w:val="00A66FC3"/>
    <w:rsid w:val="00A72A9B"/>
    <w:rsid w:val="00A72C2E"/>
    <w:rsid w:val="00A77490"/>
    <w:rsid w:val="00A81536"/>
    <w:rsid w:val="00A8296B"/>
    <w:rsid w:val="00A83966"/>
    <w:rsid w:val="00A84C2B"/>
    <w:rsid w:val="00A8757A"/>
    <w:rsid w:val="00A878EA"/>
    <w:rsid w:val="00A87EB2"/>
    <w:rsid w:val="00A93300"/>
    <w:rsid w:val="00A93412"/>
    <w:rsid w:val="00A93A7D"/>
    <w:rsid w:val="00A93C4E"/>
    <w:rsid w:val="00A94B3D"/>
    <w:rsid w:val="00AA0071"/>
    <w:rsid w:val="00AA01FC"/>
    <w:rsid w:val="00AA15AE"/>
    <w:rsid w:val="00AA1E6C"/>
    <w:rsid w:val="00AA34F5"/>
    <w:rsid w:val="00AA39A2"/>
    <w:rsid w:val="00AA6B91"/>
    <w:rsid w:val="00AA75A8"/>
    <w:rsid w:val="00AB10FE"/>
    <w:rsid w:val="00AB2AFF"/>
    <w:rsid w:val="00AB3375"/>
    <w:rsid w:val="00AB509D"/>
    <w:rsid w:val="00AB63C5"/>
    <w:rsid w:val="00AC0EAB"/>
    <w:rsid w:val="00AC2570"/>
    <w:rsid w:val="00AC4B3D"/>
    <w:rsid w:val="00AC6850"/>
    <w:rsid w:val="00AD2417"/>
    <w:rsid w:val="00AD2491"/>
    <w:rsid w:val="00AD3496"/>
    <w:rsid w:val="00AD3E12"/>
    <w:rsid w:val="00AD46E8"/>
    <w:rsid w:val="00AD6855"/>
    <w:rsid w:val="00AD7B1B"/>
    <w:rsid w:val="00AE09F2"/>
    <w:rsid w:val="00AE1E9C"/>
    <w:rsid w:val="00AE3608"/>
    <w:rsid w:val="00AE5091"/>
    <w:rsid w:val="00AE663E"/>
    <w:rsid w:val="00AE704A"/>
    <w:rsid w:val="00AF3813"/>
    <w:rsid w:val="00AF59BD"/>
    <w:rsid w:val="00AF6E0A"/>
    <w:rsid w:val="00AF7AED"/>
    <w:rsid w:val="00B00173"/>
    <w:rsid w:val="00B0017E"/>
    <w:rsid w:val="00B00690"/>
    <w:rsid w:val="00B029EA"/>
    <w:rsid w:val="00B044D7"/>
    <w:rsid w:val="00B05ABC"/>
    <w:rsid w:val="00B064A0"/>
    <w:rsid w:val="00B07E2F"/>
    <w:rsid w:val="00B10677"/>
    <w:rsid w:val="00B1467A"/>
    <w:rsid w:val="00B147D3"/>
    <w:rsid w:val="00B16758"/>
    <w:rsid w:val="00B16941"/>
    <w:rsid w:val="00B17D00"/>
    <w:rsid w:val="00B20C25"/>
    <w:rsid w:val="00B211C4"/>
    <w:rsid w:val="00B21F76"/>
    <w:rsid w:val="00B32260"/>
    <w:rsid w:val="00B32DA2"/>
    <w:rsid w:val="00B33865"/>
    <w:rsid w:val="00B401AC"/>
    <w:rsid w:val="00B42A1E"/>
    <w:rsid w:val="00B4793D"/>
    <w:rsid w:val="00B502F4"/>
    <w:rsid w:val="00B533ED"/>
    <w:rsid w:val="00B5438F"/>
    <w:rsid w:val="00B5584A"/>
    <w:rsid w:val="00B55EC8"/>
    <w:rsid w:val="00B562BB"/>
    <w:rsid w:val="00B62B37"/>
    <w:rsid w:val="00B6455F"/>
    <w:rsid w:val="00B70381"/>
    <w:rsid w:val="00B71658"/>
    <w:rsid w:val="00B7190C"/>
    <w:rsid w:val="00B7213D"/>
    <w:rsid w:val="00B72BEB"/>
    <w:rsid w:val="00B749D1"/>
    <w:rsid w:val="00B80975"/>
    <w:rsid w:val="00B82B0C"/>
    <w:rsid w:val="00B85AB8"/>
    <w:rsid w:val="00B86364"/>
    <w:rsid w:val="00B878E4"/>
    <w:rsid w:val="00B87F3B"/>
    <w:rsid w:val="00B91870"/>
    <w:rsid w:val="00B92780"/>
    <w:rsid w:val="00B92CC8"/>
    <w:rsid w:val="00B92FEA"/>
    <w:rsid w:val="00B948B6"/>
    <w:rsid w:val="00B95E03"/>
    <w:rsid w:val="00B9699D"/>
    <w:rsid w:val="00B97937"/>
    <w:rsid w:val="00BA2BA8"/>
    <w:rsid w:val="00BA36E6"/>
    <w:rsid w:val="00BA6544"/>
    <w:rsid w:val="00BA7F08"/>
    <w:rsid w:val="00BB2868"/>
    <w:rsid w:val="00BB622D"/>
    <w:rsid w:val="00BB6520"/>
    <w:rsid w:val="00BB6C0C"/>
    <w:rsid w:val="00BB7528"/>
    <w:rsid w:val="00BB7F6B"/>
    <w:rsid w:val="00BC0584"/>
    <w:rsid w:val="00BC0695"/>
    <w:rsid w:val="00BC08C5"/>
    <w:rsid w:val="00BC2B09"/>
    <w:rsid w:val="00BC3E3F"/>
    <w:rsid w:val="00BC3ED2"/>
    <w:rsid w:val="00BC4624"/>
    <w:rsid w:val="00BC48E1"/>
    <w:rsid w:val="00BD2680"/>
    <w:rsid w:val="00BD2FCF"/>
    <w:rsid w:val="00BD4116"/>
    <w:rsid w:val="00BD4598"/>
    <w:rsid w:val="00BD4BFD"/>
    <w:rsid w:val="00BD7873"/>
    <w:rsid w:val="00BE1790"/>
    <w:rsid w:val="00BE2EEA"/>
    <w:rsid w:val="00BE353A"/>
    <w:rsid w:val="00BE3830"/>
    <w:rsid w:val="00BF0525"/>
    <w:rsid w:val="00BF19E2"/>
    <w:rsid w:val="00BF1AFB"/>
    <w:rsid w:val="00BF1E79"/>
    <w:rsid w:val="00BF25AD"/>
    <w:rsid w:val="00BF46F6"/>
    <w:rsid w:val="00BF6822"/>
    <w:rsid w:val="00C01E67"/>
    <w:rsid w:val="00C03A57"/>
    <w:rsid w:val="00C04BB5"/>
    <w:rsid w:val="00C06B0F"/>
    <w:rsid w:val="00C1171F"/>
    <w:rsid w:val="00C11E4B"/>
    <w:rsid w:val="00C153D7"/>
    <w:rsid w:val="00C17299"/>
    <w:rsid w:val="00C17E6C"/>
    <w:rsid w:val="00C21CB1"/>
    <w:rsid w:val="00C23DDC"/>
    <w:rsid w:val="00C26607"/>
    <w:rsid w:val="00C30186"/>
    <w:rsid w:val="00C3191C"/>
    <w:rsid w:val="00C32B8E"/>
    <w:rsid w:val="00C32DEE"/>
    <w:rsid w:val="00C32EDB"/>
    <w:rsid w:val="00C33545"/>
    <w:rsid w:val="00C3640E"/>
    <w:rsid w:val="00C41886"/>
    <w:rsid w:val="00C519DA"/>
    <w:rsid w:val="00C52897"/>
    <w:rsid w:val="00C549B0"/>
    <w:rsid w:val="00C554DC"/>
    <w:rsid w:val="00C60010"/>
    <w:rsid w:val="00C60580"/>
    <w:rsid w:val="00C62634"/>
    <w:rsid w:val="00C64A58"/>
    <w:rsid w:val="00C66BE4"/>
    <w:rsid w:val="00C66D99"/>
    <w:rsid w:val="00C70459"/>
    <w:rsid w:val="00C71F76"/>
    <w:rsid w:val="00C74334"/>
    <w:rsid w:val="00C7656E"/>
    <w:rsid w:val="00C81181"/>
    <w:rsid w:val="00C81F50"/>
    <w:rsid w:val="00C849B5"/>
    <w:rsid w:val="00C84FDD"/>
    <w:rsid w:val="00C85B80"/>
    <w:rsid w:val="00C902DE"/>
    <w:rsid w:val="00C91316"/>
    <w:rsid w:val="00C9490D"/>
    <w:rsid w:val="00C97CE5"/>
    <w:rsid w:val="00CA023A"/>
    <w:rsid w:val="00CA18BE"/>
    <w:rsid w:val="00CA3506"/>
    <w:rsid w:val="00CA3C01"/>
    <w:rsid w:val="00CA55F6"/>
    <w:rsid w:val="00CA61E3"/>
    <w:rsid w:val="00CB1B46"/>
    <w:rsid w:val="00CB2650"/>
    <w:rsid w:val="00CB2DCE"/>
    <w:rsid w:val="00CB3743"/>
    <w:rsid w:val="00CB5C50"/>
    <w:rsid w:val="00CC1628"/>
    <w:rsid w:val="00CC20AE"/>
    <w:rsid w:val="00CC35E5"/>
    <w:rsid w:val="00CC38E2"/>
    <w:rsid w:val="00CC3D0C"/>
    <w:rsid w:val="00CC509F"/>
    <w:rsid w:val="00CC5ACB"/>
    <w:rsid w:val="00CC5DFD"/>
    <w:rsid w:val="00CC636D"/>
    <w:rsid w:val="00CC70A7"/>
    <w:rsid w:val="00CC7400"/>
    <w:rsid w:val="00CC7973"/>
    <w:rsid w:val="00CC7D07"/>
    <w:rsid w:val="00CC7EFF"/>
    <w:rsid w:val="00CD15C8"/>
    <w:rsid w:val="00CD5618"/>
    <w:rsid w:val="00CD6DD6"/>
    <w:rsid w:val="00CE139A"/>
    <w:rsid w:val="00CE16FC"/>
    <w:rsid w:val="00CE52DC"/>
    <w:rsid w:val="00CE556B"/>
    <w:rsid w:val="00CE6030"/>
    <w:rsid w:val="00CE7238"/>
    <w:rsid w:val="00CE7E69"/>
    <w:rsid w:val="00CF415B"/>
    <w:rsid w:val="00CF5EB7"/>
    <w:rsid w:val="00CF6812"/>
    <w:rsid w:val="00D00BC0"/>
    <w:rsid w:val="00D073CD"/>
    <w:rsid w:val="00D07675"/>
    <w:rsid w:val="00D11536"/>
    <w:rsid w:val="00D132D5"/>
    <w:rsid w:val="00D14245"/>
    <w:rsid w:val="00D14BF9"/>
    <w:rsid w:val="00D16923"/>
    <w:rsid w:val="00D16DD6"/>
    <w:rsid w:val="00D20E16"/>
    <w:rsid w:val="00D2147C"/>
    <w:rsid w:val="00D21893"/>
    <w:rsid w:val="00D21E8F"/>
    <w:rsid w:val="00D25F1D"/>
    <w:rsid w:val="00D2728D"/>
    <w:rsid w:val="00D3187D"/>
    <w:rsid w:val="00D32965"/>
    <w:rsid w:val="00D33E29"/>
    <w:rsid w:val="00D36028"/>
    <w:rsid w:val="00D3696E"/>
    <w:rsid w:val="00D41F58"/>
    <w:rsid w:val="00D43AA5"/>
    <w:rsid w:val="00D44067"/>
    <w:rsid w:val="00D451B1"/>
    <w:rsid w:val="00D470B3"/>
    <w:rsid w:val="00D470CA"/>
    <w:rsid w:val="00D51421"/>
    <w:rsid w:val="00D52713"/>
    <w:rsid w:val="00D53364"/>
    <w:rsid w:val="00D5690D"/>
    <w:rsid w:val="00D57543"/>
    <w:rsid w:val="00D57677"/>
    <w:rsid w:val="00D578BD"/>
    <w:rsid w:val="00D57E23"/>
    <w:rsid w:val="00D60E1A"/>
    <w:rsid w:val="00D618AD"/>
    <w:rsid w:val="00D66D57"/>
    <w:rsid w:val="00D66F16"/>
    <w:rsid w:val="00D72834"/>
    <w:rsid w:val="00D72884"/>
    <w:rsid w:val="00D73E28"/>
    <w:rsid w:val="00D73F6F"/>
    <w:rsid w:val="00D74DE6"/>
    <w:rsid w:val="00D75798"/>
    <w:rsid w:val="00D75871"/>
    <w:rsid w:val="00D7658A"/>
    <w:rsid w:val="00D76EED"/>
    <w:rsid w:val="00D83D34"/>
    <w:rsid w:val="00D855F5"/>
    <w:rsid w:val="00D86911"/>
    <w:rsid w:val="00D918E5"/>
    <w:rsid w:val="00D93543"/>
    <w:rsid w:val="00D93BF9"/>
    <w:rsid w:val="00D947C0"/>
    <w:rsid w:val="00D947CF"/>
    <w:rsid w:val="00D94EE7"/>
    <w:rsid w:val="00D957EB"/>
    <w:rsid w:val="00D95994"/>
    <w:rsid w:val="00D97968"/>
    <w:rsid w:val="00D97A9D"/>
    <w:rsid w:val="00DA1FDA"/>
    <w:rsid w:val="00DA4B5C"/>
    <w:rsid w:val="00DA6D6A"/>
    <w:rsid w:val="00DA76B7"/>
    <w:rsid w:val="00DB5BB6"/>
    <w:rsid w:val="00DB7B73"/>
    <w:rsid w:val="00DB7F32"/>
    <w:rsid w:val="00DC16BF"/>
    <w:rsid w:val="00DC255C"/>
    <w:rsid w:val="00DC267E"/>
    <w:rsid w:val="00DC2904"/>
    <w:rsid w:val="00DC3A6B"/>
    <w:rsid w:val="00DC46D2"/>
    <w:rsid w:val="00DC5342"/>
    <w:rsid w:val="00DC5966"/>
    <w:rsid w:val="00DC5A7B"/>
    <w:rsid w:val="00DD254C"/>
    <w:rsid w:val="00DD3047"/>
    <w:rsid w:val="00DD34ED"/>
    <w:rsid w:val="00DD3CD4"/>
    <w:rsid w:val="00DD3EF5"/>
    <w:rsid w:val="00DD4C8A"/>
    <w:rsid w:val="00DE02C5"/>
    <w:rsid w:val="00DE34B7"/>
    <w:rsid w:val="00DE4247"/>
    <w:rsid w:val="00DE494B"/>
    <w:rsid w:val="00DE661A"/>
    <w:rsid w:val="00DE7366"/>
    <w:rsid w:val="00DE7FBD"/>
    <w:rsid w:val="00DF0869"/>
    <w:rsid w:val="00DF1D27"/>
    <w:rsid w:val="00DF23B2"/>
    <w:rsid w:val="00DF506A"/>
    <w:rsid w:val="00DF525B"/>
    <w:rsid w:val="00DF729A"/>
    <w:rsid w:val="00E0285D"/>
    <w:rsid w:val="00E0414B"/>
    <w:rsid w:val="00E0701F"/>
    <w:rsid w:val="00E0781F"/>
    <w:rsid w:val="00E109B6"/>
    <w:rsid w:val="00E10D96"/>
    <w:rsid w:val="00E11A42"/>
    <w:rsid w:val="00E12075"/>
    <w:rsid w:val="00E12D61"/>
    <w:rsid w:val="00E14A40"/>
    <w:rsid w:val="00E1518A"/>
    <w:rsid w:val="00E1534A"/>
    <w:rsid w:val="00E15AE7"/>
    <w:rsid w:val="00E2140A"/>
    <w:rsid w:val="00E21EB0"/>
    <w:rsid w:val="00E22725"/>
    <w:rsid w:val="00E26BEB"/>
    <w:rsid w:val="00E278DD"/>
    <w:rsid w:val="00E31EFF"/>
    <w:rsid w:val="00E32E4E"/>
    <w:rsid w:val="00E35908"/>
    <w:rsid w:val="00E35B38"/>
    <w:rsid w:val="00E35C1F"/>
    <w:rsid w:val="00E36906"/>
    <w:rsid w:val="00E36CCD"/>
    <w:rsid w:val="00E375C7"/>
    <w:rsid w:val="00E41D2B"/>
    <w:rsid w:val="00E41DC6"/>
    <w:rsid w:val="00E43E44"/>
    <w:rsid w:val="00E44EDB"/>
    <w:rsid w:val="00E50240"/>
    <w:rsid w:val="00E506A0"/>
    <w:rsid w:val="00E506CB"/>
    <w:rsid w:val="00E53BE8"/>
    <w:rsid w:val="00E54F97"/>
    <w:rsid w:val="00E566D7"/>
    <w:rsid w:val="00E56DC8"/>
    <w:rsid w:val="00E571A6"/>
    <w:rsid w:val="00E5767D"/>
    <w:rsid w:val="00E57DBB"/>
    <w:rsid w:val="00E615D7"/>
    <w:rsid w:val="00E61CAA"/>
    <w:rsid w:val="00E62DE4"/>
    <w:rsid w:val="00E650B3"/>
    <w:rsid w:val="00E6615A"/>
    <w:rsid w:val="00E66A88"/>
    <w:rsid w:val="00E6749C"/>
    <w:rsid w:val="00E67F61"/>
    <w:rsid w:val="00E70FC4"/>
    <w:rsid w:val="00E7130D"/>
    <w:rsid w:val="00E74EA3"/>
    <w:rsid w:val="00E76D7D"/>
    <w:rsid w:val="00E7713D"/>
    <w:rsid w:val="00E8213F"/>
    <w:rsid w:val="00E864AD"/>
    <w:rsid w:val="00E90B66"/>
    <w:rsid w:val="00E92F14"/>
    <w:rsid w:val="00E9395D"/>
    <w:rsid w:val="00E95517"/>
    <w:rsid w:val="00E963B0"/>
    <w:rsid w:val="00E9793D"/>
    <w:rsid w:val="00EA2734"/>
    <w:rsid w:val="00EA540C"/>
    <w:rsid w:val="00EB0622"/>
    <w:rsid w:val="00EB1F6E"/>
    <w:rsid w:val="00EB5090"/>
    <w:rsid w:val="00EB5731"/>
    <w:rsid w:val="00EC3192"/>
    <w:rsid w:val="00EC3C8D"/>
    <w:rsid w:val="00EC4888"/>
    <w:rsid w:val="00EC506C"/>
    <w:rsid w:val="00ED0084"/>
    <w:rsid w:val="00ED0547"/>
    <w:rsid w:val="00ED0EE1"/>
    <w:rsid w:val="00ED1542"/>
    <w:rsid w:val="00ED238B"/>
    <w:rsid w:val="00ED2448"/>
    <w:rsid w:val="00ED7A69"/>
    <w:rsid w:val="00EE0C8B"/>
    <w:rsid w:val="00EE17F0"/>
    <w:rsid w:val="00EE38E7"/>
    <w:rsid w:val="00EE497F"/>
    <w:rsid w:val="00EE5008"/>
    <w:rsid w:val="00EE523A"/>
    <w:rsid w:val="00EE77DD"/>
    <w:rsid w:val="00EF2001"/>
    <w:rsid w:val="00EF406B"/>
    <w:rsid w:val="00EF48E5"/>
    <w:rsid w:val="00EF5F80"/>
    <w:rsid w:val="00EF698E"/>
    <w:rsid w:val="00F05B35"/>
    <w:rsid w:val="00F11B44"/>
    <w:rsid w:val="00F161D0"/>
    <w:rsid w:val="00F166C5"/>
    <w:rsid w:val="00F16C41"/>
    <w:rsid w:val="00F17CB6"/>
    <w:rsid w:val="00F2092E"/>
    <w:rsid w:val="00F227D1"/>
    <w:rsid w:val="00F27745"/>
    <w:rsid w:val="00F30DB5"/>
    <w:rsid w:val="00F30E37"/>
    <w:rsid w:val="00F35D4B"/>
    <w:rsid w:val="00F37637"/>
    <w:rsid w:val="00F376C8"/>
    <w:rsid w:val="00F42973"/>
    <w:rsid w:val="00F433A0"/>
    <w:rsid w:val="00F475DD"/>
    <w:rsid w:val="00F607C3"/>
    <w:rsid w:val="00F626CC"/>
    <w:rsid w:val="00F6336F"/>
    <w:rsid w:val="00F6376F"/>
    <w:rsid w:val="00F6715B"/>
    <w:rsid w:val="00F70779"/>
    <w:rsid w:val="00F70B23"/>
    <w:rsid w:val="00F7227C"/>
    <w:rsid w:val="00F73539"/>
    <w:rsid w:val="00F746AE"/>
    <w:rsid w:val="00F747B6"/>
    <w:rsid w:val="00F752D4"/>
    <w:rsid w:val="00F77565"/>
    <w:rsid w:val="00F8073F"/>
    <w:rsid w:val="00F80778"/>
    <w:rsid w:val="00F80C10"/>
    <w:rsid w:val="00F80F9D"/>
    <w:rsid w:val="00F82B30"/>
    <w:rsid w:val="00F83A8B"/>
    <w:rsid w:val="00F90187"/>
    <w:rsid w:val="00F92AF7"/>
    <w:rsid w:val="00F93D9B"/>
    <w:rsid w:val="00F93FB0"/>
    <w:rsid w:val="00F95DF3"/>
    <w:rsid w:val="00FA737C"/>
    <w:rsid w:val="00FB237B"/>
    <w:rsid w:val="00FB73C2"/>
    <w:rsid w:val="00FB7ACB"/>
    <w:rsid w:val="00FB7B5E"/>
    <w:rsid w:val="00FB7D42"/>
    <w:rsid w:val="00FC5D63"/>
    <w:rsid w:val="00FD1DFF"/>
    <w:rsid w:val="00FD4600"/>
    <w:rsid w:val="00FD4760"/>
    <w:rsid w:val="00FD7D33"/>
    <w:rsid w:val="00FD7D4F"/>
    <w:rsid w:val="00FE2B01"/>
    <w:rsid w:val="00FE5BAD"/>
    <w:rsid w:val="00FE7AB0"/>
    <w:rsid w:val="00FE7C71"/>
    <w:rsid w:val="00FF0530"/>
    <w:rsid w:val="00FF3373"/>
    <w:rsid w:val="00FF4191"/>
    <w:rsid w:val="00FF5BF1"/>
    <w:rsid w:val="00FF60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uiPriority w:val="99"/>
    <w:semiHidden/>
    <w:rsid w:val="00605B3C"/>
    <w:rPr>
      <w:b w:val="0"/>
      <w:bCs w:val="0"/>
      <w:sz w:val="20"/>
      <w:szCs w:val="20"/>
    </w:rPr>
  </w:style>
  <w:style w:type="character" w:styleId="Appelnotedebasdep">
    <w:name w:val="footnote reference"/>
    <w:basedOn w:val="Policepardfaut"/>
    <w:uiPriority w:val="99"/>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uiPriority w:val="99"/>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uiPriority w:val="99"/>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paragraph" w:styleId="Sous-titre">
    <w:name w:val="Subtitle"/>
    <w:basedOn w:val="Normal"/>
    <w:link w:val="Sous-titreCar"/>
    <w:qFormat/>
    <w:rsid w:val="00FE5BAD"/>
    <w:rPr>
      <w:lang w:bidi="ar-MA"/>
    </w:rPr>
  </w:style>
  <w:style w:type="paragraph" w:styleId="Textedebulles">
    <w:name w:val="Balloon Text"/>
    <w:basedOn w:val="Normal"/>
    <w:semiHidden/>
    <w:rsid w:val="00961ECA"/>
    <w:rPr>
      <w:rFonts w:ascii="Tahoma" w:hAnsi="Tahoma" w:cs="Tahoma"/>
      <w:sz w:val="16"/>
      <w:szCs w:val="16"/>
    </w:rPr>
  </w:style>
  <w:style w:type="paragraph" w:styleId="Paragraphedeliste">
    <w:name w:val="List Paragraph"/>
    <w:basedOn w:val="Normal"/>
    <w:uiPriority w:val="34"/>
    <w:qFormat/>
    <w:rsid w:val="00555326"/>
    <w:pPr>
      <w:spacing w:before="200" w:after="200" w:line="276" w:lineRule="auto"/>
      <w:ind w:left="720"/>
      <w:contextualSpacing/>
    </w:pPr>
    <w:rPr>
      <w:rFonts w:asciiTheme="minorHAnsi" w:eastAsiaTheme="minorHAnsi" w:hAnsiTheme="minorHAnsi" w:cstheme="minorBidi"/>
      <w:b w:val="0"/>
      <w:bCs w:val="0"/>
      <w:sz w:val="20"/>
      <w:szCs w:val="20"/>
      <w:lang w:eastAsia="en-US" w:bidi="en-US"/>
    </w:rPr>
  </w:style>
  <w:style w:type="character" w:styleId="Lienhypertexte">
    <w:name w:val="Hyperlink"/>
    <w:basedOn w:val="Policepardfaut"/>
    <w:uiPriority w:val="99"/>
    <w:unhideWhenUsed/>
    <w:rsid w:val="00CC7EFF"/>
    <w:rPr>
      <w:color w:val="0000FF"/>
      <w:u w:val="single"/>
    </w:rPr>
  </w:style>
  <w:style w:type="character" w:customStyle="1" w:styleId="apple-converted-space">
    <w:name w:val="apple-converted-space"/>
    <w:basedOn w:val="Policepardfaut"/>
    <w:rsid w:val="00CC7EFF"/>
  </w:style>
  <w:style w:type="character" w:customStyle="1" w:styleId="print-footnote">
    <w:name w:val="print-footnote"/>
    <w:basedOn w:val="Policepardfaut"/>
    <w:rsid w:val="00CC7EFF"/>
  </w:style>
  <w:style w:type="paragraph" w:styleId="NormalWeb">
    <w:name w:val="Normal (Web)"/>
    <w:basedOn w:val="Normal"/>
    <w:uiPriority w:val="99"/>
    <w:unhideWhenUsed/>
    <w:rsid w:val="00CC7EFF"/>
    <w:pPr>
      <w:spacing w:before="100" w:beforeAutospacing="1" w:after="100" w:afterAutospacing="1"/>
    </w:pPr>
    <w:rPr>
      <w:b w:val="0"/>
      <w:bCs w:val="0"/>
    </w:rPr>
  </w:style>
  <w:style w:type="character" w:styleId="lev">
    <w:name w:val="Strong"/>
    <w:basedOn w:val="Policepardfaut"/>
    <w:uiPriority w:val="22"/>
    <w:qFormat/>
    <w:rsid w:val="00CC7EFF"/>
    <w:rPr>
      <w:b/>
      <w:bCs/>
    </w:rPr>
  </w:style>
  <w:style w:type="character" w:customStyle="1" w:styleId="Sous-titreCar">
    <w:name w:val="Sous-titre Car"/>
    <w:basedOn w:val="Policepardfaut"/>
    <w:link w:val="Sous-titre"/>
    <w:rsid w:val="004E5618"/>
    <w:rPr>
      <w:b/>
      <w:bCs/>
      <w:sz w:val="24"/>
      <w:szCs w:val="24"/>
      <w:lang w:bidi="ar-MA"/>
    </w:rPr>
  </w:style>
  <w:style w:type="paragraph" w:styleId="PrformatHTML">
    <w:name w:val="HTML Preformatted"/>
    <w:basedOn w:val="Normal"/>
    <w:link w:val="PrformatHTMLCar"/>
    <w:uiPriority w:val="99"/>
    <w:unhideWhenUsed/>
    <w:rsid w:val="0031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character" w:customStyle="1" w:styleId="PrformatHTMLCar">
    <w:name w:val="Préformaté HTML Car"/>
    <w:basedOn w:val="Policepardfaut"/>
    <w:link w:val="PrformatHTML"/>
    <w:uiPriority w:val="99"/>
    <w:rsid w:val="0031026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457390">
      <w:bodyDiv w:val="1"/>
      <w:marLeft w:val="0"/>
      <w:marRight w:val="0"/>
      <w:marTop w:val="0"/>
      <w:marBottom w:val="0"/>
      <w:divBdr>
        <w:top w:val="none" w:sz="0" w:space="0" w:color="auto"/>
        <w:left w:val="none" w:sz="0" w:space="0" w:color="auto"/>
        <w:bottom w:val="none" w:sz="0" w:space="0" w:color="auto"/>
        <w:right w:val="none" w:sz="0" w:space="0" w:color="auto"/>
      </w:divBdr>
    </w:div>
    <w:div w:id="226918169">
      <w:bodyDiv w:val="1"/>
      <w:marLeft w:val="0"/>
      <w:marRight w:val="0"/>
      <w:marTop w:val="0"/>
      <w:marBottom w:val="0"/>
      <w:divBdr>
        <w:top w:val="none" w:sz="0" w:space="0" w:color="auto"/>
        <w:left w:val="none" w:sz="0" w:space="0" w:color="auto"/>
        <w:bottom w:val="none" w:sz="0" w:space="0" w:color="auto"/>
        <w:right w:val="none" w:sz="0" w:space="0" w:color="auto"/>
      </w:divBdr>
    </w:div>
    <w:div w:id="354618946">
      <w:bodyDiv w:val="1"/>
      <w:marLeft w:val="0"/>
      <w:marRight w:val="0"/>
      <w:marTop w:val="0"/>
      <w:marBottom w:val="0"/>
      <w:divBdr>
        <w:top w:val="none" w:sz="0" w:space="0" w:color="auto"/>
        <w:left w:val="none" w:sz="0" w:space="0" w:color="auto"/>
        <w:bottom w:val="none" w:sz="0" w:space="0" w:color="auto"/>
        <w:right w:val="none" w:sz="0" w:space="0" w:color="auto"/>
      </w:divBdr>
    </w:div>
    <w:div w:id="664627519">
      <w:bodyDiv w:val="1"/>
      <w:marLeft w:val="0"/>
      <w:marRight w:val="0"/>
      <w:marTop w:val="0"/>
      <w:marBottom w:val="0"/>
      <w:divBdr>
        <w:top w:val="none" w:sz="0" w:space="0" w:color="auto"/>
        <w:left w:val="none" w:sz="0" w:space="0" w:color="auto"/>
        <w:bottom w:val="none" w:sz="0" w:space="0" w:color="auto"/>
        <w:right w:val="none" w:sz="0" w:space="0" w:color="auto"/>
      </w:divBdr>
    </w:div>
    <w:div w:id="753165002">
      <w:bodyDiv w:val="1"/>
      <w:marLeft w:val="0"/>
      <w:marRight w:val="0"/>
      <w:marTop w:val="0"/>
      <w:marBottom w:val="0"/>
      <w:divBdr>
        <w:top w:val="none" w:sz="0" w:space="0" w:color="auto"/>
        <w:left w:val="none" w:sz="0" w:space="0" w:color="auto"/>
        <w:bottom w:val="none" w:sz="0" w:space="0" w:color="auto"/>
        <w:right w:val="none" w:sz="0" w:space="0" w:color="auto"/>
      </w:divBdr>
    </w:div>
    <w:div w:id="1146049184">
      <w:bodyDiv w:val="1"/>
      <w:marLeft w:val="0"/>
      <w:marRight w:val="0"/>
      <w:marTop w:val="0"/>
      <w:marBottom w:val="0"/>
      <w:divBdr>
        <w:top w:val="none" w:sz="0" w:space="0" w:color="auto"/>
        <w:left w:val="none" w:sz="0" w:space="0" w:color="auto"/>
        <w:bottom w:val="none" w:sz="0" w:space="0" w:color="auto"/>
        <w:right w:val="none" w:sz="0" w:space="0" w:color="auto"/>
      </w:divBdr>
    </w:div>
    <w:div w:id="1350990680">
      <w:bodyDiv w:val="1"/>
      <w:marLeft w:val="0"/>
      <w:marRight w:val="0"/>
      <w:marTop w:val="0"/>
      <w:marBottom w:val="0"/>
      <w:divBdr>
        <w:top w:val="none" w:sz="0" w:space="0" w:color="auto"/>
        <w:left w:val="none" w:sz="0" w:space="0" w:color="auto"/>
        <w:bottom w:val="none" w:sz="0" w:space="0" w:color="auto"/>
        <w:right w:val="none" w:sz="0" w:space="0" w:color="auto"/>
      </w:divBdr>
    </w:div>
    <w:div w:id="1463424364">
      <w:bodyDiv w:val="1"/>
      <w:marLeft w:val="0"/>
      <w:marRight w:val="0"/>
      <w:marTop w:val="0"/>
      <w:marBottom w:val="0"/>
      <w:divBdr>
        <w:top w:val="none" w:sz="0" w:space="0" w:color="auto"/>
        <w:left w:val="none" w:sz="0" w:space="0" w:color="auto"/>
        <w:bottom w:val="none" w:sz="0" w:space="0" w:color="auto"/>
        <w:right w:val="none" w:sz="0" w:space="0" w:color="auto"/>
      </w:divBdr>
    </w:div>
    <w:div w:id="1480271697">
      <w:bodyDiv w:val="1"/>
      <w:marLeft w:val="0"/>
      <w:marRight w:val="0"/>
      <w:marTop w:val="0"/>
      <w:marBottom w:val="0"/>
      <w:divBdr>
        <w:top w:val="none" w:sz="0" w:space="0" w:color="auto"/>
        <w:left w:val="none" w:sz="0" w:space="0" w:color="auto"/>
        <w:bottom w:val="none" w:sz="0" w:space="0" w:color="auto"/>
        <w:right w:val="none" w:sz="0" w:space="0" w:color="auto"/>
      </w:divBdr>
    </w:div>
    <w:div w:id="1566188059">
      <w:bodyDiv w:val="1"/>
      <w:marLeft w:val="0"/>
      <w:marRight w:val="0"/>
      <w:marTop w:val="0"/>
      <w:marBottom w:val="0"/>
      <w:divBdr>
        <w:top w:val="none" w:sz="0" w:space="0" w:color="auto"/>
        <w:left w:val="none" w:sz="0" w:space="0" w:color="auto"/>
        <w:bottom w:val="none" w:sz="0" w:space="0" w:color="auto"/>
        <w:right w:val="none" w:sz="0" w:space="0" w:color="auto"/>
      </w:divBdr>
      <w:divsChild>
        <w:div w:id="236404246">
          <w:marLeft w:val="0"/>
          <w:marRight w:val="0"/>
          <w:marTop w:val="0"/>
          <w:marBottom w:val="0"/>
          <w:divBdr>
            <w:top w:val="none" w:sz="0" w:space="0" w:color="auto"/>
            <w:left w:val="none" w:sz="0" w:space="0" w:color="auto"/>
            <w:bottom w:val="none" w:sz="0" w:space="0" w:color="auto"/>
            <w:right w:val="none" w:sz="0" w:space="0" w:color="auto"/>
          </w:divBdr>
          <w:divsChild>
            <w:div w:id="1776516001">
              <w:marLeft w:val="0"/>
              <w:marRight w:val="0"/>
              <w:marTop w:val="0"/>
              <w:marBottom w:val="0"/>
              <w:divBdr>
                <w:top w:val="none" w:sz="0" w:space="0" w:color="auto"/>
                <w:left w:val="none" w:sz="0" w:space="0" w:color="auto"/>
                <w:bottom w:val="none" w:sz="0" w:space="0" w:color="auto"/>
                <w:right w:val="none" w:sz="0" w:space="0" w:color="auto"/>
              </w:divBdr>
              <w:divsChild>
                <w:div w:id="1162160183">
                  <w:marLeft w:val="0"/>
                  <w:marRight w:val="0"/>
                  <w:marTop w:val="0"/>
                  <w:marBottom w:val="0"/>
                  <w:divBdr>
                    <w:top w:val="none" w:sz="0" w:space="0" w:color="auto"/>
                    <w:left w:val="none" w:sz="0" w:space="0" w:color="auto"/>
                    <w:bottom w:val="none" w:sz="0" w:space="0" w:color="auto"/>
                    <w:right w:val="none" w:sz="0" w:space="0" w:color="auto"/>
                  </w:divBdr>
                  <w:divsChild>
                    <w:div w:id="2042392191">
                      <w:marLeft w:val="0"/>
                      <w:marRight w:val="0"/>
                      <w:marTop w:val="0"/>
                      <w:marBottom w:val="0"/>
                      <w:divBdr>
                        <w:top w:val="none" w:sz="0" w:space="0" w:color="auto"/>
                        <w:left w:val="none" w:sz="0" w:space="0" w:color="auto"/>
                        <w:bottom w:val="none" w:sz="0" w:space="0" w:color="auto"/>
                        <w:right w:val="none" w:sz="0" w:space="0" w:color="auto"/>
                      </w:divBdr>
                      <w:divsChild>
                        <w:div w:id="1573930576">
                          <w:marLeft w:val="0"/>
                          <w:marRight w:val="0"/>
                          <w:marTop w:val="0"/>
                          <w:marBottom w:val="0"/>
                          <w:divBdr>
                            <w:top w:val="none" w:sz="0" w:space="0" w:color="auto"/>
                            <w:left w:val="none" w:sz="0" w:space="0" w:color="auto"/>
                            <w:bottom w:val="none" w:sz="0" w:space="0" w:color="auto"/>
                            <w:right w:val="none" w:sz="0" w:space="0" w:color="auto"/>
                          </w:divBdr>
                        </w:div>
                      </w:divsChild>
                    </w:div>
                    <w:div w:id="1370061764">
                      <w:marLeft w:val="0"/>
                      <w:marRight w:val="0"/>
                      <w:marTop w:val="0"/>
                      <w:marBottom w:val="0"/>
                      <w:divBdr>
                        <w:top w:val="none" w:sz="0" w:space="0" w:color="auto"/>
                        <w:left w:val="none" w:sz="0" w:space="0" w:color="auto"/>
                        <w:bottom w:val="none" w:sz="0" w:space="0" w:color="auto"/>
                        <w:right w:val="none" w:sz="0" w:space="0" w:color="auto"/>
                      </w:divBdr>
                      <w:divsChild>
                        <w:div w:id="1362321267">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51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3557">
                          <w:marLeft w:val="0"/>
                          <w:marRight w:val="0"/>
                          <w:marTop w:val="0"/>
                          <w:marBottom w:val="0"/>
                          <w:divBdr>
                            <w:top w:val="none" w:sz="0" w:space="0" w:color="auto"/>
                            <w:left w:val="none" w:sz="0" w:space="0" w:color="auto"/>
                            <w:bottom w:val="none" w:sz="0" w:space="0" w:color="auto"/>
                            <w:right w:val="none" w:sz="0" w:space="0" w:color="auto"/>
                          </w:divBdr>
                          <w:divsChild>
                            <w:div w:id="67726049">
                              <w:marLeft w:val="0"/>
                              <w:marRight w:val="0"/>
                              <w:marTop w:val="0"/>
                              <w:marBottom w:val="0"/>
                              <w:divBdr>
                                <w:top w:val="none" w:sz="0" w:space="0" w:color="auto"/>
                                <w:left w:val="none" w:sz="0" w:space="0" w:color="auto"/>
                                <w:bottom w:val="none" w:sz="0" w:space="0" w:color="auto"/>
                                <w:right w:val="none" w:sz="0" w:space="0" w:color="auto"/>
                              </w:divBdr>
                              <w:divsChild>
                                <w:div w:id="722169850">
                                  <w:marLeft w:val="0"/>
                                  <w:marRight w:val="0"/>
                                  <w:marTop w:val="0"/>
                                  <w:marBottom w:val="0"/>
                                  <w:divBdr>
                                    <w:top w:val="none" w:sz="0" w:space="0" w:color="auto"/>
                                    <w:left w:val="none" w:sz="0" w:space="0" w:color="auto"/>
                                    <w:bottom w:val="none" w:sz="0" w:space="0" w:color="auto"/>
                                    <w:right w:val="none" w:sz="0" w:space="0" w:color="auto"/>
                                  </w:divBdr>
                                  <w:divsChild>
                                    <w:div w:id="1803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552A-DE30-4542-9D58-0735A324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4855</Words>
  <Characters>26707</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31500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 </cp:lastModifiedBy>
  <cp:revision>2</cp:revision>
  <cp:lastPrinted>2015-01-20T13:51:00Z</cp:lastPrinted>
  <dcterms:created xsi:type="dcterms:W3CDTF">2015-01-22T13:04:00Z</dcterms:created>
  <dcterms:modified xsi:type="dcterms:W3CDTF">2015-01-22T13:04:00Z</dcterms:modified>
</cp:coreProperties>
</file>