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F2" w:rsidRPr="009D39AB" w:rsidRDefault="002E3CF2" w:rsidP="00CE5F9D">
      <w:pPr>
        <w:widowControl/>
        <w:rPr>
          <w:rFonts w:asciiTheme="majorBidi" w:hAnsiTheme="majorBidi" w:cstheme="majorBidi"/>
          <w:b/>
          <w:bCs/>
          <w:color w:val="000000" w:themeColor="text1"/>
        </w:rPr>
      </w:pPr>
    </w:p>
    <w:p w:rsidR="009E682C" w:rsidRPr="009D39AB" w:rsidRDefault="009E682C" w:rsidP="00CE5F9D">
      <w:pPr>
        <w:widowControl/>
        <w:jc w:val="center"/>
        <w:rPr>
          <w:rFonts w:asciiTheme="majorBidi" w:hAnsiTheme="majorBidi" w:cstheme="majorBidi"/>
          <w:b/>
          <w:bCs/>
          <w:color w:val="660033"/>
        </w:rPr>
      </w:pPr>
    </w:p>
    <w:p w:rsidR="00912704" w:rsidRPr="009D39AB" w:rsidRDefault="00912704" w:rsidP="00CE5F9D">
      <w:pPr>
        <w:widowControl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>Note d’information</w:t>
      </w:r>
      <w:r w:rsidR="0069792B"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du Haut-commissariat au Plan</w:t>
      </w:r>
    </w:p>
    <w:p w:rsidR="00912704" w:rsidRPr="009D39AB" w:rsidRDefault="00097300" w:rsidP="00CE5F9D">
      <w:pPr>
        <w:widowControl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>R</w:t>
      </w:r>
      <w:r w:rsidR="00912704"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ésultats de l’enquête de conjoncture auprès des ménages </w:t>
      </w:r>
    </w:p>
    <w:p w:rsidR="00912704" w:rsidRPr="009D39AB" w:rsidRDefault="00F04852" w:rsidP="00CE5F9D">
      <w:pPr>
        <w:widowControl/>
        <w:jc w:val="center"/>
        <w:rPr>
          <w:rFonts w:asciiTheme="majorBidi" w:hAnsiTheme="majorBidi" w:cstheme="majorBidi"/>
          <w:b/>
          <w:bCs/>
          <w:color w:val="660033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>Deuxième</w:t>
      </w:r>
      <w:r w:rsidR="00E22192"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trimestre de</w:t>
      </w:r>
      <w:r w:rsidR="00546559"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l’année</w:t>
      </w:r>
      <w:r w:rsidR="008D0E76" w:rsidRPr="009D39AB">
        <w:rPr>
          <w:rFonts w:asciiTheme="majorBidi" w:hAnsiTheme="majorBidi" w:cstheme="majorBidi"/>
          <w:b/>
          <w:bCs/>
          <w:color w:val="660033"/>
          <w:sz w:val="26"/>
          <w:szCs w:val="26"/>
        </w:rPr>
        <w:t xml:space="preserve"> 2022</w:t>
      </w:r>
    </w:p>
    <w:p w:rsidR="004105E0" w:rsidRPr="009D39AB" w:rsidRDefault="004105E0" w:rsidP="00CE5F9D">
      <w:pPr>
        <w:widowControl/>
        <w:spacing w:before="240"/>
        <w:jc w:val="both"/>
        <w:rPr>
          <w:rFonts w:asciiTheme="majorBidi" w:hAnsiTheme="majorBidi" w:cstheme="majorBidi"/>
          <w:color w:val="000000" w:themeColor="text1"/>
          <w:sz w:val="36"/>
          <w:szCs w:val="36"/>
        </w:rPr>
      </w:pPr>
    </w:p>
    <w:p w:rsidR="00F80F35" w:rsidRPr="009D39AB" w:rsidRDefault="005E2815" w:rsidP="00CE5F9D">
      <w:pPr>
        <w:widowControl/>
        <w:jc w:val="both"/>
        <w:rPr>
          <w:rFonts w:asciiTheme="majorBidi" w:hAnsiTheme="majorBidi" w:cstheme="majorBidi"/>
          <w:b/>
          <w:color w:val="000000" w:themeColor="text1"/>
        </w:rPr>
      </w:pPr>
      <w:r w:rsidRPr="009D39AB">
        <w:rPr>
          <w:rFonts w:asciiTheme="majorBidi" w:hAnsiTheme="majorBidi" w:cstheme="majorBidi"/>
          <w:b/>
          <w:color w:val="000000" w:themeColor="text1"/>
        </w:rPr>
        <w:t xml:space="preserve">Les </w:t>
      </w:r>
      <w:r w:rsidR="00A45128" w:rsidRPr="009D39AB">
        <w:rPr>
          <w:rFonts w:asciiTheme="majorBidi" w:hAnsiTheme="majorBidi" w:cstheme="majorBidi"/>
          <w:b/>
          <w:color w:val="000000" w:themeColor="text1"/>
        </w:rPr>
        <w:t xml:space="preserve">résultats de l’enquête permanente de conjoncture auprès des ménages, menée par le HCP, </w:t>
      </w:r>
      <w:r w:rsidRPr="009D39AB">
        <w:rPr>
          <w:rFonts w:asciiTheme="majorBidi" w:hAnsiTheme="majorBidi" w:cstheme="majorBidi"/>
          <w:b/>
          <w:color w:val="000000" w:themeColor="text1"/>
        </w:rPr>
        <w:t>montrent</w:t>
      </w:r>
      <w:r w:rsidR="002A5928" w:rsidRPr="009D39AB">
        <w:rPr>
          <w:rFonts w:asciiTheme="majorBidi" w:hAnsiTheme="majorBidi" w:cstheme="majorBidi"/>
          <w:b/>
          <w:color w:val="000000" w:themeColor="text1"/>
        </w:rPr>
        <w:t xml:space="preserve"> qu’au </w:t>
      </w:r>
      <w:r w:rsidR="00F04852" w:rsidRPr="009D39AB">
        <w:rPr>
          <w:rFonts w:asciiTheme="majorBidi" w:hAnsiTheme="majorBidi" w:cstheme="majorBidi"/>
          <w:b/>
          <w:color w:val="000000" w:themeColor="text1"/>
        </w:rPr>
        <w:t>deuxième</w:t>
      </w:r>
      <w:r w:rsidR="00D55501" w:rsidRPr="009D39AB">
        <w:rPr>
          <w:rFonts w:asciiTheme="majorBidi" w:hAnsiTheme="majorBidi" w:cstheme="majorBidi"/>
          <w:b/>
          <w:color w:val="000000" w:themeColor="text1"/>
        </w:rPr>
        <w:t xml:space="preserve"> trimestre</w:t>
      </w:r>
      <w:r w:rsidR="002A5928" w:rsidRPr="009D39AB">
        <w:rPr>
          <w:rFonts w:asciiTheme="majorBidi" w:hAnsiTheme="majorBidi" w:cstheme="majorBidi"/>
          <w:b/>
          <w:color w:val="000000" w:themeColor="text1"/>
        </w:rPr>
        <w:t xml:space="preserve"> de </w:t>
      </w:r>
      <w:r w:rsidR="008D0E76" w:rsidRPr="009D39AB">
        <w:rPr>
          <w:rFonts w:asciiTheme="majorBidi" w:hAnsiTheme="majorBidi" w:cstheme="majorBidi"/>
          <w:b/>
          <w:color w:val="000000" w:themeColor="text1"/>
        </w:rPr>
        <w:t>2022</w:t>
      </w:r>
      <w:r w:rsidR="00761D08" w:rsidRPr="009D39AB">
        <w:rPr>
          <w:rFonts w:asciiTheme="majorBidi" w:hAnsiTheme="majorBidi" w:cstheme="majorBidi"/>
          <w:b/>
          <w:color w:val="000000" w:themeColor="text1"/>
        </w:rPr>
        <w:t>,</w:t>
      </w:r>
      <w:r w:rsidR="002A5928" w:rsidRPr="009D39AB">
        <w:rPr>
          <w:rFonts w:asciiTheme="majorBidi" w:hAnsiTheme="majorBidi" w:cstheme="majorBidi"/>
          <w:b/>
          <w:color w:val="000000" w:themeColor="text1"/>
        </w:rPr>
        <w:t xml:space="preserve"> le moral des ménages</w:t>
      </w:r>
      <w:r w:rsidR="00AB6B36" w:rsidRPr="009D39AB">
        <w:rPr>
          <w:rFonts w:asciiTheme="majorBidi" w:hAnsiTheme="majorBidi" w:cstheme="majorBidi"/>
          <w:b/>
          <w:color w:val="000000" w:themeColor="text1"/>
        </w:rPr>
        <w:t xml:space="preserve"> poursuit sa </w:t>
      </w:r>
      <w:r w:rsidR="00CD17D5" w:rsidRPr="009D39AB">
        <w:rPr>
          <w:rFonts w:asciiTheme="majorBidi" w:hAnsiTheme="majorBidi" w:cstheme="majorBidi"/>
          <w:b/>
          <w:color w:val="000000" w:themeColor="text1"/>
        </w:rPr>
        <w:t xml:space="preserve">tendance baissière </w:t>
      </w:r>
      <w:r w:rsidR="00AB6B36" w:rsidRPr="009D39AB">
        <w:rPr>
          <w:rFonts w:asciiTheme="majorBidi" w:hAnsiTheme="majorBidi" w:cstheme="majorBidi"/>
          <w:b/>
          <w:color w:val="000000" w:themeColor="text1"/>
        </w:rPr>
        <w:t xml:space="preserve">pour atteindre son </w:t>
      </w:r>
      <w:r w:rsidR="00FA0EA5" w:rsidRPr="009D39AB">
        <w:rPr>
          <w:rFonts w:asciiTheme="majorBidi" w:hAnsiTheme="majorBidi" w:cstheme="majorBidi"/>
          <w:b/>
          <w:color w:val="000000" w:themeColor="text1"/>
        </w:rPr>
        <w:t>niveau le plus bas jamais enregistré</w:t>
      </w:r>
      <w:r w:rsidR="00CD17D5" w:rsidRPr="009D39AB">
        <w:rPr>
          <w:rFonts w:asciiTheme="majorBidi" w:hAnsiTheme="majorBidi" w:cstheme="majorBidi"/>
          <w:b/>
          <w:color w:val="000000" w:themeColor="text1"/>
        </w:rPr>
        <w:t xml:space="preserve"> auparavant</w:t>
      </w:r>
      <w:r w:rsidR="00AB6B36" w:rsidRPr="009D39AB">
        <w:rPr>
          <w:rFonts w:asciiTheme="majorBidi" w:hAnsiTheme="majorBidi" w:cstheme="majorBidi"/>
          <w:b/>
          <w:color w:val="000000" w:themeColor="text1"/>
        </w:rPr>
        <w:t>.</w:t>
      </w:r>
    </w:p>
    <w:p w:rsidR="001930B7" w:rsidRPr="009D39AB" w:rsidRDefault="001930B7" w:rsidP="00CE5F9D">
      <w:pPr>
        <w:widowControl/>
        <w:rPr>
          <w:rFonts w:asciiTheme="majorBidi" w:hAnsiTheme="majorBidi" w:cstheme="majorBidi"/>
          <w:b/>
          <w:bCs/>
          <w:color w:val="000000" w:themeColor="text1"/>
        </w:rPr>
      </w:pPr>
    </w:p>
    <w:p w:rsidR="000838BF" w:rsidRPr="009D39AB" w:rsidRDefault="00580123" w:rsidP="00FA0B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>L'indice</w:t>
      </w:r>
      <w:r w:rsidR="0044099F" w:rsidRPr="009D39AB">
        <w:rPr>
          <w:rFonts w:asciiTheme="majorBidi" w:hAnsiTheme="majorBidi" w:cstheme="majorBidi"/>
          <w:color w:val="000000" w:themeColor="text1"/>
        </w:rPr>
        <w:t xml:space="preserve"> de confiance des ménages (ICM) s’établit à </w:t>
      </w:r>
      <w:r w:rsidR="00AB6B36" w:rsidRPr="009D39AB">
        <w:rPr>
          <w:rFonts w:asciiTheme="majorBidi" w:hAnsiTheme="majorBidi" w:cstheme="majorBidi"/>
          <w:color w:val="000000" w:themeColor="text1"/>
        </w:rPr>
        <w:t xml:space="preserve">50,1 </w:t>
      </w:r>
      <w:r w:rsidR="00F04852" w:rsidRPr="009D39AB">
        <w:rPr>
          <w:rFonts w:asciiTheme="majorBidi" w:hAnsiTheme="majorBidi" w:cstheme="majorBidi"/>
          <w:color w:val="000000" w:themeColor="text1"/>
        </w:rPr>
        <w:t>points</w:t>
      </w:r>
      <w:r w:rsidR="00CD17D5" w:rsidRPr="009D39AB">
        <w:rPr>
          <w:rFonts w:asciiTheme="majorBidi" w:hAnsiTheme="majorBidi" w:cstheme="majorBidi"/>
          <w:color w:val="000000" w:themeColor="text1"/>
        </w:rPr>
        <w:t xml:space="preserve"> au lieu de </w:t>
      </w:r>
      <w:r w:rsidR="00AB6B36" w:rsidRPr="009D39AB">
        <w:rPr>
          <w:rFonts w:asciiTheme="majorBidi" w:hAnsiTheme="majorBidi" w:cstheme="majorBidi"/>
          <w:color w:val="000000" w:themeColor="text1"/>
        </w:rPr>
        <w:t xml:space="preserve">53,7 </w:t>
      </w:r>
      <w:r w:rsidRPr="009D39AB">
        <w:rPr>
          <w:rFonts w:asciiTheme="majorBidi" w:hAnsiTheme="majorBidi" w:cstheme="majorBidi"/>
          <w:color w:val="000000" w:themeColor="text1"/>
        </w:rPr>
        <w:t xml:space="preserve">points enregistrés le trimestre </w:t>
      </w:r>
      <w:r w:rsidR="000838BF" w:rsidRPr="009D39AB">
        <w:rPr>
          <w:rFonts w:asciiTheme="majorBidi" w:hAnsiTheme="majorBidi" w:cstheme="majorBidi"/>
          <w:color w:val="000000" w:themeColor="text1"/>
        </w:rPr>
        <w:t>précéd</w:t>
      </w:r>
      <w:r w:rsidR="00BC42E9" w:rsidRPr="009D39AB">
        <w:rPr>
          <w:rFonts w:asciiTheme="majorBidi" w:hAnsiTheme="majorBidi" w:cstheme="majorBidi"/>
          <w:color w:val="000000" w:themeColor="text1"/>
        </w:rPr>
        <w:t>e</w:t>
      </w:r>
      <w:r w:rsidR="000838BF" w:rsidRPr="009D39AB">
        <w:rPr>
          <w:rFonts w:asciiTheme="majorBidi" w:hAnsiTheme="majorBidi" w:cstheme="majorBidi"/>
          <w:color w:val="000000" w:themeColor="text1"/>
        </w:rPr>
        <w:t>nt</w:t>
      </w:r>
      <w:r w:rsidRPr="009D39AB">
        <w:rPr>
          <w:rFonts w:asciiTheme="majorBidi" w:hAnsiTheme="majorBidi" w:cstheme="majorBidi"/>
          <w:color w:val="000000" w:themeColor="text1"/>
        </w:rPr>
        <w:t xml:space="preserve"> et </w:t>
      </w:r>
      <w:r w:rsidR="00AB6B36" w:rsidRPr="009D39AB">
        <w:rPr>
          <w:rFonts w:asciiTheme="majorBidi" w:hAnsiTheme="majorBidi" w:cstheme="majorBidi"/>
          <w:color w:val="000000" w:themeColor="text1"/>
        </w:rPr>
        <w:t xml:space="preserve">63 </w:t>
      </w:r>
      <w:r w:rsidRPr="009D39AB">
        <w:rPr>
          <w:rFonts w:asciiTheme="majorBidi" w:hAnsiTheme="majorBidi" w:cstheme="majorBidi"/>
          <w:color w:val="000000" w:themeColor="text1"/>
        </w:rPr>
        <w:t xml:space="preserve">points </w:t>
      </w:r>
      <w:r w:rsidR="00FA0B9D">
        <w:rPr>
          <w:rFonts w:asciiTheme="majorBidi" w:hAnsiTheme="majorBidi" w:cstheme="majorBidi"/>
          <w:color w:val="000000" w:themeColor="text1"/>
        </w:rPr>
        <w:t>le même trimestre de l’année précédente</w:t>
      </w:r>
      <w:r w:rsidRPr="009D39AB">
        <w:rPr>
          <w:rFonts w:asciiTheme="majorBidi" w:hAnsiTheme="majorBidi" w:cstheme="majorBidi"/>
          <w:color w:val="000000" w:themeColor="text1"/>
        </w:rPr>
        <w:t>.</w:t>
      </w:r>
    </w:p>
    <w:p w:rsidR="00686CA3" w:rsidRPr="009D39AB" w:rsidRDefault="00686CA3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2830E2" w:rsidRPr="009D39AB" w:rsidRDefault="002830E2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Graphique 1 : Evolution de l'indice de confiance des ménages </w:t>
      </w:r>
    </w:p>
    <w:p w:rsidR="00CE5F9D" w:rsidRPr="009D39AB" w:rsidRDefault="00CE5F9D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3F2957" w:rsidRPr="009D39AB" w:rsidRDefault="003F2957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559171" cy="3083759"/>
            <wp:effectExtent l="19050" t="0" r="13079" b="2341"/>
            <wp:docPr id="3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54591" w:rsidRPr="009D39AB" w:rsidRDefault="00354591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5203E1" w:rsidRPr="009D39AB" w:rsidRDefault="005203E1" w:rsidP="00CE5F9D">
      <w:pPr>
        <w:widowControl/>
        <w:tabs>
          <w:tab w:val="left" w:pos="709"/>
        </w:tabs>
        <w:rPr>
          <w:rFonts w:asciiTheme="majorBidi" w:hAnsiTheme="majorBidi" w:cstheme="majorBidi"/>
          <w:color w:val="000000" w:themeColor="text1"/>
        </w:rPr>
      </w:pPr>
    </w:p>
    <w:p w:rsidR="00DE4509" w:rsidRPr="009D39AB" w:rsidRDefault="00DE4509" w:rsidP="00CE5F9D">
      <w:pPr>
        <w:jc w:val="center"/>
        <w:rPr>
          <w:rFonts w:asciiTheme="majorBidi" w:hAnsiTheme="majorBidi" w:cstheme="majorBidi"/>
          <w:color w:val="000000" w:themeColor="text1"/>
        </w:rPr>
      </w:pPr>
    </w:p>
    <w:p w:rsidR="008D3806" w:rsidRPr="009D39AB" w:rsidRDefault="006F1D72" w:rsidP="00CE5F9D">
      <w:pPr>
        <w:pStyle w:val="Paragraphedeliste"/>
        <w:numPr>
          <w:ilvl w:val="0"/>
          <w:numId w:val="9"/>
        </w:numPr>
        <w:spacing w:line="240" w:lineRule="auto"/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bookmarkStart w:id="0" w:name="_Ref379209308"/>
      <w:r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des </w:t>
      </w:r>
      <w:r w:rsidR="00860E86"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composantes de</w:t>
      </w:r>
      <w:r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l'ICM</w:t>
      </w:r>
      <w:bookmarkEnd w:id="0"/>
    </w:p>
    <w:p w:rsidR="00C07FB5" w:rsidRPr="009D39AB" w:rsidRDefault="00722F6F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>L</w:t>
      </w:r>
      <w:r w:rsidR="00560ED1" w:rsidRPr="009D39AB">
        <w:rPr>
          <w:rFonts w:asciiTheme="majorBidi" w:hAnsiTheme="majorBidi" w:cstheme="majorBidi"/>
          <w:color w:val="000000" w:themeColor="text1"/>
        </w:rPr>
        <w:t xml:space="preserve">es composantes </w:t>
      </w:r>
      <w:r w:rsidRPr="009D39AB">
        <w:rPr>
          <w:rFonts w:asciiTheme="majorBidi" w:hAnsiTheme="majorBidi" w:cstheme="majorBidi"/>
          <w:color w:val="000000" w:themeColor="text1"/>
        </w:rPr>
        <w:t xml:space="preserve">de l’ICM </w:t>
      </w:r>
      <w:r w:rsidR="00560ED1" w:rsidRPr="009D39AB">
        <w:rPr>
          <w:rFonts w:asciiTheme="majorBidi" w:hAnsiTheme="majorBidi" w:cstheme="majorBidi"/>
          <w:color w:val="000000" w:themeColor="text1"/>
        </w:rPr>
        <w:t>portent sur la perception par les ménages de l’évolution du niveau de vie</w:t>
      </w:r>
      <w:r w:rsidR="005C2EDD" w:rsidRPr="009D39AB">
        <w:rPr>
          <w:rFonts w:asciiTheme="majorBidi" w:hAnsiTheme="majorBidi" w:cstheme="majorBidi"/>
          <w:color w:val="000000" w:themeColor="text1"/>
        </w:rPr>
        <w:t>,</w:t>
      </w:r>
      <w:r w:rsidR="00560ED1" w:rsidRPr="009D39AB">
        <w:rPr>
          <w:rFonts w:asciiTheme="majorBidi" w:hAnsiTheme="majorBidi" w:cstheme="majorBidi"/>
          <w:color w:val="000000" w:themeColor="text1"/>
        </w:rPr>
        <w:t xml:space="preserve"> du chômage, de </w:t>
      </w:r>
      <w:r w:rsidR="008F33D5" w:rsidRPr="009D39AB">
        <w:rPr>
          <w:rFonts w:asciiTheme="majorBidi" w:hAnsiTheme="majorBidi" w:cstheme="majorBidi"/>
          <w:color w:val="000000" w:themeColor="text1"/>
        </w:rPr>
        <w:t>l’opportunité</w:t>
      </w:r>
      <w:r w:rsidR="00560ED1" w:rsidRPr="009D39AB">
        <w:rPr>
          <w:rFonts w:asciiTheme="majorBidi" w:hAnsiTheme="majorBidi" w:cstheme="majorBidi"/>
          <w:color w:val="000000" w:themeColor="text1"/>
        </w:rPr>
        <w:t xml:space="preserve"> à </w:t>
      </w:r>
      <w:r w:rsidR="008F33D5" w:rsidRPr="009D39AB">
        <w:rPr>
          <w:rFonts w:asciiTheme="majorBidi" w:hAnsiTheme="majorBidi" w:cstheme="majorBidi"/>
          <w:color w:val="000000" w:themeColor="text1"/>
        </w:rPr>
        <w:t>effectuer des achats de</w:t>
      </w:r>
      <w:r w:rsidR="00560ED1" w:rsidRPr="009D39AB">
        <w:rPr>
          <w:rFonts w:asciiTheme="majorBidi" w:hAnsiTheme="majorBidi" w:cstheme="majorBidi"/>
          <w:color w:val="000000" w:themeColor="text1"/>
        </w:rPr>
        <w:t xml:space="preserve"> biens</w:t>
      </w:r>
      <w:r w:rsidR="00C07FB5" w:rsidRPr="009D39AB">
        <w:rPr>
          <w:rFonts w:asciiTheme="majorBidi" w:hAnsiTheme="majorBidi" w:cstheme="majorBidi"/>
          <w:color w:val="000000" w:themeColor="text1"/>
        </w:rPr>
        <w:t xml:space="preserve"> durables et de </w:t>
      </w:r>
      <w:r w:rsidR="00560ED1" w:rsidRPr="009D39AB">
        <w:rPr>
          <w:rFonts w:asciiTheme="majorBidi" w:hAnsiTheme="majorBidi" w:cstheme="majorBidi"/>
          <w:color w:val="000000" w:themeColor="text1"/>
        </w:rPr>
        <w:t>leur situation financière.</w:t>
      </w:r>
    </w:p>
    <w:p w:rsidR="007B1D47" w:rsidRPr="009D39AB" w:rsidRDefault="007B1D47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A71494" w:rsidRPr="009D39AB" w:rsidRDefault="00F87F4A" w:rsidP="001161F3">
      <w:pPr>
        <w:pStyle w:val="Paragraphedeliste"/>
        <w:spacing w:before="240" w:line="240" w:lineRule="auto"/>
        <w:ind w:left="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Ressenti par les ménages d’une forte détérioration des niveaux de vie </w:t>
      </w:r>
    </w:p>
    <w:p w:rsidR="001161F3" w:rsidRPr="009D39AB" w:rsidRDefault="001161F3" w:rsidP="001161F3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rtl/>
          <w:lang w:eastAsia="fr-FR"/>
        </w:rPr>
      </w:pPr>
    </w:p>
    <w:p w:rsidR="003B3D47" w:rsidRPr="009D39AB" w:rsidRDefault="00580123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F0485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deuxième</w:t>
      </w:r>
      <w:r w:rsidR="00D5550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trimestre</w:t>
      </w:r>
      <w:r w:rsidR="0044099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DA178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D0E76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2022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79,2% 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des ménages déclarent une dégradation du niveau de vie au cours des 12 derniers mois,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14,6% 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un maintien au même niveau et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6,2% 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une amélioration. Le solde d’opinion sur l’évolution passée du niveau de vie est resté négatif, à moins 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73 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CD5F5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contre moins 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66,</w:t>
      </w:r>
      <w:r w:rsidR="008E39F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8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CD5F5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au  trimestre </w:t>
      </w:r>
      <w:r w:rsidR="00E061AE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précédent</w:t>
      </w:r>
      <w:r w:rsidR="00CD5F5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 moins 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50,8 </w:t>
      </w:r>
      <w:r w:rsidR="00CD5F5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 au même trimestre de l’année passée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580123" w:rsidRPr="009D39AB" w:rsidRDefault="00580123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</w:p>
    <w:p w:rsidR="001161F3" w:rsidRPr="009D39AB" w:rsidRDefault="001161F3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</w:p>
    <w:p w:rsidR="00164979" w:rsidRPr="009D39AB" w:rsidRDefault="00EB605E" w:rsidP="00EB605E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lastRenderedPageBreak/>
        <w:t>S’agissant de l’évolution du niveau de vie a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u cours des 12 prochains mois,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46,8% 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des ménages s’attendent à une dégradation,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40,7% </w:t>
      </w:r>
      <w:r w:rsidR="000F2E6E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 un maintien au même nive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et </w:t>
      </w:r>
      <w:r w:rsidR="00E067D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12,5% 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 une amélioration. Le solde d’opinion relatif à cet indicateur</w:t>
      </w:r>
      <w:r w:rsidR="008E39F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s’établit à moins 34,3 </w:t>
      </w:r>
      <w:r w:rsidR="00EE43E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44099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E43E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enregistrant ainsi</w:t>
      </w:r>
      <w:r w:rsidR="00BC4900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,</w:t>
      </w:r>
      <w:r w:rsidR="00313C1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une </w:t>
      </w:r>
      <w:r w:rsidR="00C43D6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dégradation</w:t>
      </w:r>
      <w:r w:rsidR="00313C1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F12AA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aussi bien </w:t>
      </w:r>
      <w:r w:rsidR="0016497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par rapport au trimestre </w:t>
      </w:r>
      <w:r w:rsidR="000F2E6E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précédent</w:t>
      </w:r>
      <w:r w:rsidR="0044099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F12AA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que</w:t>
      </w:r>
      <w:r w:rsidR="00C43D6B" w:rsidRPr="009D39AB">
        <w:rPr>
          <w:rFonts w:asciiTheme="majorBidi" w:eastAsia="Times New Roman" w:hAnsiTheme="majorBidi" w:cstheme="majorBidi"/>
          <w:color w:val="FF0000"/>
          <w:sz w:val="24"/>
          <w:szCs w:val="24"/>
          <w:lang w:eastAsia="fr-FR"/>
        </w:rPr>
        <w:t xml:space="preserve"> </w:t>
      </w:r>
      <w:r w:rsidR="0016497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par rapport </w:t>
      </w:r>
      <w:r w:rsidR="0082003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 même trimestre de l’année précédente</w:t>
      </w:r>
      <w:r w:rsidR="0016497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où il </w:t>
      </w:r>
      <w:r w:rsidR="0042797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était à</w:t>
      </w:r>
      <w:r w:rsidR="0044099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E39F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21,4 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et </w:t>
      </w:r>
      <w:r w:rsidR="0042797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</w:t>
      </w:r>
      <w:r w:rsidR="008E39F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4099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E39F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0,2 </w:t>
      </w:r>
      <w:r w:rsidR="0058012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</w:t>
      </w:r>
      <w:r w:rsidR="0016497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respectivement. </w:t>
      </w:r>
    </w:p>
    <w:p w:rsidR="002830E2" w:rsidRPr="009D39AB" w:rsidRDefault="002830E2" w:rsidP="00CE5F9D">
      <w:pPr>
        <w:spacing w:before="24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2 : Perception par les ménages de l'évolution passée et future du niveau de vie (soldes d'opinions)</w:t>
      </w:r>
    </w:p>
    <w:p w:rsidR="00FE6357" w:rsidRPr="009D39AB" w:rsidRDefault="003F2957" w:rsidP="00CE5F9D">
      <w:pPr>
        <w:spacing w:before="24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539647" cy="2606723"/>
            <wp:effectExtent l="19050" t="0" r="13553" b="3127"/>
            <wp:docPr id="5" name="Graphique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830E2" w:rsidRPr="009D39AB" w:rsidRDefault="002830E2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2830E2" w:rsidRPr="009D39AB" w:rsidRDefault="002830E2" w:rsidP="00CE5F9D">
      <w:pPr>
        <w:widowControl/>
        <w:ind w:left="-426"/>
        <w:jc w:val="center"/>
        <w:rPr>
          <w:rFonts w:asciiTheme="majorBidi" w:hAnsiTheme="majorBidi" w:cstheme="majorBidi"/>
          <w:color w:val="000000" w:themeColor="text1"/>
          <w:sz w:val="22"/>
          <w:szCs w:val="22"/>
          <w:rtl/>
          <w:lang w:bidi="ar-MA"/>
        </w:rPr>
      </w:pPr>
    </w:p>
    <w:p w:rsidR="00F87F4A" w:rsidRPr="009D39AB" w:rsidRDefault="00F87F4A" w:rsidP="00CE5F9D">
      <w:pPr>
        <w:pStyle w:val="Paragraphedeliste"/>
        <w:numPr>
          <w:ilvl w:val="0"/>
          <w:numId w:val="8"/>
        </w:numPr>
        <w:spacing w:before="240" w:line="240" w:lineRule="auto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du chômage : perceptions pessimistes  </w:t>
      </w:r>
    </w:p>
    <w:p w:rsidR="00172005" w:rsidRPr="009D39AB" w:rsidRDefault="00580123" w:rsidP="00CE5F9D">
      <w:pPr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9D39AB">
        <w:rPr>
          <w:rFonts w:asciiTheme="majorBidi" w:hAnsiTheme="majorBidi" w:cstheme="majorBidi"/>
          <w:color w:val="000000" w:themeColor="text1"/>
        </w:rPr>
        <w:t>deuxième</w:t>
      </w:r>
      <w:r w:rsidR="00D55501" w:rsidRPr="009D39AB">
        <w:rPr>
          <w:rFonts w:asciiTheme="majorBidi" w:hAnsiTheme="majorBidi" w:cstheme="majorBidi"/>
          <w:color w:val="000000" w:themeColor="text1"/>
        </w:rPr>
        <w:t xml:space="preserve"> trimestre</w:t>
      </w:r>
      <w:r w:rsidR="0044099F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9D39AB">
        <w:rPr>
          <w:rFonts w:asciiTheme="majorBidi" w:hAnsiTheme="majorBidi" w:cstheme="majorBidi"/>
          <w:color w:val="000000" w:themeColor="text1"/>
        </w:rPr>
        <w:t>de</w:t>
      </w:r>
      <w:r w:rsidR="00DA178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8D0E76" w:rsidRPr="009D39AB">
        <w:rPr>
          <w:rFonts w:asciiTheme="majorBidi" w:hAnsiTheme="majorBidi" w:cstheme="majorBidi"/>
          <w:color w:val="000000" w:themeColor="text1"/>
        </w:rPr>
        <w:t>2022</w:t>
      </w:r>
      <w:r w:rsidRPr="009D39AB">
        <w:rPr>
          <w:rFonts w:asciiTheme="majorBidi" w:hAnsiTheme="majorBidi" w:cstheme="majorBidi"/>
          <w:color w:val="000000" w:themeColor="text1"/>
        </w:rPr>
        <w:t>,</w:t>
      </w:r>
      <w:r w:rsidR="0044099F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E067D0" w:rsidRPr="009D39AB">
        <w:rPr>
          <w:rFonts w:asciiTheme="majorBidi" w:hAnsiTheme="majorBidi" w:cstheme="majorBidi"/>
          <w:color w:val="000000" w:themeColor="text1"/>
        </w:rPr>
        <w:t xml:space="preserve">86% </w:t>
      </w:r>
      <w:r w:rsidR="0044099F" w:rsidRPr="009D39AB">
        <w:rPr>
          <w:rFonts w:asciiTheme="majorBidi" w:hAnsiTheme="majorBidi" w:cstheme="majorBidi"/>
          <w:color w:val="000000" w:themeColor="text1"/>
        </w:rPr>
        <w:t xml:space="preserve">contre </w:t>
      </w:r>
      <w:r w:rsidR="00E067D0" w:rsidRPr="009D39AB">
        <w:rPr>
          <w:rFonts w:asciiTheme="majorBidi" w:hAnsiTheme="majorBidi" w:cstheme="majorBidi"/>
          <w:color w:val="000000" w:themeColor="text1"/>
        </w:rPr>
        <w:t>4,</w:t>
      </w:r>
      <w:r w:rsidR="004C62F7" w:rsidRPr="009D39AB">
        <w:rPr>
          <w:rFonts w:asciiTheme="majorBidi" w:hAnsiTheme="majorBidi" w:cstheme="majorBidi"/>
          <w:color w:val="000000" w:themeColor="text1"/>
        </w:rPr>
        <w:t>9</w:t>
      </w:r>
      <w:r w:rsidR="00E067D0" w:rsidRPr="009D39AB">
        <w:rPr>
          <w:rFonts w:asciiTheme="majorBidi" w:hAnsiTheme="majorBidi" w:cstheme="majorBidi"/>
          <w:color w:val="000000" w:themeColor="text1"/>
        </w:rPr>
        <w:t xml:space="preserve">% </w:t>
      </w:r>
      <w:r w:rsidR="0044099F" w:rsidRPr="009D39AB">
        <w:rPr>
          <w:rFonts w:asciiTheme="majorBidi" w:hAnsiTheme="majorBidi" w:cstheme="majorBidi"/>
          <w:color w:val="000000" w:themeColor="text1"/>
        </w:rPr>
        <w:t>des ménages s’attendent à une hausse du chômage au cours des 12 prochains mois</w:t>
      </w:r>
      <w:r w:rsidR="00AE721E" w:rsidRPr="009D39AB">
        <w:rPr>
          <w:rFonts w:asciiTheme="majorBidi" w:hAnsiTheme="majorBidi" w:cstheme="majorBidi"/>
          <w:color w:val="000000" w:themeColor="text1"/>
        </w:rPr>
        <w:t xml:space="preserve">. </w:t>
      </w:r>
      <w:r w:rsidRPr="009D39AB">
        <w:rPr>
          <w:rFonts w:asciiTheme="majorBidi" w:hAnsiTheme="majorBidi" w:cstheme="majorBidi"/>
          <w:color w:val="000000" w:themeColor="text1"/>
        </w:rPr>
        <w:t xml:space="preserve">Le solde d’opinion est resté ainsi négatif à moins </w:t>
      </w:r>
      <w:r w:rsidR="00D75F3A" w:rsidRPr="009D39AB">
        <w:rPr>
          <w:rFonts w:asciiTheme="majorBidi" w:hAnsiTheme="majorBidi" w:cstheme="majorBidi"/>
          <w:color w:val="000000" w:themeColor="text1"/>
        </w:rPr>
        <w:t xml:space="preserve">81,1 </w:t>
      </w:r>
      <w:r w:rsidRPr="009D39AB">
        <w:rPr>
          <w:rFonts w:asciiTheme="majorBidi" w:hAnsiTheme="majorBidi" w:cstheme="majorBidi"/>
          <w:color w:val="000000" w:themeColor="text1"/>
        </w:rPr>
        <w:t>points</w:t>
      </w:r>
      <w:r w:rsidR="00C142AB" w:rsidRPr="009D39AB">
        <w:rPr>
          <w:rFonts w:asciiTheme="majorBidi" w:hAnsiTheme="majorBidi" w:cstheme="majorBidi"/>
          <w:color w:val="000000" w:themeColor="text1"/>
        </w:rPr>
        <w:t xml:space="preserve"> contre</w:t>
      </w:r>
      <w:r w:rsidRPr="009D39AB">
        <w:rPr>
          <w:rFonts w:asciiTheme="majorBidi" w:hAnsiTheme="majorBidi" w:cstheme="majorBidi"/>
          <w:color w:val="000000" w:themeColor="text1"/>
        </w:rPr>
        <w:t xml:space="preserve"> moins </w:t>
      </w:r>
      <w:r w:rsidR="00D75F3A" w:rsidRPr="009D39AB">
        <w:rPr>
          <w:rFonts w:asciiTheme="majorBidi" w:hAnsiTheme="majorBidi" w:cstheme="majorBidi"/>
          <w:color w:val="000000" w:themeColor="text1"/>
        </w:rPr>
        <w:t xml:space="preserve">82,8 </w:t>
      </w:r>
      <w:r w:rsidRPr="009D39AB">
        <w:rPr>
          <w:rFonts w:asciiTheme="majorBidi" w:hAnsiTheme="majorBidi" w:cstheme="majorBidi"/>
          <w:color w:val="000000" w:themeColor="text1"/>
        </w:rPr>
        <w:t xml:space="preserve">points </w:t>
      </w:r>
      <w:r w:rsidR="00C142AB" w:rsidRPr="009D39AB">
        <w:rPr>
          <w:rFonts w:asciiTheme="majorBidi" w:hAnsiTheme="majorBidi" w:cstheme="majorBidi"/>
          <w:color w:val="000000" w:themeColor="text1"/>
        </w:rPr>
        <w:t xml:space="preserve">un trimestre auparavant et moins </w:t>
      </w:r>
      <w:r w:rsidR="008E39FA" w:rsidRPr="009D39AB">
        <w:rPr>
          <w:rFonts w:asciiTheme="majorBidi" w:hAnsiTheme="majorBidi" w:cstheme="majorBidi"/>
          <w:color w:val="000000" w:themeColor="text1"/>
        </w:rPr>
        <w:t xml:space="preserve">69,8 </w:t>
      </w:r>
      <w:r w:rsidRPr="009D39AB">
        <w:rPr>
          <w:rFonts w:asciiTheme="majorBidi" w:hAnsiTheme="majorBidi" w:cstheme="majorBidi"/>
          <w:color w:val="000000" w:themeColor="text1"/>
        </w:rPr>
        <w:t>points</w:t>
      </w:r>
      <w:r w:rsidR="00C142AB" w:rsidRPr="009D39AB">
        <w:rPr>
          <w:rFonts w:asciiTheme="majorBidi" w:hAnsiTheme="majorBidi" w:cstheme="majorBidi"/>
          <w:color w:val="000000" w:themeColor="text1"/>
        </w:rPr>
        <w:t xml:space="preserve"> un an auparavant</w:t>
      </w:r>
      <w:r w:rsidRPr="009D39AB">
        <w:rPr>
          <w:rFonts w:asciiTheme="majorBidi" w:hAnsiTheme="majorBidi" w:cstheme="majorBidi"/>
          <w:color w:val="000000" w:themeColor="text1"/>
        </w:rPr>
        <w:t>.</w:t>
      </w:r>
    </w:p>
    <w:p w:rsidR="00AE721E" w:rsidRPr="009D39AB" w:rsidRDefault="00AE721E" w:rsidP="00CE5F9D">
      <w:pPr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2830E2" w:rsidRPr="009D39AB" w:rsidRDefault="002830E2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3 : Perception par les ménages de l'évolution du nombre de chômeurs         (soldes d'opinions)</w:t>
      </w:r>
    </w:p>
    <w:p w:rsidR="001161F3" w:rsidRPr="009D39AB" w:rsidRDefault="001161F3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184134" w:rsidRPr="009D39AB" w:rsidRDefault="003F2957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650573" cy="2606723"/>
            <wp:effectExtent l="19050" t="0" r="16927" b="3127"/>
            <wp:docPr id="6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830E2" w:rsidRDefault="002830E2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EB147E" w:rsidRPr="009D39AB" w:rsidRDefault="00EB147E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CE5F9D" w:rsidRPr="009D39AB" w:rsidRDefault="00A33336" w:rsidP="00CE5F9D">
      <w:pPr>
        <w:pStyle w:val="Paragraphedeliste"/>
        <w:numPr>
          <w:ilvl w:val="0"/>
          <w:numId w:val="8"/>
        </w:numPr>
        <w:tabs>
          <w:tab w:val="left" w:pos="709"/>
        </w:tabs>
        <w:spacing w:before="240" w:line="240" w:lineRule="auto"/>
        <w:ind w:left="-76"/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lastRenderedPageBreak/>
        <w:t>Une c</w:t>
      </w:r>
      <w:r w:rsidR="003541C4"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onjoncture </w:t>
      </w:r>
      <w:r w:rsidR="00051A04" w:rsidRPr="009D39AB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 xml:space="preserve">perçue comme peu favorable à </w:t>
      </w:r>
      <w:r w:rsidR="00051A04"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>l</w:t>
      </w:r>
      <w:r w:rsidR="00051A04" w:rsidRPr="009D39AB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’achat des biens durables </w:t>
      </w:r>
    </w:p>
    <w:p w:rsidR="002125D5" w:rsidRPr="009D39AB" w:rsidRDefault="00580123" w:rsidP="00CE5F9D">
      <w:pPr>
        <w:tabs>
          <w:tab w:val="left" w:pos="709"/>
        </w:tabs>
        <w:spacing w:before="240"/>
        <w:ind w:left="-436"/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 xml:space="preserve">Au </w:t>
      </w:r>
      <w:r w:rsidR="00F04852" w:rsidRPr="009D39AB">
        <w:rPr>
          <w:rFonts w:asciiTheme="majorBidi" w:hAnsiTheme="majorBidi" w:cstheme="majorBidi"/>
          <w:color w:val="000000" w:themeColor="text1"/>
        </w:rPr>
        <w:t>deuxième</w:t>
      </w:r>
      <w:r w:rsidR="00D55501" w:rsidRPr="009D39AB">
        <w:rPr>
          <w:rFonts w:asciiTheme="majorBidi" w:hAnsiTheme="majorBidi" w:cstheme="majorBidi"/>
          <w:color w:val="000000" w:themeColor="text1"/>
        </w:rPr>
        <w:t xml:space="preserve"> trimestre</w:t>
      </w:r>
      <w:r w:rsidR="00AE721E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707360" w:rsidRPr="009D39AB">
        <w:rPr>
          <w:rFonts w:asciiTheme="majorBidi" w:hAnsiTheme="majorBidi" w:cstheme="majorBidi"/>
          <w:color w:val="000000" w:themeColor="text1"/>
        </w:rPr>
        <w:t>de</w:t>
      </w:r>
      <w:r w:rsidR="00DA178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8D0E76" w:rsidRPr="009D39AB">
        <w:rPr>
          <w:rFonts w:asciiTheme="majorBidi" w:hAnsiTheme="majorBidi" w:cstheme="majorBidi"/>
          <w:color w:val="000000" w:themeColor="text1"/>
        </w:rPr>
        <w:t>2022</w:t>
      </w:r>
      <w:r w:rsidRPr="009D39AB">
        <w:rPr>
          <w:rFonts w:asciiTheme="majorBidi" w:hAnsiTheme="majorBidi" w:cstheme="majorBidi"/>
          <w:color w:val="000000" w:themeColor="text1"/>
        </w:rPr>
        <w:t xml:space="preserve">, </w:t>
      </w:r>
      <w:r w:rsidR="00E067D0" w:rsidRPr="009D39AB">
        <w:rPr>
          <w:rFonts w:asciiTheme="majorBidi" w:hAnsiTheme="majorBidi" w:cstheme="majorBidi"/>
          <w:color w:val="000000" w:themeColor="text1"/>
        </w:rPr>
        <w:t>7</w:t>
      </w:r>
      <w:r w:rsidR="004C62F7" w:rsidRPr="009D39AB">
        <w:rPr>
          <w:rFonts w:asciiTheme="majorBidi" w:hAnsiTheme="majorBidi" w:cstheme="majorBidi"/>
          <w:color w:val="000000" w:themeColor="text1"/>
        </w:rPr>
        <w:t>8</w:t>
      </w:r>
      <w:r w:rsidR="00E067D0" w:rsidRPr="009D39AB">
        <w:rPr>
          <w:rFonts w:asciiTheme="majorBidi" w:hAnsiTheme="majorBidi" w:cstheme="majorBidi"/>
          <w:color w:val="000000" w:themeColor="text1"/>
        </w:rPr>
        <w:t>,</w:t>
      </w:r>
      <w:r w:rsidR="004C62F7" w:rsidRPr="009D39AB">
        <w:rPr>
          <w:rFonts w:asciiTheme="majorBidi" w:hAnsiTheme="majorBidi" w:cstheme="majorBidi"/>
          <w:color w:val="000000" w:themeColor="text1"/>
        </w:rPr>
        <w:t>9</w:t>
      </w:r>
      <w:r w:rsidR="00E067D0" w:rsidRPr="009D39AB">
        <w:rPr>
          <w:rFonts w:asciiTheme="majorBidi" w:hAnsiTheme="majorBidi" w:cstheme="majorBidi"/>
          <w:color w:val="000000" w:themeColor="text1"/>
        </w:rPr>
        <w:t xml:space="preserve">% </w:t>
      </w:r>
      <w:r w:rsidRPr="009D39AB">
        <w:rPr>
          <w:rFonts w:asciiTheme="majorBidi" w:hAnsiTheme="majorBidi" w:cstheme="majorBidi"/>
          <w:color w:val="000000" w:themeColor="text1"/>
        </w:rPr>
        <w:t xml:space="preserve">contre </w:t>
      </w:r>
      <w:r w:rsidR="00E067D0" w:rsidRPr="009D39AB">
        <w:rPr>
          <w:rFonts w:asciiTheme="majorBidi" w:hAnsiTheme="majorBidi" w:cstheme="majorBidi"/>
          <w:color w:val="000000" w:themeColor="text1"/>
        </w:rPr>
        <w:t>9,8%</w:t>
      </w:r>
      <w:r w:rsidRPr="009D39AB">
        <w:rPr>
          <w:rFonts w:asciiTheme="majorBidi" w:hAnsiTheme="majorBidi" w:cstheme="majorBidi"/>
          <w:color w:val="000000" w:themeColor="text1"/>
        </w:rPr>
        <w:t xml:space="preserve"> des ménages considèrent que le moment n’est pas opportun pour effectuer des achats de biens durables. </w:t>
      </w:r>
      <w:r w:rsidR="00AF3E95" w:rsidRPr="009D39AB">
        <w:rPr>
          <w:rFonts w:asciiTheme="majorBidi" w:hAnsiTheme="majorBidi" w:cstheme="majorBidi"/>
          <w:color w:val="000000" w:themeColor="text1"/>
        </w:rPr>
        <w:t>L</w:t>
      </w:r>
      <w:r w:rsidR="007933DD" w:rsidRPr="009D39AB">
        <w:rPr>
          <w:rFonts w:asciiTheme="majorBidi" w:hAnsiTheme="majorBidi" w:cstheme="majorBidi"/>
          <w:color w:val="000000" w:themeColor="text1"/>
        </w:rPr>
        <w:t>e</w:t>
      </w:r>
      <w:r w:rsidRPr="009D39AB">
        <w:rPr>
          <w:rFonts w:asciiTheme="majorBidi" w:hAnsiTheme="majorBidi" w:cstheme="majorBidi"/>
          <w:color w:val="000000" w:themeColor="text1"/>
        </w:rPr>
        <w:t xml:space="preserve"> solde d’opinion </w:t>
      </w:r>
      <w:r w:rsidR="00AF3E95" w:rsidRPr="009D39AB">
        <w:rPr>
          <w:rFonts w:asciiTheme="majorBidi" w:hAnsiTheme="majorBidi" w:cstheme="majorBidi"/>
          <w:color w:val="000000" w:themeColor="text1"/>
        </w:rPr>
        <w:t xml:space="preserve">de </w:t>
      </w:r>
      <w:r w:rsidRPr="009D39AB">
        <w:rPr>
          <w:rFonts w:asciiTheme="majorBidi" w:hAnsiTheme="majorBidi" w:cstheme="majorBidi"/>
          <w:color w:val="000000" w:themeColor="text1"/>
        </w:rPr>
        <w:t>cet indicateur est resté négatif</w:t>
      </w:r>
      <w:r w:rsidR="001E5372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354591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1E5372" w:rsidRPr="009D39AB">
        <w:rPr>
          <w:rFonts w:asciiTheme="majorBidi" w:hAnsiTheme="majorBidi" w:cstheme="majorBidi"/>
          <w:color w:val="000000" w:themeColor="text1"/>
        </w:rPr>
        <w:t xml:space="preserve">avec moins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69,1 </w:t>
      </w:r>
      <w:r w:rsidR="00DA60E1" w:rsidRPr="009D39AB">
        <w:rPr>
          <w:rFonts w:asciiTheme="majorBidi" w:hAnsiTheme="majorBidi" w:cstheme="majorBidi"/>
          <w:color w:val="000000" w:themeColor="text1"/>
        </w:rPr>
        <w:t>enregistrant une</w:t>
      </w:r>
      <w:r w:rsidR="00AE721E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C54DD2" w:rsidRPr="009D39AB">
        <w:rPr>
          <w:rFonts w:asciiTheme="majorBidi" w:hAnsiTheme="majorBidi" w:cstheme="majorBidi"/>
          <w:color w:val="000000" w:themeColor="text1"/>
        </w:rPr>
        <w:t>dégradation</w:t>
      </w:r>
      <w:r w:rsidR="00354591" w:rsidRPr="009D39AB">
        <w:rPr>
          <w:rFonts w:asciiTheme="majorBidi" w:hAnsiTheme="majorBidi" w:cstheme="majorBidi"/>
          <w:color w:val="000000" w:themeColor="text1"/>
        </w:rPr>
        <w:t xml:space="preserve"> aussi bien </w:t>
      </w:r>
      <w:r w:rsidR="001E5372" w:rsidRPr="009D39AB">
        <w:rPr>
          <w:rFonts w:asciiTheme="majorBidi" w:hAnsiTheme="majorBidi" w:cstheme="majorBidi"/>
          <w:color w:val="000000" w:themeColor="text1"/>
        </w:rPr>
        <w:t xml:space="preserve">par rapport au trimestre précédent </w:t>
      </w:r>
      <w:r w:rsidR="00354591" w:rsidRPr="009D39AB">
        <w:rPr>
          <w:rFonts w:asciiTheme="majorBidi" w:hAnsiTheme="majorBidi" w:cstheme="majorBidi"/>
          <w:color w:val="000000" w:themeColor="text1"/>
        </w:rPr>
        <w:t xml:space="preserve">que </w:t>
      </w:r>
      <w:r w:rsidR="001E5372" w:rsidRPr="009D39AB">
        <w:rPr>
          <w:rFonts w:asciiTheme="majorBidi" w:hAnsiTheme="majorBidi" w:cstheme="majorBidi"/>
          <w:color w:val="000000" w:themeColor="text1"/>
        </w:rPr>
        <w:t>par rapport au même trimestre de l’année précédente</w:t>
      </w:r>
      <w:r w:rsidR="00754562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3D0AF3" w:rsidRPr="009D39AB">
        <w:rPr>
          <w:rFonts w:asciiTheme="majorBidi" w:hAnsiTheme="majorBidi" w:cstheme="majorBidi"/>
          <w:color w:val="000000" w:themeColor="text1"/>
        </w:rPr>
        <w:t xml:space="preserve">où il s’est établit à moins 66,7 </w:t>
      </w:r>
      <w:r w:rsidR="00B10907">
        <w:rPr>
          <w:rFonts w:asciiTheme="majorBidi" w:hAnsiTheme="majorBidi" w:cstheme="majorBidi"/>
          <w:color w:val="000000" w:themeColor="text1"/>
        </w:rPr>
        <w:t xml:space="preserve">points </w:t>
      </w:r>
      <w:r w:rsidR="003D0AF3" w:rsidRPr="009D39AB">
        <w:rPr>
          <w:rFonts w:asciiTheme="majorBidi" w:hAnsiTheme="majorBidi" w:cstheme="majorBidi"/>
          <w:color w:val="000000" w:themeColor="text1"/>
        </w:rPr>
        <w:t xml:space="preserve">et </w:t>
      </w:r>
      <w:r w:rsidR="00DA60E1" w:rsidRPr="009D39AB">
        <w:rPr>
          <w:rFonts w:asciiTheme="majorBidi" w:hAnsiTheme="majorBidi" w:cstheme="majorBidi"/>
          <w:color w:val="000000" w:themeColor="text1"/>
        </w:rPr>
        <w:t xml:space="preserve">à </w:t>
      </w:r>
      <w:r w:rsidR="001E5372" w:rsidRPr="009D39AB">
        <w:rPr>
          <w:rFonts w:asciiTheme="majorBidi" w:hAnsiTheme="majorBidi" w:cstheme="majorBidi"/>
          <w:color w:val="000000" w:themeColor="text1"/>
        </w:rPr>
        <w:t xml:space="preserve">moins </w:t>
      </w:r>
      <w:r w:rsidR="00005AAD" w:rsidRPr="009D39AB">
        <w:rPr>
          <w:rFonts w:asciiTheme="majorBidi" w:hAnsiTheme="majorBidi" w:cstheme="majorBidi"/>
          <w:color w:val="000000" w:themeColor="text1"/>
        </w:rPr>
        <w:t>65,6</w:t>
      </w:r>
      <w:r w:rsidR="003D0AF3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B10907">
        <w:rPr>
          <w:rFonts w:asciiTheme="majorBidi" w:hAnsiTheme="majorBidi" w:cstheme="majorBidi"/>
          <w:color w:val="000000" w:themeColor="text1"/>
        </w:rPr>
        <w:t xml:space="preserve">points </w:t>
      </w:r>
      <w:r w:rsidR="003D0AF3" w:rsidRPr="009D39AB">
        <w:rPr>
          <w:rFonts w:asciiTheme="majorBidi" w:hAnsiTheme="majorBidi" w:cstheme="majorBidi"/>
          <w:color w:val="000000" w:themeColor="text1"/>
        </w:rPr>
        <w:t>respectivement</w:t>
      </w:r>
      <w:r w:rsidR="001E5372" w:rsidRPr="009D39AB">
        <w:rPr>
          <w:rFonts w:asciiTheme="majorBidi" w:hAnsiTheme="majorBidi" w:cstheme="majorBidi"/>
          <w:color w:val="000000" w:themeColor="text1"/>
        </w:rPr>
        <w:t>.</w:t>
      </w:r>
      <w:r w:rsidR="003D0AF3" w:rsidRPr="009D39AB">
        <w:rPr>
          <w:rFonts w:asciiTheme="majorBidi" w:hAnsiTheme="majorBidi" w:cstheme="majorBidi"/>
          <w:color w:val="000000" w:themeColor="text1"/>
        </w:rPr>
        <w:t xml:space="preserve"> </w:t>
      </w:r>
    </w:p>
    <w:p w:rsidR="003D0AF3" w:rsidRPr="009D39AB" w:rsidRDefault="003D0AF3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2830E2" w:rsidRDefault="002830E2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4 : Perception par les ménages de l'opportunité d'achat des biens durables  (soldes d'opinions)</w:t>
      </w:r>
    </w:p>
    <w:p w:rsidR="00EB147E" w:rsidRPr="009D39AB" w:rsidRDefault="00EB147E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1161F3" w:rsidRPr="009D39AB" w:rsidRDefault="001161F3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D326DA" w:rsidRPr="009D39AB" w:rsidRDefault="007261D7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508703" cy="3154377"/>
            <wp:effectExtent l="19050" t="0" r="25447" b="7923"/>
            <wp:docPr id="7" name="Graphique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161F3" w:rsidRPr="009D39AB" w:rsidRDefault="001161F3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2830E2" w:rsidRPr="009D39AB" w:rsidRDefault="002830E2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2830E2" w:rsidRPr="009D39AB" w:rsidRDefault="002830E2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noProof/>
          <w:color w:val="000000" w:themeColor="text1"/>
        </w:rPr>
      </w:pPr>
    </w:p>
    <w:p w:rsidR="009B3682" w:rsidRPr="009D39AB" w:rsidRDefault="009D39AB" w:rsidP="009D39AB">
      <w:pPr>
        <w:pStyle w:val="Paragraphedeliste"/>
        <w:numPr>
          <w:ilvl w:val="0"/>
          <w:numId w:val="8"/>
        </w:numPr>
        <w:tabs>
          <w:tab w:val="left" w:pos="709"/>
        </w:tabs>
        <w:spacing w:before="240" w:line="240" w:lineRule="auto"/>
        <w:ind w:left="-76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Attente d’une </w:t>
      </w:r>
      <w:r w:rsidR="00C87570"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>détérioration de la situation financière des ménages</w:t>
      </w:r>
    </w:p>
    <w:p w:rsidR="001161F3" w:rsidRPr="009D39AB" w:rsidRDefault="001161F3" w:rsidP="001161F3">
      <w:pPr>
        <w:pStyle w:val="Paragraphedeliste"/>
        <w:tabs>
          <w:tab w:val="left" w:pos="709"/>
        </w:tabs>
        <w:spacing w:before="240" w:line="240" w:lineRule="auto"/>
        <w:ind w:left="-76"/>
        <w:jc w:val="both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:rsidR="00005AAD" w:rsidRPr="009D39AB" w:rsidRDefault="00516548" w:rsidP="00B10907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F0485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deuxième</w:t>
      </w:r>
      <w:r w:rsidR="00D5550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trimestre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DA178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D0E76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2022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DC0DC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52%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des ménages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estiment que leurs revenus couvrent leurs dépenses, </w:t>
      </w:r>
      <w:r w:rsidR="00DC0DC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45,</w:t>
      </w:r>
      <w:r w:rsidR="00A5145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</w:t>
      </w:r>
      <w:r w:rsidR="00DC0DC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%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déclarent s’endetter ou puiser dans leur épargne et </w:t>
      </w:r>
      <w:r w:rsidR="00DC0DC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2,6%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affirment épargner une partie de leur revenu.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solde d’opinion </w:t>
      </w:r>
      <w:r w:rsidR="007A29D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relatif à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la situation financière actuelle des ménages est resté ainsi négatif, à moins </w:t>
      </w:r>
      <w:r w:rsidR="00005AA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42,</w:t>
      </w:r>
      <w:r w:rsidR="00A5145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8</w:t>
      </w:r>
      <w:r w:rsidR="00005AA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03B6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D90C0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contre </w:t>
      </w:r>
      <w:r w:rsidR="00A5425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005AA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43,4 </w:t>
      </w:r>
      <w:r w:rsidR="005B09C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5425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trimestre </w:t>
      </w:r>
      <w:r w:rsidR="0005351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précédent</w:t>
      </w:r>
      <w:r w:rsidR="00A5425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moins </w:t>
      </w:r>
      <w:r w:rsidR="0010301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3</w:t>
      </w:r>
      <w:r w:rsidR="00005AA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8</w:t>
      </w:r>
      <w:r w:rsidR="00A5425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,</w:t>
      </w:r>
      <w:r w:rsidR="0010301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</w:t>
      </w:r>
      <w:r w:rsidR="005B09C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points</w:t>
      </w:r>
      <w:r w:rsidR="00E1663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B10907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</w:t>
      </w:r>
      <w:r w:rsidR="00B10907" w:rsidRPr="009D39AB">
        <w:rPr>
          <w:rFonts w:asciiTheme="majorBidi" w:hAnsiTheme="majorBidi" w:cstheme="majorBidi"/>
          <w:color w:val="000000" w:themeColor="text1"/>
        </w:rPr>
        <w:t>même trimestre de l’année précédente</w:t>
      </w:r>
      <w:r w:rsidR="00A5425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5D3956" w:rsidRPr="009D39AB" w:rsidRDefault="00035053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>Quant à</w:t>
      </w:r>
      <w:r w:rsidR="002B7C12" w:rsidRPr="009D39AB">
        <w:rPr>
          <w:rFonts w:asciiTheme="majorBidi" w:hAnsiTheme="majorBidi" w:cstheme="majorBidi"/>
          <w:color w:val="000000" w:themeColor="text1"/>
        </w:rPr>
        <w:t xml:space="preserve"> l’évolution de</w:t>
      </w:r>
      <w:r w:rsidR="00F45C72" w:rsidRPr="009D39AB">
        <w:rPr>
          <w:rFonts w:asciiTheme="majorBidi" w:hAnsiTheme="majorBidi" w:cstheme="majorBidi"/>
          <w:color w:val="000000" w:themeColor="text1"/>
        </w:rPr>
        <w:t xml:space="preserve"> leur </w:t>
      </w:r>
      <w:r w:rsidR="0016780D" w:rsidRPr="009D39AB">
        <w:rPr>
          <w:rFonts w:asciiTheme="majorBidi" w:hAnsiTheme="majorBidi" w:cstheme="majorBidi"/>
          <w:color w:val="000000" w:themeColor="text1"/>
        </w:rPr>
        <w:t>situation financière</w:t>
      </w:r>
      <w:r w:rsidR="00F45C72" w:rsidRPr="009D39AB">
        <w:rPr>
          <w:rFonts w:asciiTheme="majorBidi" w:hAnsiTheme="majorBidi" w:cstheme="majorBidi"/>
          <w:color w:val="000000" w:themeColor="text1"/>
        </w:rPr>
        <w:t xml:space="preserve"> au cours des 12 derniers mois</w:t>
      </w:r>
      <w:r w:rsidR="0016780D" w:rsidRPr="009D39AB">
        <w:rPr>
          <w:rFonts w:asciiTheme="majorBidi" w:hAnsiTheme="majorBidi" w:cstheme="majorBidi"/>
          <w:color w:val="000000" w:themeColor="text1"/>
        </w:rPr>
        <w:t xml:space="preserve">, </w:t>
      </w:r>
      <w:r w:rsidR="00D61D3A" w:rsidRPr="009D39AB">
        <w:rPr>
          <w:rFonts w:asciiTheme="majorBidi" w:hAnsiTheme="majorBidi" w:cstheme="majorBidi"/>
          <w:color w:val="000000" w:themeColor="text1"/>
        </w:rPr>
        <w:t>54,3%</w:t>
      </w:r>
      <w:r w:rsidR="005D3956" w:rsidRPr="009D39AB">
        <w:rPr>
          <w:rFonts w:asciiTheme="majorBidi" w:hAnsiTheme="majorBidi" w:cstheme="majorBidi"/>
          <w:color w:val="000000" w:themeColor="text1"/>
        </w:rPr>
        <w:t xml:space="preserve"> contre </w:t>
      </w:r>
      <w:r w:rsidR="00D61D3A" w:rsidRPr="009D39AB">
        <w:rPr>
          <w:rFonts w:asciiTheme="majorBidi" w:hAnsiTheme="majorBidi" w:cstheme="majorBidi"/>
          <w:color w:val="000000" w:themeColor="text1"/>
        </w:rPr>
        <w:t xml:space="preserve">5,6% </w:t>
      </w:r>
      <w:r w:rsidR="0016780D" w:rsidRPr="009D39AB">
        <w:rPr>
          <w:rFonts w:asciiTheme="majorBidi" w:hAnsiTheme="majorBidi" w:cstheme="majorBidi"/>
          <w:color w:val="000000" w:themeColor="text1"/>
        </w:rPr>
        <w:t xml:space="preserve">des ménages considèrent qu’elle </w:t>
      </w:r>
      <w:r w:rsidR="00540BE7" w:rsidRPr="009D39AB">
        <w:rPr>
          <w:rFonts w:asciiTheme="majorBidi" w:hAnsiTheme="majorBidi" w:cstheme="majorBidi"/>
          <w:color w:val="000000" w:themeColor="text1"/>
        </w:rPr>
        <w:t>s’est dégradée</w:t>
      </w:r>
      <w:r w:rsidR="0016780D" w:rsidRPr="009D39AB">
        <w:rPr>
          <w:rFonts w:asciiTheme="majorBidi" w:hAnsiTheme="majorBidi" w:cstheme="majorBidi"/>
          <w:color w:val="000000" w:themeColor="text1"/>
        </w:rPr>
        <w:t xml:space="preserve">. Cette perception reste </w:t>
      </w:r>
      <w:r w:rsidR="00F45C72" w:rsidRPr="009D39AB">
        <w:rPr>
          <w:rFonts w:asciiTheme="majorBidi" w:hAnsiTheme="majorBidi" w:cstheme="majorBidi"/>
          <w:color w:val="000000" w:themeColor="text1"/>
        </w:rPr>
        <w:t xml:space="preserve">ainsi </w:t>
      </w:r>
      <w:r w:rsidR="0016780D" w:rsidRPr="009D39AB">
        <w:rPr>
          <w:rFonts w:asciiTheme="majorBidi" w:hAnsiTheme="majorBidi" w:cstheme="majorBidi"/>
          <w:color w:val="000000" w:themeColor="text1"/>
        </w:rPr>
        <w:t xml:space="preserve">négative, </w:t>
      </w:r>
      <w:r w:rsidR="00F45C72" w:rsidRPr="009D39AB">
        <w:rPr>
          <w:rFonts w:asciiTheme="majorBidi" w:hAnsiTheme="majorBidi" w:cstheme="majorBidi"/>
          <w:color w:val="000000" w:themeColor="text1"/>
        </w:rPr>
        <w:t>avec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F45C72" w:rsidRPr="009D39AB">
        <w:rPr>
          <w:rFonts w:asciiTheme="majorBidi" w:hAnsiTheme="majorBidi" w:cstheme="majorBidi"/>
          <w:color w:val="000000" w:themeColor="text1"/>
        </w:rPr>
        <w:t xml:space="preserve">un solde d’opinion de </w:t>
      </w:r>
      <w:r w:rsidR="006617C3" w:rsidRPr="009D39AB">
        <w:rPr>
          <w:rFonts w:asciiTheme="majorBidi" w:hAnsiTheme="majorBidi" w:cstheme="majorBidi"/>
          <w:color w:val="000000" w:themeColor="text1"/>
        </w:rPr>
        <w:t>moins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48,7 </w:t>
      </w:r>
      <w:r w:rsidR="006617C3" w:rsidRPr="009D39AB">
        <w:rPr>
          <w:rFonts w:asciiTheme="majorBidi" w:hAnsiTheme="majorBidi" w:cstheme="majorBidi"/>
          <w:color w:val="000000" w:themeColor="text1"/>
        </w:rPr>
        <w:t>points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BE624F" w:rsidRPr="009D39AB">
        <w:rPr>
          <w:rFonts w:asciiTheme="majorBidi" w:hAnsiTheme="majorBidi" w:cstheme="majorBidi"/>
          <w:color w:val="000000" w:themeColor="text1"/>
        </w:rPr>
        <w:t xml:space="preserve">contre </w:t>
      </w:r>
      <w:r w:rsidR="005B09C4" w:rsidRPr="009D39AB">
        <w:rPr>
          <w:rFonts w:asciiTheme="majorBidi" w:hAnsiTheme="majorBidi" w:cstheme="majorBidi"/>
          <w:color w:val="000000" w:themeColor="text1"/>
        </w:rPr>
        <w:t xml:space="preserve">moins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50,9 </w:t>
      </w:r>
      <w:r w:rsidR="005B09C4" w:rsidRPr="009D39AB">
        <w:rPr>
          <w:rFonts w:asciiTheme="majorBidi" w:hAnsiTheme="majorBidi" w:cstheme="majorBidi"/>
          <w:color w:val="000000" w:themeColor="text1"/>
        </w:rPr>
        <w:t xml:space="preserve">points </w:t>
      </w:r>
      <w:r w:rsidR="001143FE" w:rsidRPr="009D39AB">
        <w:rPr>
          <w:rFonts w:asciiTheme="majorBidi" w:hAnsiTheme="majorBidi" w:cstheme="majorBidi"/>
          <w:color w:val="000000" w:themeColor="text1"/>
        </w:rPr>
        <w:t xml:space="preserve">au </w:t>
      </w:r>
      <w:r w:rsidR="00BE624F" w:rsidRPr="009D39AB">
        <w:rPr>
          <w:rFonts w:asciiTheme="majorBidi" w:hAnsiTheme="majorBidi" w:cstheme="majorBidi"/>
          <w:color w:val="000000" w:themeColor="text1"/>
        </w:rPr>
        <w:t xml:space="preserve">trimestre précèdent et moins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50,0 </w:t>
      </w:r>
      <w:r w:rsidR="00BE624F" w:rsidRPr="009D39AB">
        <w:rPr>
          <w:rFonts w:asciiTheme="majorBidi" w:hAnsiTheme="majorBidi" w:cstheme="majorBidi"/>
          <w:color w:val="000000" w:themeColor="text1"/>
        </w:rPr>
        <w:t xml:space="preserve">points au </w:t>
      </w:r>
      <w:r w:rsidR="001143FE" w:rsidRPr="009D39AB">
        <w:rPr>
          <w:rFonts w:asciiTheme="majorBidi" w:hAnsiTheme="majorBidi" w:cstheme="majorBidi"/>
          <w:color w:val="000000" w:themeColor="text1"/>
        </w:rPr>
        <w:t>même trimestre de l’année précédente</w:t>
      </w:r>
      <w:r w:rsidR="00BE624F" w:rsidRPr="009D39AB">
        <w:rPr>
          <w:rFonts w:asciiTheme="majorBidi" w:hAnsiTheme="majorBidi" w:cstheme="majorBidi"/>
          <w:color w:val="000000" w:themeColor="text1"/>
        </w:rPr>
        <w:t xml:space="preserve">. </w:t>
      </w:r>
    </w:p>
    <w:p w:rsidR="00527651" w:rsidRPr="009D39AB" w:rsidRDefault="00527651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2830E2" w:rsidRPr="009D39AB" w:rsidRDefault="00491FB6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 xml:space="preserve">S’agissant </w:t>
      </w:r>
      <w:r w:rsidR="00B56764" w:rsidRPr="009D39AB">
        <w:rPr>
          <w:rFonts w:asciiTheme="majorBidi" w:hAnsiTheme="majorBidi" w:cstheme="majorBidi"/>
          <w:color w:val="000000" w:themeColor="text1"/>
        </w:rPr>
        <w:t xml:space="preserve">de l’évolution </w:t>
      </w:r>
      <w:r w:rsidR="00D41CA0" w:rsidRPr="009D39AB">
        <w:rPr>
          <w:rFonts w:asciiTheme="majorBidi" w:hAnsiTheme="majorBidi" w:cstheme="majorBidi"/>
          <w:color w:val="000000" w:themeColor="text1"/>
        </w:rPr>
        <w:t>de leur situation financière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B56764" w:rsidRPr="009D39AB">
        <w:rPr>
          <w:rFonts w:asciiTheme="majorBidi" w:hAnsiTheme="majorBidi" w:cstheme="majorBidi"/>
          <w:color w:val="000000" w:themeColor="text1"/>
        </w:rPr>
        <w:t>au cours des 12 prochains mois,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D61D3A" w:rsidRPr="009D39AB">
        <w:rPr>
          <w:rFonts w:asciiTheme="majorBidi" w:hAnsiTheme="majorBidi" w:cstheme="majorBidi"/>
          <w:color w:val="000000" w:themeColor="text1"/>
        </w:rPr>
        <w:t xml:space="preserve">19,1% </w:t>
      </w:r>
      <w:r w:rsidR="00A5145B" w:rsidRPr="009D39AB">
        <w:rPr>
          <w:rFonts w:asciiTheme="majorBidi" w:hAnsiTheme="majorBidi" w:cstheme="majorBidi"/>
          <w:color w:val="000000" w:themeColor="text1"/>
        </w:rPr>
        <w:t xml:space="preserve">des ménages s’attendent à une amélioration de leur situation financière, 61,7% à un maintien au même niveau et </w:t>
      </w:r>
      <w:r w:rsidR="00D61D3A" w:rsidRPr="009D39AB">
        <w:rPr>
          <w:rFonts w:asciiTheme="majorBidi" w:hAnsiTheme="majorBidi" w:cstheme="majorBidi"/>
          <w:color w:val="000000" w:themeColor="text1"/>
        </w:rPr>
        <w:t>19,2%</w:t>
      </w:r>
      <w:r w:rsidR="00A5145B" w:rsidRPr="009D39AB">
        <w:rPr>
          <w:rFonts w:asciiTheme="majorBidi" w:hAnsiTheme="majorBidi" w:cstheme="majorBidi"/>
          <w:color w:val="000000" w:themeColor="text1"/>
        </w:rPr>
        <w:t xml:space="preserve"> à une dégradation</w:t>
      </w:r>
      <w:r w:rsidR="00F45C72" w:rsidRPr="009D39AB">
        <w:rPr>
          <w:rFonts w:asciiTheme="majorBidi" w:hAnsiTheme="majorBidi" w:cstheme="majorBidi"/>
          <w:color w:val="000000" w:themeColor="text1"/>
        </w:rPr>
        <w:t>. Le solde d’opinion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A01E00" w:rsidRPr="009D39AB">
        <w:rPr>
          <w:rFonts w:asciiTheme="majorBidi" w:hAnsiTheme="majorBidi" w:cstheme="majorBidi"/>
          <w:color w:val="000000" w:themeColor="text1"/>
        </w:rPr>
        <w:t xml:space="preserve">de cet indicateur </w:t>
      </w:r>
      <w:r w:rsidR="004C21FA" w:rsidRPr="009D39AB">
        <w:rPr>
          <w:rFonts w:asciiTheme="majorBidi" w:hAnsiTheme="majorBidi" w:cstheme="majorBidi"/>
          <w:color w:val="000000" w:themeColor="text1"/>
        </w:rPr>
        <w:t xml:space="preserve">s’est ainsi établit à </w:t>
      </w:r>
      <w:r w:rsidR="00846514" w:rsidRPr="009D39AB">
        <w:rPr>
          <w:rFonts w:asciiTheme="majorBidi" w:hAnsiTheme="majorBidi" w:cstheme="majorBidi"/>
          <w:color w:val="000000" w:themeColor="text1"/>
        </w:rPr>
        <w:t>moins 0,1</w:t>
      </w:r>
      <w:r w:rsidR="004C21FA" w:rsidRPr="009D39AB">
        <w:rPr>
          <w:rFonts w:asciiTheme="majorBidi" w:hAnsiTheme="majorBidi" w:cstheme="majorBidi"/>
          <w:color w:val="000000" w:themeColor="text1"/>
        </w:rPr>
        <w:t xml:space="preserve"> point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 </w:t>
      </w:r>
      <w:r w:rsidR="004C21FA" w:rsidRPr="009D39AB">
        <w:rPr>
          <w:rFonts w:asciiTheme="majorBidi" w:hAnsiTheme="majorBidi" w:cstheme="majorBidi"/>
          <w:color w:val="000000" w:themeColor="text1"/>
        </w:rPr>
        <w:t xml:space="preserve">contre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8,3 </w:t>
      </w:r>
      <w:r w:rsidR="004C21FA" w:rsidRPr="009D39AB">
        <w:rPr>
          <w:rFonts w:asciiTheme="majorBidi" w:hAnsiTheme="majorBidi" w:cstheme="majorBidi"/>
          <w:color w:val="000000" w:themeColor="text1"/>
        </w:rPr>
        <w:t xml:space="preserve">points </w:t>
      </w:r>
      <w:r w:rsidR="004E7B02" w:rsidRPr="009D39AB">
        <w:rPr>
          <w:rFonts w:asciiTheme="majorBidi" w:hAnsiTheme="majorBidi" w:cstheme="majorBidi"/>
          <w:color w:val="000000" w:themeColor="text1"/>
        </w:rPr>
        <w:t xml:space="preserve">un trimestre auparavant 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et </w:t>
      </w:r>
      <w:r w:rsidR="00005AAD" w:rsidRPr="009D39AB">
        <w:rPr>
          <w:rFonts w:asciiTheme="majorBidi" w:hAnsiTheme="majorBidi" w:cstheme="majorBidi"/>
          <w:color w:val="000000" w:themeColor="text1"/>
        </w:rPr>
        <w:t xml:space="preserve">14,8 </w:t>
      </w:r>
      <w:r w:rsidR="00960870" w:rsidRPr="009D39AB">
        <w:rPr>
          <w:rFonts w:asciiTheme="majorBidi" w:hAnsiTheme="majorBidi" w:cstheme="majorBidi"/>
          <w:color w:val="000000" w:themeColor="text1"/>
        </w:rPr>
        <w:t xml:space="preserve">points </w:t>
      </w:r>
      <w:r w:rsidR="004E7B02" w:rsidRPr="009D39AB">
        <w:rPr>
          <w:rFonts w:asciiTheme="majorBidi" w:hAnsiTheme="majorBidi" w:cstheme="majorBidi"/>
          <w:color w:val="000000" w:themeColor="text1"/>
        </w:rPr>
        <w:t>un an auparavant</w:t>
      </w:r>
      <w:r w:rsidR="00960870" w:rsidRPr="009D39AB">
        <w:rPr>
          <w:rFonts w:asciiTheme="majorBidi" w:hAnsiTheme="majorBidi" w:cstheme="majorBidi"/>
          <w:color w:val="000000" w:themeColor="text1"/>
        </w:rPr>
        <w:t>.</w:t>
      </w:r>
    </w:p>
    <w:p w:rsidR="001C3419" w:rsidRPr="009D39AB" w:rsidRDefault="001C3419" w:rsidP="00CE5F9D">
      <w:pPr>
        <w:widowControl/>
        <w:tabs>
          <w:tab w:val="left" w:pos="709"/>
        </w:tabs>
        <w:jc w:val="both"/>
        <w:rPr>
          <w:rFonts w:asciiTheme="majorBidi" w:eastAsia="Calibri" w:hAnsiTheme="majorBidi" w:cstheme="majorBidi"/>
          <w:color w:val="000000" w:themeColor="text1"/>
          <w:sz w:val="22"/>
          <w:szCs w:val="22"/>
          <w:lang w:eastAsia="en-US"/>
        </w:rPr>
      </w:pPr>
    </w:p>
    <w:p w:rsidR="002830E2" w:rsidRPr="009D39AB" w:rsidRDefault="002830E2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lastRenderedPageBreak/>
        <w:t xml:space="preserve">Graphique 5 : Perception par les ménages de leurs situations financières                        (soldes d'opinions) </w:t>
      </w:r>
    </w:p>
    <w:p w:rsidR="001161F3" w:rsidRPr="009D39AB" w:rsidRDefault="001161F3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</w:p>
    <w:p w:rsidR="002125D5" w:rsidRPr="009D39AB" w:rsidRDefault="007261D7" w:rsidP="00CE5F9D">
      <w:pPr>
        <w:tabs>
          <w:tab w:val="left" w:pos="709"/>
        </w:tabs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411576" cy="4353636"/>
            <wp:effectExtent l="19050" t="0" r="27324" b="8814"/>
            <wp:docPr id="10" name="Graphique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EB147E" w:rsidRDefault="00EB147E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2830E2" w:rsidRPr="009D39AB" w:rsidRDefault="002830E2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2830E2" w:rsidRPr="009D39AB" w:rsidRDefault="002830E2" w:rsidP="00CE5F9D">
      <w:pPr>
        <w:widowControl/>
        <w:spacing w:before="240"/>
        <w:jc w:val="center"/>
        <w:rPr>
          <w:rFonts w:asciiTheme="majorBidi" w:hAnsiTheme="majorBidi" w:cstheme="majorBidi"/>
          <w:noProof/>
          <w:color w:val="000000" w:themeColor="text1"/>
        </w:rPr>
      </w:pPr>
    </w:p>
    <w:p w:rsidR="000E21A1" w:rsidRPr="009D39AB" w:rsidRDefault="000E21A1" w:rsidP="00CE5F9D">
      <w:pPr>
        <w:pStyle w:val="Paragraphedeliste"/>
        <w:numPr>
          <w:ilvl w:val="0"/>
          <w:numId w:val="9"/>
        </w:numPr>
        <w:spacing w:line="240" w:lineRule="auto"/>
        <w:ind w:left="284" w:hanging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Evolution d’autres indicateurs </w:t>
      </w:r>
      <w:r w:rsidR="005D5DB2"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trimestriels </w:t>
      </w:r>
      <w:r w:rsidR="00D75C4F"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de la conjoncture</w:t>
      </w:r>
    </w:p>
    <w:p w:rsidR="00345EE0" w:rsidRPr="009D39AB" w:rsidRDefault="00D52D57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>L’enquête fournit également des données trimestrielles sur l</w:t>
      </w:r>
      <w:r w:rsidR="001F7D34" w:rsidRPr="009D39AB">
        <w:rPr>
          <w:rFonts w:asciiTheme="majorBidi" w:hAnsiTheme="majorBidi" w:cstheme="majorBidi"/>
          <w:color w:val="000000" w:themeColor="text1"/>
        </w:rPr>
        <w:t xml:space="preserve">a </w:t>
      </w:r>
      <w:r w:rsidRPr="009D39AB">
        <w:rPr>
          <w:rFonts w:asciiTheme="majorBidi" w:hAnsiTheme="majorBidi" w:cstheme="majorBidi"/>
          <w:color w:val="000000" w:themeColor="text1"/>
        </w:rPr>
        <w:t xml:space="preserve">perception des ménages relatives à d’autres aspects des conditions de vie. Il s’agit en particulier de la </w:t>
      </w:r>
      <w:r w:rsidR="001F7D34" w:rsidRPr="009D39AB">
        <w:rPr>
          <w:rFonts w:asciiTheme="majorBidi" w:hAnsiTheme="majorBidi" w:cstheme="majorBidi"/>
          <w:color w:val="000000" w:themeColor="text1"/>
        </w:rPr>
        <w:t>capacité des ménages à épargner et</w:t>
      </w:r>
      <w:r w:rsidRPr="009D39AB">
        <w:rPr>
          <w:rFonts w:asciiTheme="majorBidi" w:hAnsiTheme="majorBidi" w:cstheme="majorBidi"/>
          <w:color w:val="000000" w:themeColor="text1"/>
        </w:rPr>
        <w:t xml:space="preserve"> de </w:t>
      </w:r>
      <w:r w:rsidR="001F7D34" w:rsidRPr="009D39AB">
        <w:rPr>
          <w:rFonts w:asciiTheme="majorBidi" w:hAnsiTheme="majorBidi" w:cstheme="majorBidi"/>
          <w:color w:val="000000" w:themeColor="text1"/>
        </w:rPr>
        <w:t xml:space="preserve"> l’évolution des prix des produits alimentaires</w:t>
      </w:r>
      <w:r w:rsidR="0071373B" w:rsidRPr="009D39AB">
        <w:rPr>
          <w:rFonts w:asciiTheme="majorBidi" w:hAnsiTheme="majorBidi" w:cstheme="majorBidi"/>
          <w:color w:val="000000" w:themeColor="text1"/>
        </w:rPr>
        <w:t xml:space="preserve">. </w:t>
      </w:r>
    </w:p>
    <w:p w:rsidR="004E7B02" w:rsidRPr="009D39AB" w:rsidRDefault="004E7B02" w:rsidP="00CE5F9D">
      <w:pPr>
        <w:widowControl/>
        <w:tabs>
          <w:tab w:val="left" w:pos="709"/>
        </w:tabs>
        <w:jc w:val="both"/>
        <w:rPr>
          <w:rFonts w:asciiTheme="majorBidi" w:hAnsiTheme="majorBidi" w:cstheme="majorBidi"/>
          <w:color w:val="000000" w:themeColor="text1"/>
        </w:rPr>
      </w:pPr>
    </w:p>
    <w:p w:rsidR="00412CF2" w:rsidRPr="009D39AB" w:rsidRDefault="00A80687" w:rsidP="00CE5F9D">
      <w:pPr>
        <w:pStyle w:val="Paragraphedeliste"/>
        <w:numPr>
          <w:ilvl w:val="0"/>
          <w:numId w:val="8"/>
        </w:numPr>
        <w:spacing w:line="24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Ménages </w:t>
      </w:r>
      <w:r w:rsidR="00261ED7"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>pessimiste</w:t>
      </w:r>
      <w:r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>s quant à leur</w:t>
      </w:r>
      <w:r w:rsidR="00261ED7" w:rsidRPr="009D39AB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capacité future à épargner</w:t>
      </w:r>
      <w:r w:rsidR="00EC2700" w:rsidRPr="009D39AB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 xml:space="preserve">  </w:t>
      </w:r>
    </w:p>
    <w:p w:rsidR="001161F3" w:rsidRPr="009D39AB" w:rsidRDefault="001161F3" w:rsidP="001161F3">
      <w:pPr>
        <w:pStyle w:val="Paragraphedeliste"/>
        <w:spacing w:line="240" w:lineRule="auto"/>
        <w:ind w:left="360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3B3D47" w:rsidRPr="009D39AB" w:rsidRDefault="00AE5641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F0485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deuxième</w:t>
      </w:r>
      <w:r w:rsidR="00D5550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trimestre</w:t>
      </w:r>
      <w:r w:rsidR="004E7B0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DA178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D0E76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2022</w:t>
      </w:r>
      <w:r w:rsidR="00D72CF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,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D61D3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11,4% </w:t>
      </w:r>
      <w:r w:rsidR="00256C0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contre </w:t>
      </w:r>
      <w:r w:rsidR="00D61D3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88,6% </w:t>
      </w:r>
      <w:r w:rsidR="00DE048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des ménages</w:t>
      </w:r>
      <w:r w:rsidR="004E7B0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4153F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s’attendent à </w:t>
      </w:r>
      <w:r w:rsidR="00511C5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épargner au cours des 12 prochains </w:t>
      </w:r>
      <w:r w:rsidR="0005706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mois</w:t>
      </w:r>
      <w:r w:rsidR="00507FF6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  <w:r w:rsidR="004153F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Le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solde d’opinion</w:t>
      </w:r>
      <w:r w:rsidR="00B14A3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relatif à cet indicateur </w:t>
      </w:r>
      <w:r w:rsidR="00626FD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est resté négatif, à moins </w:t>
      </w:r>
      <w:r w:rsidR="00126DA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77,3 </w:t>
      </w:r>
      <w:r w:rsidR="00626FD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A01B7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au lieu de</w:t>
      </w:r>
      <w:r w:rsidR="00126DA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01B7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126DA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72,2 </w:t>
      </w:r>
      <w:r w:rsidR="00A01B7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au trimestre </w:t>
      </w:r>
      <w:r w:rsidR="00B36B9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précédent</w:t>
      </w:r>
      <w:r w:rsidR="00A01B7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</w:t>
      </w:r>
      <w:r w:rsidR="00187C8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126DA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67,2 </w:t>
      </w:r>
      <w:r w:rsidR="00CE5F9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</w:t>
      </w:r>
      <w:r w:rsidR="00EC4A6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le </w:t>
      </w:r>
      <w:r w:rsidR="00A01B7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même trimestre de l’année passée</w:t>
      </w:r>
      <w:r w:rsidR="00626FD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412CF2" w:rsidRPr="009D39AB" w:rsidRDefault="00412CF2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rtl/>
          <w:lang w:eastAsia="fr-FR"/>
        </w:rPr>
      </w:pPr>
    </w:p>
    <w:p w:rsidR="00412CF2" w:rsidRPr="009D39AB" w:rsidRDefault="009D39AB" w:rsidP="009D39AB">
      <w:pPr>
        <w:pStyle w:val="Paragraphedeliste"/>
        <w:numPr>
          <w:ilvl w:val="0"/>
          <w:numId w:val="8"/>
        </w:numPr>
        <w:spacing w:before="240" w:line="240" w:lineRule="auto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Ressenti de l’a</w:t>
      </w:r>
      <w:r w:rsidR="006821CC"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ugmentation des </w:t>
      </w:r>
      <w:r w:rsidR="00261ED7" w:rsidRPr="009D39A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prix des produits alimentaires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par la quasi-totalité des ménages</w:t>
      </w:r>
    </w:p>
    <w:p w:rsidR="001161F3" w:rsidRPr="009D39AB" w:rsidRDefault="001161F3" w:rsidP="001161F3">
      <w:pPr>
        <w:pStyle w:val="Paragraphedeliste"/>
        <w:spacing w:before="240" w:line="240" w:lineRule="auto"/>
        <w:ind w:left="284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700125" w:rsidRPr="009D39AB" w:rsidRDefault="00CE443B" w:rsidP="00CE5F9D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</w:t>
      </w:r>
      <w:r w:rsidR="00F0485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deuxième</w:t>
      </w:r>
      <w:r w:rsidR="00D5550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trimestre</w:t>
      </w:r>
      <w:r w:rsidR="004E7B0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0736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DA178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8D0E76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2022</w:t>
      </w:r>
      <w:r w:rsidR="00985AB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CE5F9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la quasi-totalité des ménages (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99,2%</w:t>
      </w:r>
      <w:r w:rsidR="00CE5F9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)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F72D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déclarent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A644C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que les prix des produits alimentaires ont augmenté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EA013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au cours des </w:t>
      </w:r>
      <w:r w:rsidR="00E009EE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12 derniers mois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contre une proportion minime des ménages (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0,1%</w:t>
      </w:r>
      <w:r w:rsidR="0060147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)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727BB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qui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F72D8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ressentent leur</w:t>
      </w:r>
      <w:r w:rsidR="0093245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diminution</w:t>
      </w:r>
      <w:r w:rsidR="00D77F2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.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Le solde d’opinion</w:t>
      </w:r>
      <w:r w:rsidR="00E53FA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9C1A52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de cet indicateur continue sa tendance baissière avec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99,1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points, après avoir été </w:t>
      </w:r>
      <w:r w:rsidR="00B633E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97,9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le trimestre précédent et </w:t>
      </w:r>
      <w:r w:rsidR="00B633E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</w:t>
      </w:r>
      <w:r w:rsidR="00146ED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86,8 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 une année auparavant.</w:t>
      </w:r>
    </w:p>
    <w:p w:rsidR="00DF62C2" w:rsidRPr="009D39AB" w:rsidRDefault="00EB605E" w:rsidP="00EB605E">
      <w:pPr>
        <w:pStyle w:val="Paragraphedeliste"/>
        <w:spacing w:before="240" w:line="240" w:lineRule="auto"/>
        <w:ind w:left="0"/>
        <w:jc w:val="both"/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</w:pPr>
      <w:r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lastRenderedPageBreak/>
        <w:t xml:space="preserve">Quant à l’évolution des prix </w:t>
      </w:r>
      <w:r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des produits alimentaires</w:t>
      </w:r>
      <w:r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</w:t>
      </w:r>
      <w:r w:rsidR="004153FC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u cours des 12 prochains mois, </w:t>
      </w:r>
      <w:r w:rsidR="00CE5F9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77,3% des ménages s’attendent à une augmentation, 19,7% </w:t>
      </w:r>
      <w:r w:rsidR="00B633E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CE5F9D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 un maintien au même niveau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</w:t>
      </w:r>
      <w:r w:rsidR="003B3D4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3% 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seulement à une diminution.</w:t>
      </w:r>
      <w:r w:rsidR="006E2B2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540BE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L</w:t>
      </w:r>
      <w:r w:rsidR="00376AC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e </w:t>
      </w:r>
      <w:r w:rsidR="00EA013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solde d’opinion</w:t>
      </w:r>
      <w:r w:rsidR="00A35DA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2A152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est resté</w:t>
      </w:r>
      <w:r w:rsidR="00A35DA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ainsi </w:t>
      </w:r>
      <w:r w:rsidR="002A152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négatif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2A152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à</w:t>
      </w:r>
      <w:r w:rsidR="00EA79FB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74,3 </w:t>
      </w:r>
      <w:r w:rsidR="00511BC9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points</w:t>
      </w:r>
      <w:r w:rsidR="00F933F4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, </w:t>
      </w:r>
      <w:r w:rsidR="00E1790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 lieu de</w:t>
      </w:r>
      <w:r w:rsidR="00540BE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74,1 </w:t>
      </w:r>
      <w:r w:rsidR="00540BE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points </w:t>
      </w:r>
      <w:r w:rsidR="00E1790A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un trimestre</w:t>
      </w:r>
      <w:r w:rsidR="00A35DA0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</w:t>
      </w:r>
      <w:r w:rsidR="00FA52FF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auparavant</w:t>
      </w:r>
      <w:r w:rsidR="00CB5DC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et moins </w:t>
      </w:r>
      <w:r w:rsidR="00700125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67,6 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un</w:t>
      </w:r>
      <w:r w:rsidR="00CB5DC1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an</w:t>
      </w:r>
      <w:r w:rsidR="001161F3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 xml:space="preserve"> auparavant</w:t>
      </w:r>
      <w:r w:rsidR="00540BE7" w:rsidRPr="009D39AB">
        <w:rPr>
          <w:rFonts w:asciiTheme="majorBidi" w:eastAsia="Times New Roman" w:hAnsiTheme="majorBidi" w:cstheme="majorBidi"/>
          <w:color w:val="000000" w:themeColor="text1"/>
          <w:sz w:val="24"/>
          <w:szCs w:val="24"/>
          <w:lang w:eastAsia="fr-FR"/>
        </w:rPr>
        <w:t>.</w:t>
      </w:r>
    </w:p>
    <w:p w:rsidR="00527651" w:rsidRPr="009D39AB" w:rsidRDefault="002830E2" w:rsidP="00CE5F9D">
      <w:pPr>
        <w:spacing w:before="24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>Graphique 6 :</w:t>
      </w:r>
      <w:r w:rsidRPr="009D39AB">
        <w:rPr>
          <w:rFonts w:asciiTheme="majorBidi" w:hAnsiTheme="majorBidi" w:cstheme="majorBidi"/>
          <w:b/>
          <w:bCs/>
          <w:color w:val="000000"/>
          <w:kern w:val="24"/>
          <w:sz w:val="28"/>
          <w:szCs w:val="28"/>
        </w:rPr>
        <w:t xml:space="preserve"> </w:t>
      </w:r>
      <w:r w:rsidRPr="009D39AB"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  <w:t xml:space="preserve">Perception par les ménages des évolutions passée et future des prix des produits alimentaires  (soldes d'opinions) </w:t>
      </w:r>
    </w:p>
    <w:p w:rsidR="00394384" w:rsidRPr="009D39AB" w:rsidRDefault="007261D7" w:rsidP="00CE5F9D">
      <w:pPr>
        <w:spacing w:before="240"/>
        <w:jc w:val="both"/>
        <w:rPr>
          <w:rFonts w:asciiTheme="majorBidi" w:hAnsiTheme="majorBidi" w:cstheme="majorBidi"/>
          <w:b/>
          <w:bCs/>
          <w:color w:val="000000" w:themeColor="text1"/>
          <w:sz w:val="26"/>
          <w:szCs w:val="26"/>
        </w:rPr>
      </w:pPr>
      <w:r w:rsidRPr="009D39AB">
        <w:rPr>
          <w:rFonts w:asciiTheme="majorBidi" w:hAnsiTheme="majorBidi" w:cstheme="majorBidi"/>
          <w:b/>
          <w:bCs/>
          <w:noProof/>
          <w:color w:val="000000" w:themeColor="text1"/>
          <w:sz w:val="26"/>
          <w:szCs w:val="26"/>
        </w:rPr>
        <w:drawing>
          <wp:inline distT="0" distB="0" distL="0" distR="0">
            <wp:extent cx="6635181" cy="3630305"/>
            <wp:effectExtent l="19050" t="0" r="13269" b="8245"/>
            <wp:docPr id="11" name="Graphique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B147E" w:rsidRDefault="00EB147E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</w:p>
    <w:p w:rsidR="002830E2" w:rsidRPr="009D39AB" w:rsidRDefault="002830E2" w:rsidP="00CE5F9D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2830E2" w:rsidRPr="00BA1976" w:rsidRDefault="002830E2" w:rsidP="00CE5F9D">
      <w:pPr>
        <w:widowControl/>
        <w:autoSpaceDE/>
        <w:autoSpaceDN/>
        <w:adjustRightInd/>
        <w:spacing w:before="100" w:after="240"/>
        <w:jc w:val="center"/>
        <w:rPr>
          <w:rFonts w:asciiTheme="majorBidi" w:hAnsiTheme="majorBidi" w:cstheme="majorBidi"/>
          <w:b/>
          <w:bCs/>
        </w:rPr>
      </w:pPr>
    </w:p>
    <w:p w:rsidR="002B7F41" w:rsidRPr="009D39AB" w:rsidRDefault="002B7F41" w:rsidP="00CE5F9D">
      <w:pPr>
        <w:rPr>
          <w:rFonts w:asciiTheme="majorBidi" w:hAnsiTheme="majorBidi" w:cstheme="majorBidi"/>
          <w:color w:val="000000" w:themeColor="text1"/>
        </w:rPr>
      </w:pPr>
    </w:p>
    <w:p w:rsidR="003A0725" w:rsidRPr="009D39AB" w:rsidRDefault="00C72318" w:rsidP="00CE5F9D">
      <w:pPr>
        <w:rPr>
          <w:rFonts w:asciiTheme="majorBidi" w:hAnsiTheme="majorBidi" w:cstheme="majorBidi"/>
          <w:color w:val="000000" w:themeColor="text1"/>
        </w:rPr>
      </w:pPr>
      <w:r w:rsidRPr="009D39AB">
        <w:rPr>
          <w:rFonts w:asciiTheme="majorBidi" w:hAnsiTheme="majorBidi" w:cstheme="majorBidi"/>
          <w:color w:val="000000" w:themeColor="text1"/>
        </w:rPr>
        <w:t>Ci-joint  les détails des différents indicateurs et un rappel des principaux concepts.</w:t>
      </w:r>
    </w:p>
    <w:tbl>
      <w:tblPr>
        <w:tblpPr w:leftFromText="141" w:rightFromText="141" w:vertAnchor="text" w:horzAnchor="margin" w:tblpY="289"/>
        <w:tblW w:w="9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10"/>
      </w:tblGrid>
      <w:tr w:rsidR="003A0725" w:rsidRPr="009D39AB" w:rsidTr="00287AFB">
        <w:trPr>
          <w:trHeight w:val="8046"/>
        </w:trPr>
        <w:tc>
          <w:tcPr>
            <w:tcW w:w="9910" w:type="dxa"/>
          </w:tcPr>
          <w:p w:rsidR="000013E4" w:rsidRPr="009D39AB" w:rsidRDefault="000013E4" w:rsidP="00CE5F9D">
            <w:pPr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</w:p>
          <w:p w:rsidR="00C51B7C" w:rsidRPr="009D39AB" w:rsidRDefault="00C51B7C" w:rsidP="008F12AA">
            <w:p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rtl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évolutions des composantes de l’ICM et des autres indicateurs de l’enquête, illustrées dans les graphiques, sont exprimées en termes de soldes d'opinions</w:t>
            </w:r>
          </w:p>
          <w:p w:rsidR="000013E4" w:rsidRPr="009D39AB" w:rsidRDefault="000013E4" w:rsidP="00CE5F9D">
            <w:pPr>
              <w:ind w:left="360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:rsidR="003A0725" w:rsidRPr="009D39AB" w:rsidRDefault="003A0725" w:rsidP="00CE5F9D">
            <w:pPr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</w:rPr>
              <w:br w:type="page"/>
            </w: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Rappelons</w:t>
            </w:r>
            <w:r w:rsidR="00C51B7C"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, par ailleurs, </w:t>
            </w: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que :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les questions abordées sont qualitatives à 3 modalités (amélioratio</w:t>
            </w:r>
            <w:r w:rsidR="00D72CF7"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n, stagnation et</w:t>
            </w: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détérioration). Les  évolutions se réfèrent à une période de 12 mois. Les résultats sont présentés sous forme  de soldes (différence entre les pourcentages des réponses « amélioration » et  des réponses «détérioration»). Le niveau des soldes n’est pas directement interprétable, c’est leur évolution qui est analysée. 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1"/>
              </w:numPr>
              <w:spacing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L’Indice de Confiance des Ménages (ICM) est calculé sur la base de sept indicateurs, quatre relatifs à la situation générale et trois à la situation propre du ménage :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 passée du niveau de vie 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niveau de vie 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perspective d'évolution du nombre de chômeurs 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opportunité d'achat de biens durables;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situation financière actuelle des ménages 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 passée de la situation financière des ménages ;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évolution  future de la situation financière des ménages.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2"/>
              </w:numPr>
              <w:spacing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L’ICM est la  moyenne arithmétique simple des  soldes des 7 indicateurs, augmentée de 100, sa valeur varie ainsi de 0 à 200.</w:t>
            </w:r>
          </w:p>
          <w:p w:rsidR="003A0725" w:rsidRPr="009D39AB" w:rsidRDefault="003A0725" w:rsidP="00CE5F9D">
            <w:pPr>
              <w:pStyle w:val="Paragraphedeliste"/>
              <w:numPr>
                <w:ilvl w:val="0"/>
                <w:numId w:val="2"/>
              </w:numPr>
              <w:spacing w:line="240" w:lineRule="auto"/>
              <w:jc w:val="both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Des tests statistiques de Fisher sur la série de l’indice de confiance des ménages</w:t>
            </w:r>
            <w:r w:rsidR="00B67B3D"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durant</w:t>
            </w: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 la période allant de 2008 à 201</w:t>
            </w:r>
            <w:r w:rsidR="00B67B3D"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8</w:t>
            </w: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, ont confirmé l’absence des variations saisonnières stables et mobiles.</w:t>
            </w:r>
          </w:p>
          <w:p w:rsidR="003A0725" w:rsidRPr="009D39AB" w:rsidRDefault="003A0725" w:rsidP="008F12AA">
            <w:pPr>
              <w:jc w:val="both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9D39A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Pour plus d’informations sur les aspects méthodologiques de cette enquête, consulter le site web du HCP au  </w:t>
            </w:r>
            <w:hyperlink r:id="rId14" w:history="1">
              <w:r w:rsidRPr="009D39AB">
                <w:rPr>
                  <w:rStyle w:val="Lienhypertexte"/>
                  <w:rFonts w:asciiTheme="majorBidi" w:hAnsiTheme="majorBidi" w:cstheme="majorBidi"/>
                  <w:color w:val="000000" w:themeColor="text1"/>
                  <w:sz w:val="20"/>
                  <w:szCs w:val="20"/>
                </w:rPr>
                <w:t>www.hcp.ma</w:t>
              </w:r>
            </w:hyperlink>
          </w:p>
        </w:tc>
      </w:tr>
    </w:tbl>
    <w:p w:rsidR="001F5970" w:rsidRPr="009D39AB" w:rsidRDefault="001F5970" w:rsidP="00CE5F9D">
      <w:pPr>
        <w:rPr>
          <w:rFonts w:asciiTheme="majorBidi" w:hAnsiTheme="majorBidi" w:cstheme="majorBidi"/>
        </w:rPr>
      </w:pPr>
    </w:p>
    <w:p w:rsidR="001F5970" w:rsidRPr="009D39AB" w:rsidRDefault="001F5970" w:rsidP="00CE5F9D">
      <w:pPr>
        <w:ind w:left="-142"/>
        <w:rPr>
          <w:rFonts w:asciiTheme="majorBidi" w:hAnsiTheme="majorBidi" w:cstheme="majorBidi"/>
          <w:b/>
          <w:color w:val="000000" w:themeColor="text1"/>
          <w:sz w:val="28"/>
          <w:szCs w:val="28"/>
        </w:rPr>
        <w:sectPr w:rsidR="001F5970" w:rsidRPr="009D39AB" w:rsidSect="005B1014">
          <w:footerReference w:type="default" r:id="rId15"/>
          <w:pgSz w:w="11906" w:h="16838" w:code="9"/>
          <w:pgMar w:top="1134" w:right="720" w:bottom="720" w:left="1077" w:header="709" w:footer="709" w:gutter="0"/>
          <w:cols w:space="708"/>
          <w:docGrid w:linePitch="360"/>
        </w:sectPr>
      </w:pPr>
    </w:p>
    <w:p w:rsidR="00A718F2" w:rsidRPr="009D39AB" w:rsidRDefault="00F80338" w:rsidP="00CE5F9D">
      <w:pPr>
        <w:jc w:val="center"/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lastRenderedPageBreak/>
        <w:t>Evolution</w:t>
      </w:r>
      <w:r w:rsidR="005D5B33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de l’I</w:t>
      </w:r>
      <w:r w:rsidR="00C35BF2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ndice de </w:t>
      </w:r>
      <w:r w:rsidR="005D5B33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C</w:t>
      </w:r>
      <w:r w:rsidR="00C35BF2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onfiance des </w:t>
      </w:r>
      <w:r w:rsidR="005D5B33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M</w:t>
      </w:r>
      <w:r w:rsidR="00C35BF2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énages  (ICM) </w:t>
      </w:r>
      <w:r w:rsidR="005D5B33"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et de ses composantes</w:t>
      </w:r>
      <w:bookmarkStart w:id="1" w:name="_GoBack"/>
      <w:bookmarkEnd w:id="1"/>
      <w:r w:rsidR="00132D9E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 xml:space="preserve">  </w:t>
      </w:r>
    </w:p>
    <w:p w:rsidR="00A718F2" w:rsidRPr="0095627B" w:rsidRDefault="00A718F2" w:rsidP="00CE5F9D">
      <w:pPr>
        <w:jc w:val="center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tbl>
      <w:tblPr>
        <w:tblW w:w="5038" w:type="pct"/>
        <w:tblCellMar>
          <w:left w:w="70" w:type="dxa"/>
          <w:right w:w="70" w:type="dxa"/>
        </w:tblCellMar>
        <w:tblLook w:val="04A0"/>
      </w:tblPr>
      <w:tblGrid>
        <w:gridCol w:w="1515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5"/>
        <w:gridCol w:w="545"/>
        <w:gridCol w:w="545"/>
        <w:gridCol w:w="545"/>
        <w:gridCol w:w="545"/>
        <w:gridCol w:w="545"/>
        <w:gridCol w:w="545"/>
        <w:gridCol w:w="545"/>
        <w:gridCol w:w="545"/>
        <w:gridCol w:w="532"/>
      </w:tblGrid>
      <w:tr w:rsidR="006A0A7A" w:rsidRPr="0095627B" w:rsidTr="006A0A7A">
        <w:trPr>
          <w:trHeight w:val="401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T1/16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T2/16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T3/16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T4/16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T1/17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T2/17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T3/17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T4/17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T1/18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T2/18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T3/18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T4/18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T4/19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T1/20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T2/20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T3/20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T4/20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T1/21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T2/21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T3/21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T4/21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T1/22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T2/22</w:t>
            </w:r>
          </w:p>
        </w:tc>
      </w:tr>
      <w:tr w:rsidR="006A0A7A" w:rsidRPr="0095627B" w:rsidTr="006A0A7A">
        <w:trPr>
          <w:trHeight w:val="607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Indice de Confiance des Ménages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71,6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73,8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73,5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85,8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85,5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85,9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87,3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82,5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79,8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79,1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74,9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74,8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77,8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75,7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60,6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68,3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63,0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65,5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61,2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53,7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color w:val="000000"/>
                <w:sz w:val="16"/>
                <w:szCs w:val="16"/>
              </w:rPr>
              <w:t>50,1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Perspective d'évolution du nombre de chômeur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-71,6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-78,3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-81,1</w:t>
            </w:r>
          </w:p>
        </w:tc>
      </w:tr>
      <w:tr w:rsidR="006A0A7A" w:rsidRPr="0095627B" w:rsidTr="006A0A7A">
        <w:trPr>
          <w:trHeight w:val="607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Evolution  passée du niveau de vie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-12,0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-13,3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-19,8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-46,6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-66,8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-73,0</w:t>
            </w:r>
          </w:p>
        </w:tc>
      </w:tr>
      <w:tr w:rsidR="006A0A7A" w:rsidRPr="0095627B" w:rsidTr="006A0A7A">
        <w:trPr>
          <w:trHeight w:val="607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Perspective d'évolution du niveau de vie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16,6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11,9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4,7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-17,4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9,3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-34,3</w:t>
            </w:r>
          </w:p>
        </w:tc>
      </w:tr>
      <w:tr w:rsidR="006A0A7A" w:rsidRPr="0095627B" w:rsidTr="00EA15BA">
        <w:trPr>
          <w:trHeight w:val="586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Opportunité d'achat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-41,4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-37,7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-32,6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-61,6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-66,7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-69,1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Situation financière actuelle des ménages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-23,0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-28,9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-31,5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-29,1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-38,0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-36,4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-40,4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-43,4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1161F3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-42,</w:t>
            </w:r>
            <w:r w:rsidR="001161F3"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</w:t>
            </w:r>
          </w:p>
        </w:tc>
      </w:tr>
      <w:tr w:rsidR="006A0A7A" w:rsidRPr="0095627B" w:rsidTr="006A0A7A">
        <w:trPr>
          <w:trHeight w:val="1012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Evolution  passée de la situation financière des ménages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-33,3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-14,5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-16,7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-15,2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-20,7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-24,2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-26,0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-22,9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-27,0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-34,0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-39,9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-47,4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-48,0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-49,0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-50,9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-48,7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Evolution  future de la situation financière des ménages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5,0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6,5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13,4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22,1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25,9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19,1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20,7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18,3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12,8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-4,6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-11,9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0,6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21,2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14,8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15,1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8,3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-0,1</w:t>
            </w:r>
          </w:p>
        </w:tc>
      </w:tr>
      <w:tr w:rsidR="00056C34" w:rsidRPr="0095627B" w:rsidTr="00EA15BA">
        <w:trPr>
          <w:trHeight w:val="449"/>
        </w:trPr>
        <w:tc>
          <w:tcPr>
            <w:tcW w:w="5000" w:type="pct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Autres soldes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Evolution future des prix des produits alimentaires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-79,6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-84,0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-76,3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-74,3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Evolution  passée des prix des produits alimentaires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-87,3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-90,3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-88,9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-83,7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-85,1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-82,8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-74,0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-86,9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-95,9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-97,9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-99,1</w:t>
            </w:r>
          </w:p>
        </w:tc>
      </w:tr>
      <w:tr w:rsidR="006A0A7A" w:rsidRPr="0095627B" w:rsidTr="006A0A7A">
        <w:trPr>
          <w:trHeight w:val="810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b/>
                <w:bCs/>
                <w:color w:val="000000"/>
                <w:sz w:val="16"/>
                <w:szCs w:val="16"/>
              </w:rPr>
              <w:t>Capacité à épargner des ménages dans les mois à venir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-68,7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-59,1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-55,7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-58,6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-54,5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-57,9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-63,0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-62,9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-66,6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-64,5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-75,1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-65,8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-60,8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-67,2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-70,4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-69,5</w:t>
            </w:r>
          </w:p>
        </w:tc>
        <w:tc>
          <w:tcPr>
            <w:tcW w:w="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-72,2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C34" w:rsidRPr="0095627B" w:rsidRDefault="00056C34" w:rsidP="00CE5F9D">
            <w:pPr>
              <w:widowControl/>
              <w:autoSpaceDE/>
              <w:autoSpaceDN/>
              <w:adjustRightInd/>
              <w:jc w:val="center"/>
              <w:rPr>
                <w:rFonts w:asciiTheme="majorBidi" w:hAnsiTheme="majorBidi" w:cstheme="majorBidi"/>
                <w:color w:val="000000"/>
                <w:sz w:val="16"/>
                <w:szCs w:val="16"/>
              </w:rPr>
            </w:pPr>
            <w:r w:rsidRPr="0095627B">
              <w:rPr>
                <w:rFonts w:asciiTheme="majorBidi" w:hAnsiTheme="majorBidi" w:cstheme="majorBidi"/>
                <w:color w:val="000000"/>
                <w:sz w:val="16"/>
                <w:szCs w:val="16"/>
              </w:rPr>
              <w:t>-77,3</w:t>
            </w:r>
          </w:p>
        </w:tc>
      </w:tr>
    </w:tbl>
    <w:p w:rsidR="00DE6C85" w:rsidRPr="009D39AB" w:rsidRDefault="00DE6C85" w:rsidP="00DE6C85">
      <w:pPr>
        <w:widowControl/>
        <w:tabs>
          <w:tab w:val="left" w:pos="709"/>
        </w:tabs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</w:pPr>
      <w:r w:rsidRPr="009D39AB">
        <w:rPr>
          <w:rFonts w:asciiTheme="majorBidi" w:hAnsiTheme="majorBidi" w:cstheme="majorBidi"/>
          <w:b/>
          <w:bCs/>
          <w:color w:val="000000" w:themeColor="text1"/>
          <w:sz w:val="22"/>
          <w:szCs w:val="22"/>
        </w:rPr>
        <w:t>Source : HCP, Enquête permanente de conjoncture auprès des ménages</w:t>
      </w:r>
    </w:p>
    <w:p w:rsidR="00A718F2" w:rsidRPr="009D39AB" w:rsidRDefault="00A718F2" w:rsidP="00CE5F9D">
      <w:pPr>
        <w:jc w:val="center"/>
        <w:rPr>
          <w:rFonts w:asciiTheme="majorBidi" w:hAnsiTheme="majorBidi" w:cstheme="majorBidi"/>
          <w:color w:val="000000" w:themeColor="text1"/>
          <w:sz w:val="16"/>
          <w:szCs w:val="16"/>
        </w:rPr>
      </w:pPr>
    </w:p>
    <w:sectPr w:rsidR="00A718F2" w:rsidRPr="009D39AB" w:rsidSect="00A71494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E46" w:rsidRDefault="001B3E46" w:rsidP="00460705">
      <w:r>
        <w:separator/>
      </w:r>
    </w:p>
  </w:endnote>
  <w:endnote w:type="continuationSeparator" w:id="0">
    <w:p w:rsidR="001B3E46" w:rsidRDefault="001B3E46" w:rsidP="00460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62132658"/>
      <w:docPartObj>
        <w:docPartGallery w:val="Page Numbers (Bottom of Page)"/>
        <w:docPartUnique/>
      </w:docPartObj>
    </w:sdtPr>
    <w:sdtContent>
      <w:p w:rsidR="00A5145B" w:rsidRDefault="00B11E90">
        <w:pPr>
          <w:pStyle w:val="Pieddepage"/>
          <w:jc w:val="center"/>
        </w:pPr>
        <w:fldSimple w:instr=" PAGE   \* MERGEFORMAT ">
          <w:r w:rsidR="00132D9E">
            <w:rPr>
              <w:noProof/>
            </w:rPr>
            <w:t>7</w:t>
          </w:r>
        </w:fldSimple>
      </w:p>
    </w:sdtContent>
  </w:sdt>
  <w:p w:rsidR="00A5145B" w:rsidRDefault="00A5145B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E46" w:rsidRDefault="001B3E46" w:rsidP="00460705">
      <w:r>
        <w:separator/>
      </w:r>
    </w:p>
  </w:footnote>
  <w:footnote w:type="continuationSeparator" w:id="0">
    <w:p w:rsidR="001B3E46" w:rsidRDefault="001B3E46" w:rsidP="004607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7A8E"/>
    <w:multiLevelType w:val="hybridMultilevel"/>
    <w:tmpl w:val="DEAAA6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02827"/>
    <w:multiLevelType w:val="hybridMultilevel"/>
    <w:tmpl w:val="651C7EFE"/>
    <w:lvl w:ilvl="0" w:tplc="B100CA10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8056781"/>
    <w:multiLevelType w:val="hybridMultilevel"/>
    <w:tmpl w:val="784EAA80"/>
    <w:lvl w:ilvl="0" w:tplc="6DD295CC">
      <w:start w:val="1"/>
      <w:numFmt w:val="decimal"/>
      <w:lvlText w:val="(%1)"/>
      <w:lvlJc w:val="left"/>
      <w:pPr>
        <w:ind w:left="720" w:hanging="360"/>
      </w:pPr>
      <w:rPr>
        <w:rFonts w:hint="default"/>
        <w:b/>
        <w:vertAlign w:val="superscrip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1432E"/>
    <w:multiLevelType w:val="hybridMultilevel"/>
    <w:tmpl w:val="0CEE6D0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A122E6"/>
    <w:multiLevelType w:val="hybridMultilevel"/>
    <w:tmpl w:val="826865B6"/>
    <w:lvl w:ilvl="0" w:tplc="0616EC8E">
      <w:numFmt w:val="bullet"/>
      <w:lvlText w:val="-"/>
      <w:lvlJc w:val="left"/>
      <w:pPr>
        <w:ind w:left="1080" w:hanging="360"/>
      </w:pPr>
      <w:rPr>
        <w:rFonts w:ascii="Book Antiqua" w:eastAsia="Calibri" w:hAnsi="Book Antiqua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932AC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032A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51664"/>
    <w:multiLevelType w:val="hybridMultilevel"/>
    <w:tmpl w:val="23060486"/>
    <w:lvl w:ilvl="0" w:tplc="20AE1A2A">
      <w:start w:val="1"/>
      <w:numFmt w:val="decimal"/>
      <w:lvlText w:val="%1"/>
      <w:lvlJc w:val="left"/>
      <w:pPr>
        <w:ind w:left="786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CC54CD3"/>
    <w:multiLevelType w:val="hybridMultilevel"/>
    <w:tmpl w:val="0EF07944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C3212"/>
    <w:multiLevelType w:val="hybridMultilevel"/>
    <w:tmpl w:val="0EB82B5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5C66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8527B"/>
    <w:multiLevelType w:val="multilevel"/>
    <w:tmpl w:val="61509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3E6100A"/>
    <w:multiLevelType w:val="hybridMultilevel"/>
    <w:tmpl w:val="F000AF92"/>
    <w:lvl w:ilvl="0" w:tplc="040C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98D60E8"/>
    <w:multiLevelType w:val="hybridMultilevel"/>
    <w:tmpl w:val="E83A85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55FAE"/>
    <w:multiLevelType w:val="hybridMultilevel"/>
    <w:tmpl w:val="5A8C44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DB559E"/>
    <w:multiLevelType w:val="hybridMultilevel"/>
    <w:tmpl w:val="C6182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D7E0F"/>
    <w:multiLevelType w:val="hybridMultilevel"/>
    <w:tmpl w:val="575CBAD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D297B"/>
    <w:multiLevelType w:val="hybridMultilevel"/>
    <w:tmpl w:val="054A54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657841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F3FE5"/>
    <w:multiLevelType w:val="hybridMultilevel"/>
    <w:tmpl w:val="D172982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BD7D01"/>
    <w:multiLevelType w:val="hybridMultilevel"/>
    <w:tmpl w:val="0E2043F8"/>
    <w:lvl w:ilvl="0" w:tplc="040C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4"/>
  </w:num>
  <w:num w:numId="4">
    <w:abstractNumId w:val="14"/>
  </w:num>
  <w:num w:numId="5">
    <w:abstractNumId w:val="11"/>
  </w:num>
  <w:num w:numId="6">
    <w:abstractNumId w:val="13"/>
  </w:num>
  <w:num w:numId="7">
    <w:abstractNumId w:val="0"/>
  </w:num>
  <w:num w:numId="8">
    <w:abstractNumId w:val="9"/>
  </w:num>
  <w:num w:numId="9">
    <w:abstractNumId w:val="18"/>
  </w:num>
  <w:num w:numId="10">
    <w:abstractNumId w:val="8"/>
  </w:num>
  <w:num w:numId="11">
    <w:abstractNumId w:val="20"/>
  </w:num>
  <w:num w:numId="12">
    <w:abstractNumId w:val="1"/>
  </w:num>
  <w:num w:numId="13">
    <w:abstractNumId w:val="19"/>
  </w:num>
  <w:num w:numId="14">
    <w:abstractNumId w:val="10"/>
  </w:num>
  <w:num w:numId="15">
    <w:abstractNumId w:val="6"/>
  </w:num>
  <w:num w:numId="16">
    <w:abstractNumId w:val="3"/>
  </w:num>
  <w:num w:numId="17">
    <w:abstractNumId w:val="17"/>
  </w:num>
  <w:num w:numId="18">
    <w:abstractNumId w:val="16"/>
  </w:num>
  <w:num w:numId="19">
    <w:abstractNumId w:val="7"/>
  </w:num>
  <w:num w:numId="20">
    <w:abstractNumId w:val="2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704"/>
    <w:rsid w:val="000013E4"/>
    <w:rsid w:val="00001624"/>
    <w:rsid w:val="000016A1"/>
    <w:rsid w:val="000023E0"/>
    <w:rsid w:val="00002F9B"/>
    <w:rsid w:val="00003F54"/>
    <w:rsid w:val="00004B1E"/>
    <w:rsid w:val="00005381"/>
    <w:rsid w:val="00005AAD"/>
    <w:rsid w:val="000060F8"/>
    <w:rsid w:val="000069AE"/>
    <w:rsid w:val="0000713A"/>
    <w:rsid w:val="000100F3"/>
    <w:rsid w:val="00011A0E"/>
    <w:rsid w:val="00011BC4"/>
    <w:rsid w:val="00011F4E"/>
    <w:rsid w:val="00012F82"/>
    <w:rsid w:val="00013016"/>
    <w:rsid w:val="00013329"/>
    <w:rsid w:val="00014530"/>
    <w:rsid w:val="00014940"/>
    <w:rsid w:val="00014F59"/>
    <w:rsid w:val="00015112"/>
    <w:rsid w:val="000151DD"/>
    <w:rsid w:val="00015EF3"/>
    <w:rsid w:val="00016F90"/>
    <w:rsid w:val="0001722E"/>
    <w:rsid w:val="000174FE"/>
    <w:rsid w:val="00017526"/>
    <w:rsid w:val="0001754D"/>
    <w:rsid w:val="000213FC"/>
    <w:rsid w:val="00022644"/>
    <w:rsid w:val="00023DE5"/>
    <w:rsid w:val="00024686"/>
    <w:rsid w:val="00024B04"/>
    <w:rsid w:val="0002532B"/>
    <w:rsid w:val="00025CE4"/>
    <w:rsid w:val="00025F15"/>
    <w:rsid w:val="000265CF"/>
    <w:rsid w:val="00027300"/>
    <w:rsid w:val="000274C4"/>
    <w:rsid w:val="000315FD"/>
    <w:rsid w:val="00031CFB"/>
    <w:rsid w:val="000324B4"/>
    <w:rsid w:val="00032619"/>
    <w:rsid w:val="00032AF9"/>
    <w:rsid w:val="00032ECD"/>
    <w:rsid w:val="00034F42"/>
    <w:rsid w:val="00035053"/>
    <w:rsid w:val="000356C1"/>
    <w:rsid w:val="00035819"/>
    <w:rsid w:val="000360E1"/>
    <w:rsid w:val="000364EF"/>
    <w:rsid w:val="00036F7C"/>
    <w:rsid w:val="0003703D"/>
    <w:rsid w:val="000370B6"/>
    <w:rsid w:val="00037ABF"/>
    <w:rsid w:val="00041428"/>
    <w:rsid w:val="0004211E"/>
    <w:rsid w:val="00042157"/>
    <w:rsid w:val="00043430"/>
    <w:rsid w:val="0004437F"/>
    <w:rsid w:val="00044E75"/>
    <w:rsid w:val="000451AC"/>
    <w:rsid w:val="00045674"/>
    <w:rsid w:val="00046C56"/>
    <w:rsid w:val="00046EB3"/>
    <w:rsid w:val="00047148"/>
    <w:rsid w:val="00047B2B"/>
    <w:rsid w:val="00050145"/>
    <w:rsid w:val="00050460"/>
    <w:rsid w:val="00051534"/>
    <w:rsid w:val="000518A6"/>
    <w:rsid w:val="00051A04"/>
    <w:rsid w:val="00051B80"/>
    <w:rsid w:val="00052C8E"/>
    <w:rsid w:val="0005319E"/>
    <w:rsid w:val="0005351F"/>
    <w:rsid w:val="0005355A"/>
    <w:rsid w:val="0005413E"/>
    <w:rsid w:val="0005434C"/>
    <w:rsid w:val="00055B18"/>
    <w:rsid w:val="0005628D"/>
    <w:rsid w:val="000569E9"/>
    <w:rsid w:val="00056C34"/>
    <w:rsid w:val="00056F4A"/>
    <w:rsid w:val="0005706F"/>
    <w:rsid w:val="00057262"/>
    <w:rsid w:val="00057BC7"/>
    <w:rsid w:val="00057E1A"/>
    <w:rsid w:val="00061CA4"/>
    <w:rsid w:val="00062779"/>
    <w:rsid w:val="00063B1B"/>
    <w:rsid w:val="00063B3F"/>
    <w:rsid w:val="00064021"/>
    <w:rsid w:val="000646B0"/>
    <w:rsid w:val="000656CB"/>
    <w:rsid w:val="00065DD7"/>
    <w:rsid w:val="00066ADF"/>
    <w:rsid w:val="00066E22"/>
    <w:rsid w:val="00067347"/>
    <w:rsid w:val="00067D35"/>
    <w:rsid w:val="00070565"/>
    <w:rsid w:val="000706EE"/>
    <w:rsid w:val="000712A9"/>
    <w:rsid w:val="000718BD"/>
    <w:rsid w:val="000720FD"/>
    <w:rsid w:val="00072708"/>
    <w:rsid w:val="00072AB7"/>
    <w:rsid w:val="00072CF2"/>
    <w:rsid w:val="00072EEA"/>
    <w:rsid w:val="00072F7C"/>
    <w:rsid w:val="00073079"/>
    <w:rsid w:val="00073C23"/>
    <w:rsid w:val="000748D8"/>
    <w:rsid w:val="000749D1"/>
    <w:rsid w:val="000753A8"/>
    <w:rsid w:val="000756A1"/>
    <w:rsid w:val="00076938"/>
    <w:rsid w:val="00076F92"/>
    <w:rsid w:val="000779C2"/>
    <w:rsid w:val="00077CAA"/>
    <w:rsid w:val="00081434"/>
    <w:rsid w:val="00081E5A"/>
    <w:rsid w:val="0008224D"/>
    <w:rsid w:val="00082D2E"/>
    <w:rsid w:val="000836A6"/>
    <w:rsid w:val="000838BF"/>
    <w:rsid w:val="000839B9"/>
    <w:rsid w:val="0008574A"/>
    <w:rsid w:val="00086CD2"/>
    <w:rsid w:val="000877E9"/>
    <w:rsid w:val="0008783E"/>
    <w:rsid w:val="00087DA2"/>
    <w:rsid w:val="000909E5"/>
    <w:rsid w:val="00090FCF"/>
    <w:rsid w:val="00090FEC"/>
    <w:rsid w:val="00091D64"/>
    <w:rsid w:val="00091E28"/>
    <w:rsid w:val="00091FB9"/>
    <w:rsid w:val="00092DFB"/>
    <w:rsid w:val="00093A83"/>
    <w:rsid w:val="00093D84"/>
    <w:rsid w:val="00094BEF"/>
    <w:rsid w:val="00097300"/>
    <w:rsid w:val="00097799"/>
    <w:rsid w:val="0009797C"/>
    <w:rsid w:val="00097D75"/>
    <w:rsid w:val="000A0177"/>
    <w:rsid w:val="000A07A7"/>
    <w:rsid w:val="000A0881"/>
    <w:rsid w:val="000A11C5"/>
    <w:rsid w:val="000A14AD"/>
    <w:rsid w:val="000A158A"/>
    <w:rsid w:val="000A18FB"/>
    <w:rsid w:val="000A1DEA"/>
    <w:rsid w:val="000A20DC"/>
    <w:rsid w:val="000A26E7"/>
    <w:rsid w:val="000A27F7"/>
    <w:rsid w:val="000A2DA9"/>
    <w:rsid w:val="000A33DF"/>
    <w:rsid w:val="000A40C3"/>
    <w:rsid w:val="000A5682"/>
    <w:rsid w:val="000A5C5F"/>
    <w:rsid w:val="000A5F4A"/>
    <w:rsid w:val="000A6135"/>
    <w:rsid w:val="000A62F9"/>
    <w:rsid w:val="000B0844"/>
    <w:rsid w:val="000B09BA"/>
    <w:rsid w:val="000B0E7A"/>
    <w:rsid w:val="000B1487"/>
    <w:rsid w:val="000B16D1"/>
    <w:rsid w:val="000B2067"/>
    <w:rsid w:val="000B2FFE"/>
    <w:rsid w:val="000B34E3"/>
    <w:rsid w:val="000B4FE0"/>
    <w:rsid w:val="000B552C"/>
    <w:rsid w:val="000B62B1"/>
    <w:rsid w:val="000C0C01"/>
    <w:rsid w:val="000C1464"/>
    <w:rsid w:val="000C2CA9"/>
    <w:rsid w:val="000C3718"/>
    <w:rsid w:val="000C39F9"/>
    <w:rsid w:val="000C439F"/>
    <w:rsid w:val="000C4C0E"/>
    <w:rsid w:val="000C56EA"/>
    <w:rsid w:val="000C689C"/>
    <w:rsid w:val="000C7F17"/>
    <w:rsid w:val="000D1CF5"/>
    <w:rsid w:val="000D24FA"/>
    <w:rsid w:val="000D2586"/>
    <w:rsid w:val="000D2E52"/>
    <w:rsid w:val="000D341B"/>
    <w:rsid w:val="000D367A"/>
    <w:rsid w:val="000D3B30"/>
    <w:rsid w:val="000D4077"/>
    <w:rsid w:val="000D4920"/>
    <w:rsid w:val="000D54E1"/>
    <w:rsid w:val="000D5638"/>
    <w:rsid w:val="000D5AB2"/>
    <w:rsid w:val="000D5B0A"/>
    <w:rsid w:val="000D5CEB"/>
    <w:rsid w:val="000E0128"/>
    <w:rsid w:val="000E030A"/>
    <w:rsid w:val="000E10E0"/>
    <w:rsid w:val="000E1534"/>
    <w:rsid w:val="000E17D9"/>
    <w:rsid w:val="000E1BEE"/>
    <w:rsid w:val="000E20BC"/>
    <w:rsid w:val="000E21A1"/>
    <w:rsid w:val="000E3747"/>
    <w:rsid w:val="000E4DC7"/>
    <w:rsid w:val="000E5EA9"/>
    <w:rsid w:val="000E6EB3"/>
    <w:rsid w:val="000E71C8"/>
    <w:rsid w:val="000F0919"/>
    <w:rsid w:val="000F0DB1"/>
    <w:rsid w:val="000F184A"/>
    <w:rsid w:val="000F2945"/>
    <w:rsid w:val="000F2B60"/>
    <w:rsid w:val="000F2E6E"/>
    <w:rsid w:val="000F5139"/>
    <w:rsid w:val="000F5A2E"/>
    <w:rsid w:val="000F62E1"/>
    <w:rsid w:val="000F641A"/>
    <w:rsid w:val="000F6CE8"/>
    <w:rsid w:val="000F70E8"/>
    <w:rsid w:val="000F74C5"/>
    <w:rsid w:val="000F7670"/>
    <w:rsid w:val="000F7A57"/>
    <w:rsid w:val="000F7C4F"/>
    <w:rsid w:val="00100026"/>
    <w:rsid w:val="0010025C"/>
    <w:rsid w:val="00101249"/>
    <w:rsid w:val="00101DA7"/>
    <w:rsid w:val="00102B5C"/>
    <w:rsid w:val="00103010"/>
    <w:rsid w:val="001037B3"/>
    <w:rsid w:val="00104221"/>
    <w:rsid w:val="00104438"/>
    <w:rsid w:val="00104463"/>
    <w:rsid w:val="00104CAC"/>
    <w:rsid w:val="00104D05"/>
    <w:rsid w:val="001052BE"/>
    <w:rsid w:val="001052EC"/>
    <w:rsid w:val="00105320"/>
    <w:rsid w:val="00105B72"/>
    <w:rsid w:val="00106C84"/>
    <w:rsid w:val="00106E19"/>
    <w:rsid w:val="00106EC0"/>
    <w:rsid w:val="00106FA4"/>
    <w:rsid w:val="00107245"/>
    <w:rsid w:val="00107534"/>
    <w:rsid w:val="00107E17"/>
    <w:rsid w:val="00107F1E"/>
    <w:rsid w:val="001103D0"/>
    <w:rsid w:val="00110B90"/>
    <w:rsid w:val="00110BE5"/>
    <w:rsid w:val="00111470"/>
    <w:rsid w:val="001116C8"/>
    <w:rsid w:val="00111FC4"/>
    <w:rsid w:val="00113273"/>
    <w:rsid w:val="001133D2"/>
    <w:rsid w:val="00113767"/>
    <w:rsid w:val="00114063"/>
    <w:rsid w:val="001143FE"/>
    <w:rsid w:val="0011495F"/>
    <w:rsid w:val="00115D48"/>
    <w:rsid w:val="001161C4"/>
    <w:rsid w:val="001161F3"/>
    <w:rsid w:val="00116945"/>
    <w:rsid w:val="0011726A"/>
    <w:rsid w:val="001174FE"/>
    <w:rsid w:val="00117A2F"/>
    <w:rsid w:val="00117F82"/>
    <w:rsid w:val="00120997"/>
    <w:rsid w:val="00121180"/>
    <w:rsid w:val="00121CCC"/>
    <w:rsid w:val="001222E7"/>
    <w:rsid w:val="00122941"/>
    <w:rsid w:val="00123DEA"/>
    <w:rsid w:val="00123E79"/>
    <w:rsid w:val="00124002"/>
    <w:rsid w:val="001242C0"/>
    <w:rsid w:val="00124772"/>
    <w:rsid w:val="00124827"/>
    <w:rsid w:val="00124FE0"/>
    <w:rsid w:val="00125161"/>
    <w:rsid w:val="001254E5"/>
    <w:rsid w:val="00125543"/>
    <w:rsid w:val="00126B26"/>
    <w:rsid w:val="00126CC0"/>
    <w:rsid w:val="00126DA5"/>
    <w:rsid w:val="00126E55"/>
    <w:rsid w:val="0012794C"/>
    <w:rsid w:val="00127D67"/>
    <w:rsid w:val="00131E2D"/>
    <w:rsid w:val="001328D0"/>
    <w:rsid w:val="00132D9E"/>
    <w:rsid w:val="00133286"/>
    <w:rsid w:val="0013347C"/>
    <w:rsid w:val="001335BA"/>
    <w:rsid w:val="00133687"/>
    <w:rsid w:val="00133860"/>
    <w:rsid w:val="001347D2"/>
    <w:rsid w:val="00135445"/>
    <w:rsid w:val="00135D83"/>
    <w:rsid w:val="0013654E"/>
    <w:rsid w:val="00137D7D"/>
    <w:rsid w:val="001404A9"/>
    <w:rsid w:val="001414F3"/>
    <w:rsid w:val="001424D2"/>
    <w:rsid w:val="0014379B"/>
    <w:rsid w:val="001438AB"/>
    <w:rsid w:val="0014398F"/>
    <w:rsid w:val="00143A5A"/>
    <w:rsid w:val="00143EEC"/>
    <w:rsid w:val="00144320"/>
    <w:rsid w:val="00145956"/>
    <w:rsid w:val="001467F7"/>
    <w:rsid w:val="00146EDA"/>
    <w:rsid w:val="0014733D"/>
    <w:rsid w:val="00150681"/>
    <w:rsid w:val="00151AE6"/>
    <w:rsid w:val="00151C70"/>
    <w:rsid w:val="0015212E"/>
    <w:rsid w:val="001523D7"/>
    <w:rsid w:val="00152D59"/>
    <w:rsid w:val="00153ECF"/>
    <w:rsid w:val="00154298"/>
    <w:rsid w:val="00154339"/>
    <w:rsid w:val="001545AE"/>
    <w:rsid w:val="00154E44"/>
    <w:rsid w:val="00156587"/>
    <w:rsid w:val="0015763C"/>
    <w:rsid w:val="00157CA9"/>
    <w:rsid w:val="0016005A"/>
    <w:rsid w:val="00160141"/>
    <w:rsid w:val="0016090E"/>
    <w:rsid w:val="00160994"/>
    <w:rsid w:val="00161429"/>
    <w:rsid w:val="00161772"/>
    <w:rsid w:val="00161C4B"/>
    <w:rsid w:val="00162062"/>
    <w:rsid w:val="001638CE"/>
    <w:rsid w:val="00163D93"/>
    <w:rsid w:val="0016405E"/>
    <w:rsid w:val="001643DF"/>
    <w:rsid w:val="001648E6"/>
    <w:rsid w:val="00164979"/>
    <w:rsid w:val="00165671"/>
    <w:rsid w:val="0016596E"/>
    <w:rsid w:val="001672BD"/>
    <w:rsid w:val="0016780D"/>
    <w:rsid w:val="00172005"/>
    <w:rsid w:val="00172D27"/>
    <w:rsid w:val="00172EE9"/>
    <w:rsid w:val="00172F47"/>
    <w:rsid w:val="00173781"/>
    <w:rsid w:val="00174115"/>
    <w:rsid w:val="00174542"/>
    <w:rsid w:val="00174553"/>
    <w:rsid w:val="001748E9"/>
    <w:rsid w:val="0017495A"/>
    <w:rsid w:val="0017568F"/>
    <w:rsid w:val="001757C5"/>
    <w:rsid w:val="001760CB"/>
    <w:rsid w:val="00181B72"/>
    <w:rsid w:val="001829B0"/>
    <w:rsid w:val="00182B28"/>
    <w:rsid w:val="00182E1E"/>
    <w:rsid w:val="00184023"/>
    <w:rsid w:val="00184134"/>
    <w:rsid w:val="00184250"/>
    <w:rsid w:val="00184D27"/>
    <w:rsid w:val="00185207"/>
    <w:rsid w:val="00185ABC"/>
    <w:rsid w:val="001864E5"/>
    <w:rsid w:val="00186530"/>
    <w:rsid w:val="001871C4"/>
    <w:rsid w:val="00187A5C"/>
    <w:rsid w:val="00187C8D"/>
    <w:rsid w:val="00187EB7"/>
    <w:rsid w:val="00190672"/>
    <w:rsid w:val="00191E08"/>
    <w:rsid w:val="00191F62"/>
    <w:rsid w:val="001930B7"/>
    <w:rsid w:val="00193B35"/>
    <w:rsid w:val="00193B4D"/>
    <w:rsid w:val="00193E60"/>
    <w:rsid w:val="0019435A"/>
    <w:rsid w:val="0019492E"/>
    <w:rsid w:val="001956DC"/>
    <w:rsid w:val="00195D2E"/>
    <w:rsid w:val="001960E9"/>
    <w:rsid w:val="001968E2"/>
    <w:rsid w:val="00196B6B"/>
    <w:rsid w:val="00196D8E"/>
    <w:rsid w:val="00196DF3"/>
    <w:rsid w:val="001975D4"/>
    <w:rsid w:val="00197D9A"/>
    <w:rsid w:val="00197F64"/>
    <w:rsid w:val="001A0310"/>
    <w:rsid w:val="001A048A"/>
    <w:rsid w:val="001A0F65"/>
    <w:rsid w:val="001A2204"/>
    <w:rsid w:val="001A288D"/>
    <w:rsid w:val="001A292A"/>
    <w:rsid w:val="001A384F"/>
    <w:rsid w:val="001A4203"/>
    <w:rsid w:val="001A4BB7"/>
    <w:rsid w:val="001A55DD"/>
    <w:rsid w:val="001A6084"/>
    <w:rsid w:val="001A62A1"/>
    <w:rsid w:val="001A648B"/>
    <w:rsid w:val="001A69DD"/>
    <w:rsid w:val="001A6BB6"/>
    <w:rsid w:val="001A7746"/>
    <w:rsid w:val="001B03D3"/>
    <w:rsid w:val="001B06F9"/>
    <w:rsid w:val="001B0AB6"/>
    <w:rsid w:val="001B1130"/>
    <w:rsid w:val="001B1C9F"/>
    <w:rsid w:val="001B1E0E"/>
    <w:rsid w:val="001B20D5"/>
    <w:rsid w:val="001B2334"/>
    <w:rsid w:val="001B3593"/>
    <w:rsid w:val="001B35E9"/>
    <w:rsid w:val="001B3707"/>
    <w:rsid w:val="001B3CB2"/>
    <w:rsid w:val="001B3E46"/>
    <w:rsid w:val="001B50A1"/>
    <w:rsid w:val="001B561B"/>
    <w:rsid w:val="001B5B96"/>
    <w:rsid w:val="001B5F02"/>
    <w:rsid w:val="001B69A3"/>
    <w:rsid w:val="001B7322"/>
    <w:rsid w:val="001B765A"/>
    <w:rsid w:val="001B7854"/>
    <w:rsid w:val="001C0839"/>
    <w:rsid w:val="001C14A6"/>
    <w:rsid w:val="001C251F"/>
    <w:rsid w:val="001C3419"/>
    <w:rsid w:val="001C4759"/>
    <w:rsid w:val="001C4D54"/>
    <w:rsid w:val="001C5656"/>
    <w:rsid w:val="001C5AA4"/>
    <w:rsid w:val="001C67D4"/>
    <w:rsid w:val="001C6846"/>
    <w:rsid w:val="001C6883"/>
    <w:rsid w:val="001D02E1"/>
    <w:rsid w:val="001D0903"/>
    <w:rsid w:val="001D0C73"/>
    <w:rsid w:val="001D17AC"/>
    <w:rsid w:val="001D2665"/>
    <w:rsid w:val="001D28DC"/>
    <w:rsid w:val="001D2B80"/>
    <w:rsid w:val="001D2D35"/>
    <w:rsid w:val="001D2E4E"/>
    <w:rsid w:val="001D3A1D"/>
    <w:rsid w:val="001D49E8"/>
    <w:rsid w:val="001D5548"/>
    <w:rsid w:val="001D55A9"/>
    <w:rsid w:val="001D58BD"/>
    <w:rsid w:val="001D684C"/>
    <w:rsid w:val="001D709D"/>
    <w:rsid w:val="001E0A9C"/>
    <w:rsid w:val="001E0D0B"/>
    <w:rsid w:val="001E1149"/>
    <w:rsid w:val="001E1901"/>
    <w:rsid w:val="001E36D5"/>
    <w:rsid w:val="001E42CC"/>
    <w:rsid w:val="001E4F55"/>
    <w:rsid w:val="001E5372"/>
    <w:rsid w:val="001E5697"/>
    <w:rsid w:val="001E6198"/>
    <w:rsid w:val="001E78BD"/>
    <w:rsid w:val="001F00F0"/>
    <w:rsid w:val="001F04DE"/>
    <w:rsid w:val="001F062E"/>
    <w:rsid w:val="001F0ABF"/>
    <w:rsid w:val="001F14B0"/>
    <w:rsid w:val="001F20AF"/>
    <w:rsid w:val="001F2626"/>
    <w:rsid w:val="001F321B"/>
    <w:rsid w:val="001F3646"/>
    <w:rsid w:val="001F3E68"/>
    <w:rsid w:val="001F4A3E"/>
    <w:rsid w:val="001F4E50"/>
    <w:rsid w:val="001F4FE4"/>
    <w:rsid w:val="001F5722"/>
    <w:rsid w:val="001F5970"/>
    <w:rsid w:val="001F59E2"/>
    <w:rsid w:val="001F5D34"/>
    <w:rsid w:val="001F626D"/>
    <w:rsid w:val="001F66E3"/>
    <w:rsid w:val="001F6A20"/>
    <w:rsid w:val="001F6A9C"/>
    <w:rsid w:val="001F70B6"/>
    <w:rsid w:val="001F739C"/>
    <w:rsid w:val="001F7711"/>
    <w:rsid w:val="001F7D34"/>
    <w:rsid w:val="00200755"/>
    <w:rsid w:val="002021DE"/>
    <w:rsid w:val="0020419A"/>
    <w:rsid w:val="002041E9"/>
    <w:rsid w:val="00204574"/>
    <w:rsid w:val="00204F32"/>
    <w:rsid w:val="0020508E"/>
    <w:rsid w:val="00206A7F"/>
    <w:rsid w:val="0020711A"/>
    <w:rsid w:val="00207730"/>
    <w:rsid w:val="0021180E"/>
    <w:rsid w:val="00211ECD"/>
    <w:rsid w:val="0021213E"/>
    <w:rsid w:val="00212223"/>
    <w:rsid w:val="002125D5"/>
    <w:rsid w:val="00212714"/>
    <w:rsid w:val="00212E56"/>
    <w:rsid w:val="00213786"/>
    <w:rsid w:val="00213EC2"/>
    <w:rsid w:val="00214439"/>
    <w:rsid w:val="00214D50"/>
    <w:rsid w:val="002163AF"/>
    <w:rsid w:val="002164DC"/>
    <w:rsid w:val="002166B3"/>
    <w:rsid w:val="00216E7C"/>
    <w:rsid w:val="00217334"/>
    <w:rsid w:val="0021759B"/>
    <w:rsid w:val="00221FC5"/>
    <w:rsid w:val="00222682"/>
    <w:rsid w:val="002226A1"/>
    <w:rsid w:val="00222815"/>
    <w:rsid w:val="00222831"/>
    <w:rsid w:val="00223178"/>
    <w:rsid w:val="0022318C"/>
    <w:rsid w:val="00223808"/>
    <w:rsid w:val="0022467F"/>
    <w:rsid w:val="00225685"/>
    <w:rsid w:val="00226A52"/>
    <w:rsid w:val="00226BE3"/>
    <w:rsid w:val="00226CEA"/>
    <w:rsid w:val="00227B1B"/>
    <w:rsid w:val="0023094A"/>
    <w:rsid w:val="00232556"/>
    <w:rsid w:val="00232AF5"/>
    <w:rsid w:val="00233531"/>
    <w:rsid w:val="00234907"/>
    <w:rsid w:val="00235C3E"/>
    <w:rsid w:val="002364B4"/>
    <w:rsid w:val="0023661B"/>
    <w:rsid w:val="00236927"/>
    <w:rsid w:val="002375C4"/>
    <w:rsid w:val="0024028E"/>
    <w:rsid w:val="00241A46"/>
    <w:rsid w:val="002431B9"/>
    <w:rsid w:val="002436BE"/>
    <w:rsid w:val="00243AE1"/>
    <w:rsid w:val="00243C83"/>
    <w:rsid w:val="00245732"/>
    <w:rsid w:val="00245913"/>
    <w:rsid w:val="00245992"/>
    <w:rsid w:val="00246518"/>
    <w:rsid w:val="002478EF"/>
    <w:rsid w:val="00247A3B"/>
    <w:rsid w:val="002502C2"/>
    <w:rsid w:val="00251ABE"/>
    <w:rsid w:val="0025208F"/>
    <w:rsid w:val="0025259C"/>
    <w:rsid w:val="00252BB9"/>
    <w:rsid w:val="0025312C"/>
    <w:rsid w:val="00253166"/>
    <w:rsid w:val="002534E9"/>
    <w:rsid w:val="00253D9F"/>
    <w:rsid w:val="00254965"/>
    <w:rsid w:val="00254CC9"/>
    <w:rsid w:val="00254D8A"/>
    <w:rsid w:val="00255396"/>
    <w:rsid w:val="00256232"/>
    <w:rsid w:val="00256A6D"/>
    <w:rsid w:val="00256C03"/>
    <w:rsid w:val="00256F31"/>
    <w:rsid w:val="00256FBC"/>
    <w:rsid w:val="00257385"/>
    <w:rsid w:val="00260173"/>
    <w:rsid w:val="00260D98"/>
    <w:rsid w:val="002613C1"/>
    <w:rsid w:val="002613F5"/>
    <w:rsid w:val="0026141F"/>
    <w:rsid w:val="00261ED7"/>
    <w:rsid w:val="002620C4"/>
    <w:rsid w:val="00262122"/>
    <w:rsid w:val="00262237"/>
    <w:rsid w:val="0026337D"/>
    <w:rsid w:val="002634E1"/>
    <w:rsid w:val="002636A0"/>
    <w:rsid w:val="00263D54"/>
    <w:rsid w:val="0026440A"/>
    <w:rsid w:val="00264457"/>
    <w:rsid w:val="00265566"/>
    <w:rsid w:val="00265CFD"/>
    <w:rsid w:val="00265F28"/>
    <w:rsid w:val="00266110"/>
    <w:rsid w:val="00266330"/>
    <w:rsid w:val="00266633"/>
    <w:rsid w:val="00267202"/>
    <w:rsid w:val="00267298"/>
    <w:rsid w:val="002672A0"/>
    <w:rsid w:val="0026748C"/>
    <w:rsid w:val="00267B6E"/>
    <w:rsid w:val="00267DAE"/>
    <w:rsid w:val="00270823"/>
    <w:rsid w:val="00270AD9"/>
    <w:rsid w:val="00270B31"/>
    <w:rsid w:val="00271743"/>
    <w:rsid w:val="00271D22"/>
    <w:rsid w:val="0027263B"/>
    <w:rsid w:val="00272727"/>
    <w:rsid w:val="00272D28"/>
    <w:rsid w:val="0027471B"/>
    <w:rsid w:val="002751C2"/>
    <w:rsid w:val="00275256"/>
    <w:rsid w:val="00276077"/>
    <w:rsid w:val="002775FC"/>
    <w:rsid w:val="00280072"/>
    <w:rsid w:val="0028098C"/>
    <w:rsid w:val="00281D6D"/>
    <w:rsid w:val="002821C5"/>
    <w:rsid w:val="0028239A"/>
    <w:rsid w:val="00282A92"/>
    <w:rsid w:val="002830E2"/>
    <w:rsid w:val="002836F5"/>
    <w:rsid w:val="00283A6B"/>
    <w:rsid w:val="00283FD0"/>
    <w:rsid w:val="0028485A"/>
    <w:rsid w:val="0028651B"/>
    <w:rsid w:val="00287AFB"/>
    <w:rsid w:val="00287EC1"/>
    <w:rsid w:val="00290113"/>
    <w:rsid w:val="002904C7"/>
    <w:rsid w:val="002915B7"/>
    <w:rsid w:val="00291C4B"/>
    <w:rsid w:val="00292082"/>
    <w:rsid w:val="0029227A"/>
    <w:rsid w:val="00292381"/>
    <w:rsid w:val="00292CDC"/>
    <w:rsid w:val="00293863"/>
    <w:rsid w:val="002941A3"/>
    <w:rsid w:val="00295A6D"/>
    <w:rsid w:val="00295DF0"/>
    <w:rsid w:val="00296645"/>
    <w:rsid w:val="00296E08"/>
    <w:rsid w:val="00297250"/>
    <w:rsid w:val="00297C0B"/>
    <w:rsid w:val="002A0DFB"/>
    <w:rsid w:val="002A0E3C"/>
    <w:rsid w:val="002A1005"/>
    <w:rsid w:val="002A1529"/>
    <w:rsid w:val="002A1584"/>
    <w:rsid w:val="002A18ED"/>
    <w:rsid w:val="002A1C56"/>
    <w:rsid w:val="002A1D28"/>
    <w:rsid w:val="002A1FD6"/>
    <w:rsid w:val="002A22AF"/>
    <w:rsid w:val="002A29D2"/>
    <w:rsid w:val="002A2E36"/>
    <w:rsid w:val="002A321D"/>
    <w:rsid w:val="002A36CF"/>
    <w:rsid w:val="002A4737"/>
    <w:rsid w:val="002A53E5"/>
    <w:rsid w:val="002A5852"/>
    <w:rsid w:val="002A5928"/>
    <w:rsid w:val="002A62C3"/>
    <w:rsid w:val="002A7486"/>
    <w:rsid w:val="002A766A"/>
    <w:rsid w:val="002A7C02"/>
    <w:rsid w:val="002A7E1E"/>
    <w:rsid w:val="002A7E5D"/>
    <w:rsid w:val="002B0A53"/>
    <w:rsid w:val="002B0B7B"/>
    <w:rsid w:val="002B10FB"/>
    <w:rsid w:val="002B15A7"/>
    <w:rsid w:val="002B15E6"/>
    <w:rsid w:val="002B2652"/>
    <w:rsid w:val="002B2EC5"/>
    <w:rsid w:val="002B3D5B"/>
    <w:rsid w:val="002B43BB"/>
    <w:rsid w:val="002B4B64"/>
    <w:rsid w:val="002B51C3"/>
    <w:rsid w:val="002B7130"/>
    <w:rsid w:val="002B74FD"/>
    <w:rsid w:val="002B7509"/>
    <w:rsid w:val="002B799E"/>
    <w:rsid w:val="002B79DC"/>
    <w:rsid w:val="002B7C12"/>
    <w:rsid w:val="002B7F41"/>
    <w:rsid w:val="002C03DA"/>
    <w:rsid w:val="002C0743"/>
    <w:rsid w:val="002C0BC4"/>
    <w:rsid w:val="002C0E6A"/>
    <w:rsid w:val="002C10D7"/>
    <w:rsid w:val="002C18A0"/>
    <w:rsid w:val="002C1D2E"/>
    <w:rsid w:val="002C211A"/>
    <w:rsid w:val="002C2298"/>
    <w:rsid w:val="002C26D4"/>
    <w:rsid w:val="002C2BED"/>
    <w:rsid w:val="002C3101"/>
    <w:rsid w:val="002C366D"/>
    <w:rsid w:val="002C4A48"/>
    <w:rsid w:val="002C5954"/>
    <w:rsid w:val="002C5F58"/>
    <w:rsid w:val="002C6A1C"/>
    <w:rsid w:val="002C768B"/>
    <w:rsid w:val="002C7768"/>
    <w:rsid w:val="002C79A8"/>
    <w:rsid w:val="002C7EF2"/>
    <w:rsid w:val="002D112B"/>
    <w:rsid w:val="002D2100"/>
    <w:rsid w:val="002D235E"/>
    <w:rsid w:val="002D260C"/>
    <w:rsid w:val="002D2970"/>
    <w:rsid w:val="002D3518"/>
    <w:rsid w:val="002D3C52"/>
    <w:rsid w:val="002D3E22"/>
    <w:rsid w:val="002D54C7"/>
    <w:rsid w:val="002D56C5"/>
    <w:rsid w:val="002D5AAA"/>
    <w:rsid w:val="002D5F99"/>
    <w:rsid w:val="002D6616"/>
    <w:rsid w:val="002D6FC3"/>
    <w:rsid w:val="002D79AA"/>
    <w:rsid w:val="002E02C4"/>
    <w:rsid w:val="002E0AD7"/>
    <w:rsid w:val="002E1871"/>
    <w:rsid w:val="002E238A"/>
    <w:rsid w:val="002E3AEC"/>
    <w:rsid w:val="002E3CF2"/>
    <w:rsid w:val="002E5787"/>
    <w:rsid w:val="002E5849"/>
    <w:rsid w:val="002E5ABF"/>
    <w:rsid w:val="002E5BEC"/>
    <w:rsid w:val="002E69E2"/>
    <w:rsid w:val="002E6F5B"/>
    <w:rsid w:val="002E710F"/>
    <w:rsid w:val="002E7320"/>
    <w:rsid w:val="002E78A3"/>
    <w:rsid w:val="002F08CD"/>
    <w:rsid w:val="002F1287"/>
    <w:rsid w:val="002F142C"/>
    <w:rsid w:val="002F1D60"/>
    <w:rsid w:val="002F3EA6"/>
    <w:rsid w:val="002F566C"/>
    <w:rsid w:val="002F56E4"/>
    <w:rsid w:val="002F5CBB"/>
    <w:rsid w:val="002F5E45"/>
    <w:rsid w:val="002F5E6A"/>
    <w:rsid w:val="002F61B2"/>
    <w:rsid w:val="002F68CD"/>
    <w:rsid w:val="002F6AEC"/>
    <w:rsid w:val="002F7AAE"/>
    <w:rsid w:val="0030061A"/>
    <w:rsid w:val="00300726"/>
    <w:rsid w:val="00301913"/>
    <w:rsid w:val="0030196C"/>
    <w:rsid w:val="00301C04"/>
    <w:rsid w:val="00302717"/>
    <w:rsid w:val="003043BE"/>
    <w:rsid w:val="00304900"/>
    <w:rsid w:val="00304BFF"/>
    <w:rsid w:val="00306F45"/>
    <w:rsid w:val="00307232"/>
    <w:rsid w:val="00307E20"/>
    <w:rsid w:val="00311292"/>
    <w:rsid w:val="0031260C"/>
    <w:rsid w:val="00312C75"/>
    <w:rsid w:val="00312DA6"/>
    <w:rsid w:val="00312EAF"/>
    <w:rsid w:val="00313590"/>
    <w:rsid w:val="00313C10"/>
    <w:rsid w:val="00313E26"/>
    <w:rsid w:val="00314363"/>
    <w:rsid w:val="00314E25"/>
    <w:rsid w:val="00315331"/>
    <w:rsid w:val="00315FDD"/>
    <w:rsid w:val="003203B5"/>
    <w:rsid w:val="00320A30"/>
    <w:rsid w:val="00321109"/>
    <w:rsid w:val="00322586"/>
    <w:rsid w:val="0032273E"/>
    <w:rsid w:val="0032393A"/>
    <w:rsid w:val="00323DD3"/>
    <w:rsid w:val="00324379"/>
    <w:rsid w:val="003243FF"/>
    <w:rsid w:val="0032457C"/>
    <w:rsid w:val="0032474D"/>
    <w:rsid w:val="003249B9"/>
    <w:rsid w:val="00325F2B"/>
    <w:rsid w:val="00326439"/>
    <w:rsid w:val="0032654E"/>
    <w:rsid w:val="00326669"/>
    <w:rsid w:val="003266B8"/>
    <w:rsid w:val="00326988"/>
    <w:rsid w:val="00326D4A"/>
    <w:rsid w:val="00326F79"/>
    <w:rsid w:val="00327D2D"/>
    <w:rsid w:val="0033159D"/>
    <w:rsid w:val="0033192D"/>
    <w:rsid w:val="003325C2"/>
    <w:rsid w:val="00333CD8"/>
    <w:rsid w:val="00335081"/>
    <w:rsid w:val="00335AA7"/>
    <w:rsid w:val="00337515"/>
    <w:rsid w:val="00337BE3"/>
    <w:rsid w:val="003407DA"/>
    <w:rsid w:val="00342196"/>
    <w:rsid w:val="003423DE"/>
    <w:rsid w:val="00343199"/>
    <w:rsid w:val="00344737"/>
    <w:rsid w:val="00345C8E"/>
    <w:rsid w:val="00345CF9"/>
    <w:rsid w:val="00345EE0"/>
    <w:rsid w:val="00346706"/>
    <w:rsid w:val="00346987"/>
    <w:rsid w:val="00350036"/>
    <w:rsid w:val="0035142B"/>
    <w:rsid w:val="003514ED"/>
    <w:rsid w:val="00351C1F"/>
    <w:rsid w:val="00351E1C"/>
    <w:rsid w:val="00352106"/>
    <w:rsid w:val="0035217E"/>
    <w:rsid w:val="003525DA"/>
    <w:rsid w:val="00352758"/>
    <w:rsid w:val="00352D33"/>
    <w:rsid w:val="00353CB2"/>
    <w:rsid w:val="003541C4"/>
    <w:rsid w:val="00354591"/>
    <w:rsid w:val="00354A18"/>
    <w:rsid w:val="00354E92"/>
    <w:rsid w:val="003550EA"/>
    <w:rsid w:val="003559FA"/>
    <w:rsid w:val="00355D56"/>
    <w:rsid w:val="00357814"/>
    <w:rsid w:val="00357B74"/>
    <w:rsid w:val="00360176"/>
    <w:rsid w:val="00360556"/>
    <w:rsid w:val="00360720"/>
    <w:rsid w:val="0036132C"/>
    <w:rsid w:val="00362325"/>
    <w:rsid w:val="00362A0D"/>
    <w:rsid w:val="0036400D"/>
    <w:rsid w:val="003658EF"/>
    <w:rsid w:val="00365FDC"/>
    <w:rsid w:val="003661DE"/>
    <w:rsid w:val="003670AA"/>
    <w:rsid w:val="00367BF2"/>
    <w:rsid w:val="00370A60"/>
    <w:rsid w:val="00370B08"/>
    <w:rsid w:val="00370D7E"/>
    <w:rsid w:val="003713F9"/>
    <w:rsid w:val="003719C4"/>
    <w:rsid w:val="00371D19"/>
    <w:rsid w:val="003724EE"/>
    <w:rsid w:val="00373C93"/>
    <w:rsid w:val="00374E6D"/>
    <w:rsid w:val="0037636A"/>
    <w:rsid w:val="00376AC0"/>
    <w:rsid w:val="00377971"/>
    <w:rsid w:val="003803FA"/>
    <w:rsid w:val="00380461"/>
    <w:rsid w:val="003812CC"/>
    <w:rsid w:val="00381490"/>
    <w:rsid w:val="00381936"/>
    <w:rsid w:val="003827AF"/>
    <w:rsid w:val="00384704"/>
    <w:rsid w:val="0038490E"/>
    <w:rsid w:val="003849A2"/>
    <w:rsid w:val="00385E59"/>
    <w:rsid w:val="003863F6"/>
    <w:rsid w:val="00386E22"/>
    <w:rsid w:val="00387270"/>
    <w:rsid w:val="00390465"/>
    <w:rsid w:val="0039097A"/>
    <w:rsid w:val="00391350"/>
    <w:rsid w:val="003917E1"/>
    <w:rsid w:val="00393479"/>
    <w:rsid w:val="003937BF"/>
    <w:rsid w:val="003938B0"/>
    <w:rsid w:val="00394384"/>
    <w:rsid w:val="003945C0"/>
    <w:rsid w:val="00394F5D"/>
    <w:rsid w:val="00395232"/>
    <w:rsid w:val="003953F7"/>
    <w:rsid w:val="003960C1"/>
    <w:rsid w:val="003972B5"/>
    <w:rsid w:val="003A0725"/>
    <w:rsid w:val="003A0E00"/>
    <w:rsid w:val="003A1290"/>
    <w:rsid w:val="003A18CF"/>
    <w:rsid w:val="003A3105"/>
    <w:rsid w:val="003A32A5"/>
    <w:rsid w:val="003A35D3"/>
    <w:rsid w:val="003A3FB3"/>
    <w:rsid w:val="003A3FCF"/>
    <w:rsid w:val="003A4987"/>
    <w:rsid w:val="003A4FD0"/>
    <w:rsid w:val="003A50A2"/>
    <w:rsid w:val="003A5110"/>
    <w:rsid w:val="003A5245"/>
    <w:rsid w:val="003A52E9"/>
    <w:rsid w:val="003A5304"/>
    <w:rsid w:val="003A5AEB"/>
    <w:rsid w:val="003A60E0"/>
    <w:rsid w:val="003A6EC4"/>
    <w:rsid w:val="003A70BA"/>
    <w:rsid w:val="003A7ECC"/>
    <w:rsid w:val="003B092A"/>
    <w:rsid w:val="003B0AF2"/>
    <w:rsid w:val="003B0B34"/>
    <w:rsid w:val="003B0EDF"/>
    <w:rsid w:val="003B12AD"/>
    <w:rsid w:val="003B220F"/>
    <w:rsid w:val="003B27AF"/>
    <w:rsid w:val="003B330D"/>
    <w:rsid w:val="003B3593"/>
    <w:rsid w:val="003B3AA3"/>
    <w:rsid w:val="003B3D47"/>
    <w:rsid w:val="003B3D78"/>
    <w:rsid w:val="003B478B"/>
    <w:rsid w:val="003B570F"/>
    <w:rsid w:val="003B6387"/>
    <w:rsid w:val="003B6E43"/>
    <w:rsid w:val="003B7237"/>
    <w:rsid w:val="003C096D"/>
    <w:rsid w:val="003C0E95"/>
    <w:rsid w:val="003C1028"/>
    <w:rsid w:val="003C1653"/>
    <w:rsid w:val="003C205E"/>
    <w:rsid w:val="003C210F"/>
    <w:rsid w:val="003C2158"/>
    <w:rsid w:val="003C2208"/>
    <w:rsid w:val="003C2924"/>
    <w:rsid w:val="003C2D1C"/>
    <w:rsid w:val="003C2DFE"/>
    <w:rsid w:val="003C3114"/>
    <w:rsid w:val="003C4254"/>
    <w:rsid w:val="003C4632"/>
    <w:rsid w:val="003C4945"/>
    <w:rsid w:val="003C50AE"/>
    <w:rsid w:val="003C6758"/>
    <w:rsid w:val="003C79A0"/>
    <w:rsid w:val="003D0AF3"/>
    <w:rsid w:val="003D0B54"/>
    <w:rsid w:val="003D25F5"/>
    <w:rsid w:val="003D27CC"/>
    <w:rsid w:val="003D435F"/>
    <w:rsid w:val="003D554F"/>
    <w:rsid w:val="003D5D63"/>
    <w:rsid w:val="003D6A47"/>
    <w:rsid w:val="003D6DF2"/>
    <w:rsid w:val="003D703A"/>
    <w:rsid w:val="003D7146"/>
    <w:rsid w:val="003D748A"/>
    <w:rsid w:val="003D76D8"/>
    <w:rsid w:val="003D7D3E"/>
    <w:rsid w:val="003E04DE"/>
    <w:rsid w:val="003E0E01"/>
    <w:rsid w:val="003E0E9C"/>
    <w:rsid w:val="003E1044"/>
    <w:rsid w:val="003E168D"/>
    <w:rsid w:val="003E1CA9"/>
    <w:rsid w:val="003E22C4"/>
    <w:rsid w:val="003E3A1D"/>
    <w:rsid w:val="003E470E"/>
    <w:rsid w:val="003E4DD3"/>
    <w:rsid w:val="003E657B"/>
    <w:rsid w:val="003E7065"/>
    <w:rsid w:val="003E7485"/>
    <w:rsid w:val="003E7507"/>
    <w:rsid w:val="003E7CE2"/>
    <w:rsid w:val="003F0597"/>
    <w:rsid w:val="003F062E"/>
    <w:rsid w:val="003F107C"/>
    <w:rsid w:val="003F18F7"/>
    <w:rsid w:val="003F1E9D"/>
    <w:rsid w:val="003F2957"/>
    <w:rsid w:val="003F362B"/>
    <w:rsid w:val="003F3656"/>
    <w:rsid w:val="003F3B02"/>
    <w:rsid w:val="003F3BF4"/>
    <w:rsid w:val="003F3FAF"/>
    <w:rsid w:val="003F670D"/>
    <w:rsid w:val="003F7B32"/>
    <w:rsid w:val="00400110"/>
    <w:rsid w:val="00400526"/>
    <w:rsid w:val="00400983"/>
    <w:rsid w:val="00401990"/>
    <w:rsid w:val="00403ED5"/>
    <w:rsid w:val="0040459B"/>
    <w:rsid w:val="00404C21"/>
    <w:rsid w:val="00405294"/>
    <w:rsid w:val="004054B1"/>
    <w:rsid w:val="00405940"/>
    <w:rsid w:val="00405B58"/>
    <w:rsid w:val="00406A51"/>
    <w:rsid w:val="004074DD"/>
    <w:rsid w:val="00407696"/>
    <w:rsid w:val="004105E0"/>
    <w:rsid w:val="0041160A"/>
    <w:rsid w:val="00411F68"/>
    <w:rsid w:val="00412740"/>
    <w:rsid w:val="00412CF2"/>
    <w:rsid w:val="00413F4D"/>
    <w:rsid w:val="0041457A"/>
    <w:rsid w:val="004153FC"/>
    <w:rsid w:val="004158F0"/>
    <w:rsid w:val="00416547"/>
    <w:rsid w:val="004166F7"/>
    <w:rsid w:val="00416870"/>
    <w:rsid w:val="00417308"/>
    <w:rsid w:val="0041772A"/>
    <w:rsid w:val="0041779B"/>
    <w:rsid w:val="0042017B"/>
    <w:rsid w:val="004208F0"/>
    <w:rsid w:val="00420913"/>
    <w:rsid w:val="00420B43"/>
    <w:rsid w:val="00420D3C"/>
    <w:rsid w:val="004211F6"/>
    <w:rsid w:val="00421A81"/>
    <w:rsid w:val="00422883"/>
    <w:rsid w:val="00422ACC"/>
    <w:rsid w:val="00424BD9"/>
    <w:rsid w:val="00424E25"/>
    <w:rsid w:val="0042529A"/>
    <w:rsid w:val="00425D46"/>
    <w:rsid w:val="00426845"/>
    <w:rsid w:val="00427219"/>
    <w:rsid w:val="004274C1"/>
    <w:rsid w:val="00427977"/>
    <w:rsid w:val="00427B82"/>
    <w:rsid w:val="00430234"/>
    <w:rsid w:val="00431767"/>
    <w:rsid w:val="00431E4B"/>
    <w:rsid w:val="0043207F"/>
    <w:rsid w:val="0043296A"/>
    <w:rsid w:val="00433CB2"/>
    <w:rsid w:val="00434700"/>
    <w:rsid w:val="00434E44"/>
    <w:rsid w:val="00434E64"/>
    <w:rsid w:val="00435604"/>
    <w:rsid w:val="00435631"/>
    <w:rsid w:val="00435C79"/>
    <w:rsid w:val="004367EF"/>
    <w:rsid w:val="0043688A"/>
    <w:rsid w:val="00436A48"/>
    <w:rsid w:val="00436F71"/>
    <w:rsid w:val="0043785F"/>
    <w:rsid w:val="00437CA2"/>
    <w:rsid w:val="0044099F"/>
    <w:rsid w:val="004409C3"/>
    <w:rsid w:val="00440B2D"/>
    <w:rsid w:val="00440D16"/>
    <w:rsid w:val="004421AE"/>
    <w:rsid w:val="004421E3"/>
    <w:rsid w:val="004430BB"/>
    <w:rsid w:val="0044331B"/>
    <w:rsid w:val="00443831"/>
    <w:rsid w:val="004442BE"/>
    <w:rsid w:val="00445B5E"/>
    <w:rsid w:val="004468AE"/>
    <w:rsid w:val="00446911"/>
    <w:rsid w:val="00446EA3"/>
    <w:rsid w:val="00450343"/>
    <w:rsid w:val="00450950"/>
    <w:rsid w:val="00450EFF"/>
    <w:rsid w:val="00451043"/>
    <w:rsid w:val="00451104"/>
    <w:rsid w:val="00451534"/>
    <w:rsid w:val="00452F6C"/>
    <w:rsid w:val="004535E1"/>
    <w:rsid w:val="00454144"/>
    <w:rsid w:val="0045422F"/>
    <w:rsid w:val="0045433C"/>
    <w:rsid w:val="0045471C"/>
    <w:rsid w:val="0045473B"/>
    <w:rsid w:val="00457115"/>
    <w:rsid w:val="00460705"/>
    <w:rsid w:val="00460A24"/>
    <w:rsid w:val="00460BC9"/>
    <w:rsid w:val="0046151F"/>
    <w:rsid w:val="00462AA7"/>
    <w:rsid w:val="00463AB6"/>
    <w:rsid w:val="00464052"/>
    <w:rsid w:val="00464102"/>
    <w:rsid w:val="00465799"/>
    <w:rsid w:val="0046586B"/>
    <w:rsid w:val="004660F5"/>
    <w:rsid w:val="0046675F"/>
    <w:rsid w:val="004674F7"/>
    <w:rsid w:val="00470219"/>
    <w:rsid w:val="00470256"/>
    <w:rsid w:val="004704F9"/>
    <w:rsid w:val="00470847"/>
    <w:rsid w:val="004708C0"/>
    <w:rsid w:val="00471039"/>
    <w:rsid w:val="00471447"/>
    <w:rsid w:val="00471B70"/>
    <w:rsid w:val="00471D1D"/>
    <w:rsid w:val="00471D33"/>
    <w:rsid w:val="0047220A"/>
    <w:rsid w:val="004726C0"/>
    <w:rsid w:val="0047271F"/>
    <w:rsid w:val="004728D6"/>
    <w:rsid w:val="00472EDA"/>
    <w:rsid w:val="004732C6"/>
    <w:rsid w:val="00473ED5"/>
    <w:rsid w:val="004744E1"/>
    <w:rsid w:val="00474682"/>
    <w:rsid w:val="004758DE"/>
    <w:rsid w:val="00475AE3"/>
    <w:rsid w:val="00475F4B"/>
    <w:rsid w:val="004769C3"/>
    <w:rsid w:val="00477159"/>
    <w:rsid w:val="00477B88"/>
    <w:rsid w:val="00480253"/>
    <w:rsid w:val="004805D6"/>
    <w:rsid w:val="00480B8A"/>
    <w:rsid w:val="00481C22"/>
    <w:rsid w:val="004825A3"/>
    <w:rsid w:val="00482DFE"/>
    <w:rsid w:val="004834BC"/>
    <w:rsid w:val="00484AD3"/>
    <w:rsid w:val="004851EA"/>
    <w:rsid w:val="0048573D"/>
    <w:rsid w:val="00485A63"/>
    <w:rsid w:val="004868DB"/>
    <w:rsid w:val="00486BF3"/>
    <w:rsid w:val="004872D2"/>
    <w:rsid w:val="00487AE4"/>
    <w:rsid w:val="00490B11"/>
    <w:rsid w:val="00490E21"/>
    <w:rsid w:val="00491AFA"/>
    <w:rsid w:val="00491FB6"/>
    <w:rsid w:val="004931A3"/>
    <w:rsid w:val="00493412"/>
    <w:rsid w:val="00493C3D"/>
    <w:rsid w:val="00495348"/>
    <w:rsid w:val="0049640D"/>
    <w:rsid w:val="00497168"/>
    <w:rsid w:val="004972DE"/>
    <w:rsid w:val="004972E4"/>
    <w:rsid w:val="00497732"/>
    <w:rsid w:val="00497984"/>
    <w:rsid w:val="00497C57"/>
    <w:rsid w:val="00497D4F"/>
    <w:rsid w:val="004A02DC"/>
    <w:rsid w:val="004A0C09"/>
    <w:rsid w:val="004A126D"/>
    <w:rsid w:val="004A2333"/>
    <w:rsid w:val="004A29E4"/>
    <w:rsid w:val="004A32F1"/>
    <w:rsid w:val="004A33E9"/>
    <w:rsid w:val="004A371F"/>
    <w:rsid w:val="004A3EA6"/>
    <w:rsid w:val="004A3ECA"/>
    <w:rsid w:val="004A4BF6"/>
    <w:rsid w:val="004A5001"/>
    <w:rsid w:val="004A590B"/>
    <w:rsid w:val="004A5D5B"/>
    <w:rsid w:val="004A69AD"/>
    <w:rsid w:val="004A6D0D"/>
    <w:rsid w:val="004B04C6"/>
    <w:rsid w:val="004B08D3"/>
    <w:rsid w:val="004B1613"/>
    <w:rsid w:val="004B2572"/>
    <w:rsid w:val="004B2685"/>
    <w:rsid w:val="004B35F7"/>
    <w:rsid w:val="004B3D4B"/>
    <w:rsid w:val="004B3E3D"/>
    <w:rsid w:val="004B4273"/>
    <w:rsid w:val="004B4E32"/>
    <w:rsid w:val="004B5321"/>
    <w:rsid w:val="004B5383"/>
    <w:rsid w:val="004B64B5"/>
    <w:rsid w:val="004B7076"/>
    <w:rsid w:val="004B74AF"/>
    <w:rsid w:val="004C049D"/>
    <w:rsid w:val="004C202B"/>
    <w:rsid w:val="004C21FA"/>
    <w:rsid w:val="004C26B8"/>
    <w:rsid w:val="004C26D2"/>
    <w:rsid w:val="004C4444"/>
    <w:rsid w:val="004C4CB2"/>
    <w:rsid w:val="004C4D5D"/>
    <w:rsid w:val="004C5F79"/>
    <w:rsid w:val="004C612A"/>
    <w:rsid w:val="004C62F7"/>
    <w:rsid w:val="004C637F"/>
    <w:rsid w:val="004C722F"/>
    <w:rsid w:val="004C7237"/>
    <w:rsid w:val="004D03FA"/>
    <w:rsid w:val="004D07E5"/>
    <w:rsid w:val="004D14A8"/>
    <w:rsid w:val="004D2992"/>
    <w:rsid w:val="004D2BAF"/>
    <w:rsid w:val="004D2C10"/>
    <w:rsid w:val="004D3202"/>
    <w:rsid w:val="004D469E"/>
    <w:rsid w:val="004D4741"/>
    <w:rsid w:val="004D48A5"/>
    <w:rsid w:val="004D4B44"/>
    <w:rsid w:val="004D4E20"/>
    <w:rsid w:val="004D7FEA"/>
    <w:rsid w:val="004E08BE"/>
    <w:rsid w:val="004E0C6B"/>
    <w:rsid w:val="004E0D06"/>
    <w:rsid w:val="004E183B"/>
    <w:rsid w:val="004E1C62"/>
    <w:rsid w:val="004E2497"/>
    <w:rsid w:val="004E24BC"/>
    <w:rsid w:val="004E2DFB"/>
    <w:rsid w:val="004E3363"/>
    <w:rsid w:val="004E3D51"/>
    <w:rsid w:val="004E3F63"/>
    <w:rsid w:val="004E4F5A"/>
    <w:rsid w:val="004E5131"/>
    <w:rsid w:val="004E5520"/>
    <w:rsid w:val="004E55BA"/>
    <w:rsid w:val="004E565E"/>
    <w:rsid w:val="004E67DD"/>
    <w:rsid w:val="004E7840"/>
    <w:rsid w:val="004E791A"/>
    <w:rsid w:val="004E7B02"/>
    <w:rsid w:val="004F07EF"/>
    <w:rsid w:val="004F0AE6"/>
    <w:rsid w:val="004F0C24"/>
    <w:rsid w:val="004F16D1"/>
    <w:rsid w:val="004F18F6"/>
    <w:rsid w:val="004F1AD1"/>
    <w:rsid w:val="004F344E"/>
    <w:rsid w:val="004F370D"/>
    <w:rsid w:val="004F3CFC"/>
    <w:rsid w:val="004F4A05"/>
    <w:rsid w:val="004F52B4"/>
    <w:rsid w:val="004F59BE"/>
    <w:rsid w:val="004F5D8B"/>
    <w:rsid w:val="004F63DF"/>
    <w:rsid w:val="004F6CAB"/>
    <w:rsid w:val="004F7887"/>
    <w:rsid w:val="004F79B7"/>
    <w:rsid w:val="005008CC"/>
    <w:rsid w:val="005010D2"/>
    <w:rsid w:val="005016B0"/>
    <w:rsid w:val="00501D0E"/>
    <w:rsid w:val="0050202E"/>
    <w:rsid w:val="00502774"/>
    <w:rsid w:val="00503B05"/>
    <w:rsid w:val="00503DFC"/>
    <w:rsid w:val="00503F34"/>
    <w:rsid w:val="005041F1"/>
    <w:rsid w:val="00504C1B"/>
    <w:rsid w:val="005063ED"/>
    <w:rsid w:val="0050642C"/>
    <w:rsid w:val="00506B0A"/>
    <w:rsid w:val="00506B3B"/>
    <w:rsid w:val="00506BF3"/>
    <w:rsid w:val="00506E8E"/>
    <w:rsid w:val="00507250"/>
    <w:rsid w:val="005076C2"/>
    <w:rsid w:val="00507FF6"/>
    <w:rsid w:val="00510671"/>
    <w:rsid w:val="00510B87"/>
    <w:rsid w:val="00511346"/>
    <w:rsid w:val="00511BC9"/>
    <w:rsid w:val="00511C57"/>
    <w:rsid w:val="0051274C"/>
    <w:rsid w:val="005128B6"/>
    <w:rsid w:val="00512E54"/>
    <w:rsid w:val="00513932"/>
    <w:rsid w:val="00513F5E"/>
    <w:rsid w:val="00514271"/>
    <w:rsid w:val="005148A3"/>
    <w:rsid w:val="00514F62"/>
    <w:rsid w:val="00515560"/>
    <w:rsid w:val="00516548"/>
    <w:rsid w:val="00517831"/>
    <w:rsid w:val="005203E1"/>
    <w:rsid w:val="005216FD"/>
    <w:rsid w:val="00522232"/>
    <w:rsid w:val="00522383"/>
    <w:rsid w:val="005228C3"/>
    <w:rsid w:val="0052315E"/>
    <w:rsid w:val="005231BF"/>
    <w:rsid w:val="005234AF"/>
    <w:rsid w:val="00525787"/>
    <w:rsid w:val="00525DF4"/>
    <w:rsid w:val="0052705D"/>
    <w:rsid w:val="005270A5"/>
    <w:rsid w:val="005271CF"/>
    <w:rsid w:val="00527651"/>
    <w:rsid w:val="00530D42"/>
    <w:rsid w:val="00530E86"/>
    <w:rsid w:val="00530E90"/>
    <w:rsid w:val="00531247"/>
    <w:rsid w:val="005314AC"/>
    <w:rsid w:val="00531A41"/>
    <w:rsid w:val="005325CC"/>
    <w:rsid w:val="005335C3"/>
    <w:rsid w:val="005346FE"/>
    <w:rsid w:val="00534965"/>
    <w:rsid w:val="00534ECB"/>
    <w:rsid w:val="005358B4"/>
    <w:rsid w:val="0054064D"/>
    <w:rsid w:val="005406FD"/>
    <w:rsid w:val="0054089B"/>
    <w:rsid w:val="00540AC5"/>
    <w:rsid w:val="00540BE7"/>
    <w:rsid w:val="005426C2"/>
    <w:rsid w:val="005429BE"/>
    <w:rsid w:val="00542A11"/>
    <w:rsid w:val="00545A36"/>
    <w:rsid w:val="00546559"/>
    <w:rsid w:val="005465E0"/>
    <w:rsid w:val="005467EB"/>
    <w:rsid w:val="00546AA5"/>
    <w:rsid w:val="00547601"/>
    <w:rsid w:val="00547BA0"/>
    <w:rsid w:val="0055015D"/>
    <w:rsid w:val="0055058D"/>
    <w:rsid w:val="00550895"/>
    <w:rsid w:val="00551FFF"/>
    <w:rsid w:val="00553EB0"/>
    <w:rsid w:val="0055426F"/>
    <w:rsid w:val="00554678"/>
    <w:rsid w:val="00555222"/>
    <w:rsid w:val="005559A8"/>
    <w:rsid w:val="00557809"/>
    <w:rsid w:val="00557C85"/>
    <w:rsid w:val="00560C19"/>
    <w:rsid w:val="00560ED1"/>
    <w:rsid w:val="00561B7D"/>
    <w:rsid w:val="00562D36"/>
    <w:rsid w:val="00562E23"/>
    <w:rsid w:val="00563170"/>
    <w:rsid w:val="00564F63"/>
    <w:rsid w:val="005655DD"/>
    <w:rsid w:val="00565E32"/>
    <w:rsid w:val="005665B1"/>
    <w:rsid w:val="0056722B"/>
    <w:rsid w:val="00567C21"/>
    <w:rsid w:val="00567CDC"/>
    <w:rsid w:val="00570837"/>
    <w:rsid w:val="00570BDD"/>
    <w:rsid w:val="00572558"/>
    <w:rsid w:val="00573060"/>
    <w:rsid w:val="00573821"/>
    <w:rsid w:val="0057388C"/>
    <w:rsid w:val="0057413F"/>
    <w:rsid w:val="00574A2F"/>
    <w:rsid w:val="00575E3A"/>
    <w:rsid w:val="0057657D"/>
    <w:rsid w:val="00576614"/>
    <w:rsid w:val="005768F3"/>
    <w:rsid w:val="00576E52"/>
    <w:rsid w:val="005776D2"/>
    <w:rsid w:val="00577957"/>
    <w:rsid w:val="00577C14"/>
    <w:rsid w:val="00580123"/>
    <w:rsid w:val="005802BF"/>
    <w:rsid w:val="0058095C"/>
    <w:rsid w:val="00580F2D"/>
    <w:rsid w:val="00581039"/>
    <w:rsid w:val="005814AC"/>
    <w:rsid w:val="00581D56"/>
    <w:rsid w:val="00581E19"/>
    <w:rsid w:val="00582246"/>
    <w:rsid w:val="00582436"/>
    <w:rsid w:val="0058309C"/>
    <w:rsid w:val="00584093"/>
    <w:rsid w:val="0058425B"/>
    <w:rsid w:val="00584758"/>
    <w:rsid w:val="00585AB6"/>
    <w:rsid w:val="00585AD7"/>
    <w:rsid w:val="00585C38"/>
    <w:rsid w:val="00585D17"/>
    <w:rsid w:val="00586018"/>
    <w:rsid w:val="00586FA1"/>
    <w:rsid w:val="0058707E"/>
    <w:rsid w:val="005879B7"/>
    <w:rsid w:val="005926A9"/>
    <w:rsid w:val="005926FE"/>
    <w:rsid w:val="00593133"/>
    <w:rsid w:val="00593A64"/>
    <w:rsid w:val="00593B3D"/>
    <w:rsid w:val="00593F1C"/>
    <w:rsid w:val="00594585"/>
    <w:rsid w:val="005950FE"/>
    <w:rsid w:val="00596CE0"/>
    <w:rsid w:val="00597509"/>
    <w:rsid w:val="00597CC7"/>
    <w:rsid w:val="005A0745"/>
    <w:rsid w:val="005A23B8"/>
    <w:rsid w:val="005A27B6"/>
    <w:rsid w:val="005A2E34"/>
    <w:rsid w:val="005A3212"/>
    <w:rsid w:val="005A3289"/>
    <w:rsid w:val="005A36A6"/>
    <w:rsid w:val="005A4372"/>
    <w:rsid w:val="005A4BB0"/>
    <w:rsid w:val="005A5697"/>
    <w:rsid w:val="005A5FB6"/>
    <w:rsid w:val="005A60A1"/>
    <w:rsid w:val="005A6369"/>
    <w:rsid w:val="005A6918"/>
    <w:rsid w:val="005A6B2B"/>
    <w:rsid w:val="005A6F1D"/>
    <w:rsid w:val="005A7C0B"/>
    <w:rsid w:val="005A7EB7"/>
    <w:rsid w:val="005B02B8"/>
    <w:rsid w:val="005B02E3"/>
    <w:rsid w:val="005B09C4"/>
    <w:rsid w:val="005B0A27"/>
    <w:rsid w:val="005B1014"/>
    <w:rsid w:val="005B1521"/>
    <w:rsid w:val="005B325E"/>
    <w:rsid w:val="005B33EC"/>
    <w:rsid w:val="005B445D"/>
    <w:rsid w:val="005B5097"/>
    <w:rsid w:val="005B6768"/>
    <w:rsid w:val="005B6912"/>
    <w:rsid w:val="005B6C42"/>
    <w:rsid w:val="005B6FD5"/>
    <w:rsid w:val="005B71BC"/>
    <w:rsid w:val="005B77A5"/>
    <w:rsid w:val="005B77E3"/>
    <w:rsid w:val="005C01F5"/>
    <w:rsid w:val="005C029D"/>
    <w:rsid w:val="005C1110"/>
    <w:rsid w:val="005C1739"/>
    <w:rsid w:val="005C2B41"/>
    <w:rsid w:val="005C2EDD"/>
    <w:rsid w:val="005C331A"/>
    <w:rsid w:val="005C33EA"/>
    <w:rsid w:val="005C3832"/>
    <w:rsid w:val="005C41EB"/>
    <w:rsid w:val="005C473B"/>
    <w:rsid w:val="005C595F"/>
    <w:rsid w:val="005C5BF2"/>
    <w:rsid w:val="005C68C9"/>
    <w:rsid w:val="005D0118"/>
    <w:rsid w:val="005D02B0"/>
    <w:rsid w:val="005D0483"/>
    <w:rsid w:val="005D0680"/>
    <w:rsid w:val="005D07D9"/>
    <w:rsid w:val="005D0F3E"/>
    <w:rsid w:val="005D1941"/>
    <w:rsid w:val="005D1BE9"/>
    <w:rsid w:val="005D238E"/>
    <w:rsid w:val="005D2895"/>
    <w:rsid w:val="005D3956"/>
    <w:rsid w:val="005D3CAB"/>
    <w:rsid w:val="005D3E5E"/>
    <w:rsid w:val="005D3EA9"/>
    <w:rsid w:val="005D44DC"/>
    <w:rsid w:val="005D466C"/>
    <w:rsid w:val="005D5B33"/>
    <w:rsid w:val="005D5DB2"/>
    <w:rsid w:val="005D63D7"/>
    <w:rsid w:val="005D6464"/>
    <w:rsid w:val="005D6C02"/>
    <w:rsid w:val="005D6FB7"/>
    <w:rsid w:val="005D733B"/>
    <w:rsid w:val="005D7830"/>
    <w:rsid w:val="005D7D69"/>
    <w:rsid w:val="005D7E3C"/>
    <w:rsid w:val="005E05A8"/>
    <w:rsid w:val="005E180C"/>
    <w:rsid w:val="005E1D4B"/>
    <w:rsid w:val="005E2168"/>
    <w:rsid w:val="005E22C7"/>
    <w:rsid w:val="005E2815"/>
    <w:rsid w:val="005E2EB3"/>
    <w:rsid w:val="005E3E9B"/>
    <w:rsid w:val="005E400D"/>
    <w:rsid w:val="005E4FD6"/>
    <w:rsid w:val="005E5415"/>
    <w:rsid w:val="005E59F9"/>
    <w:rsid w:val="005E5D06"/>
    <w:rsid w:val="005E5EBF"/>
    <w:rsid w:val="005E6632"/>
    <w:rsid w:val="005F01B6"/>
    <w:rsid w:val="005F0D2E"/>
    <w:rsid w:val="005F1F0E"/>
    <w:rsid w:val="005F1FC0"/>
    <w:rsid w:val="005F2467"/>
    <w:rsid w:val="005F2E1B"/>
    <w:rsid w:val="005F3BED"/>
    <w:rsid w:val="005F3E46"/>
    <w:rsid w:val="005F3E4D"/>
    <w:rsid w:val="005F4616"/>
    <w:rsid w:val="005F5357"/>
    <w:rsid w:val="005F5404"/>
    <w:rsid w:val="005F72D8"/>
    <w:rsid w:val="00600D77"/>
    <w:rsid w:val="00600D95"/>
    <w:rsid w:val="006013E0"/>
    <w:rsid w:val="00601474"/>
    <w:rsid w:val="006031AF"/>
    <w:rsid w:val="006041E2"/>
    <w:rsid w:val="006066F1"/>
    <w:rsid w:val="00606A68"/>
    <w:rsid w:val="00607796"/>
    <w:rsid w:val="006078F5"/>
    <w:rsid w:val="0061222E"/>
    <w:rsid w:val="006137C3"/>
    <w:rsid w:val="00613A81"/>
    <w:rsid w:val="00613B5D"/>
    <w:rsid w:val="00615041"/>
    <w:rsid w:val="0061649F"/>
    <w:rsid w:val="00616BA1"/>
    <w:rsid w:val="00616DE3"/>
    <w:rsid w:val="006170EF"/>
    <w:rsid w:val="00617A67"/>
    <w:rsid w:val="00617BEB"/>
    <w:rsid w:val="00621856"/>
    <w:rsid w:val="00622CF0"/>
    <w:rsid w:val="00623440"/>
    <w:rsid w:val="00623925"/>
    <w:rsid w:val="006240DA"/>
    <w:rsid w:val="00624689"/>
    <w:rsid w:val="00624CE0"/>
    <w:rsid w:val="00624EBB"/>
    <w:rsid w:val="00625499"/>
    <w:rsid w:val="00626C37"/>
    <w:rsid w:val="00626FDF"/>
    <w:rsid w:val="00627948"/>
    <w:rsid w:val="006279EF"/>
    <w:rsid w:val="00627C24"/>
    <w:rsid w:val="0063078B"/>
    <w:rsid w:val="00630D99"/>
    <w:rsid w:val="0063159E"/>
    <w:rsid w:val="00631648"/>
    <w:rsid w:val="006318E1"/>
    <w:rsid w:val="00631A6E"/>
    <w:rsid w:val="006332C7"/>
    <w:rsid w:val="00633518"/>
    <w:rsid w:val="00633DBA"/>
    <w:rsid w:val="00633F5E"/>
    <w:rsid w:val="00634247"/>
    <w:rsid w:val="0063428A"/>
    <w:rsid w:val="00634856"/>
    <w:rsid w:val="00634C05"/>
    <w:rsid w:val="00635858"/>
    <w:rsid w:val="00635BAA"/>
    <w:rsid w:val="00636540"/>
    <w:rsid w:val="00636DBD"/>
    <w:rsid w:val="00637056"/>
    <w:rsid w:val="0064120B"/>
    <w:rsid w:val="00641433"/>
    <w:rsid w:val="00641937"/>
    <w:rsid w:val="00642021"/>
    <w:rsid w:val="0064218D"/>
    <w:rsid w:val="00642A99"/>
    <w:rsid w:val="00642FBC"/>
    <w:rsid w:val="0064322F"/>
    <w:rsid w:val="00644E45"/>
    <w:rsid w:val="00645377"/>
    <w:rsid w:val="0064643D"/>
    <w:rsid w:val="00646954"/>
    <w:rsid w:val="006473DB"/>
    <w:rsid w:val="0064773C"/>
    <w:rsid w:val="00647784"/>
    <w:rsid w:val="00647BE8"/>
    <w:rsid w:val="0065045C"/>
    <w:rsid w:val="00651154"/>
    <w:rsid w:val="006514F8"/>
    <w:rsid w:val="00651A47"/>
    <w:rsid w:val="00652533"/>
    <w:rsid w:val="00652BA1"/>
    <w:rsid w:val="0065300A"/>
    <w:rsid w:val="0065327D"/>
    <w:rsid w:val="00653B2B"/>
    <w:rsid w:val="00653B79"/>
    <w:rsid w:val="00654BBD"/>
    <w:rsid w:val="006550AF"/>
    <w:rsid w:val="006551E0"/>
    <w:rsid w:val="006559CC"/>
    <w:rsid w:val="00655B47"/>
    <w:rsid w:val="00655B8C"/>
    <w:rsid w:val="006575AC"/>
    <w:rsid w:val="00657C7C"/>
    <w:rsid w:val="00657DDA"/>
    <w:rsid w:val="0066023F"/>
    <w:rsid w:val="0066027B"/>
    <w:rsid w:val="00660442"/>
    <w:rsid w:val="00660A7D"/>
    <w:rsid w:val="0066108F"/>
    <w:rsid w:val="00661441"/>
    <w:rsid w:val="0066175C"/>
    <w:rsid w:val="006617C3"/>
    <w:rsid w:val="00661962"/>
    <w:rsid w:val="00661A4E"/>
    <w:rsid w:val="006620AD"/>
    <w:rsid w:val="00663397"/>
    <w:rsid w:val="00663FAD"/>
    <w:rsid w:val="006656A6"/>
    <w:rsid w:val="00665ECF"/>
    <w:rsid w:val="0066619E"/>
    <w:rsid w:val="00667089"/>
    <w:rsid w:val="00671777"/>
    <w:rsid w:val="006717A3"/>
    <w:rsid w:val="00671ECF"/>
    <w:rsid w:val="00672383"/>
    <w:rsid w:val="0067261D"/>
    <w:rsid w:val="006727AC"/>
    <w:rsid w:val="00672A2B"/>
    <w:rsid w:val="00672FEF"/>
    <w:rsid w:val="0067484C"/>
    <w:rsid w:val="00675156"/>
    <w:rsid w:val="006754A3"/>
    <w:rsid w:val="0067782A"/>
    <w:rsid w:val="0068033A"/>
    <w:rsid w:val="00680AAE"/>
    <w:rsid w:val="0068173C"/>
    <w:rsid w:val="006817AF"/>
    <w:rsid w:val="006820FF"/>
    <w:rsid w:val="00682184"/>
    <w:rsid w:val="006821CC"/>
    <w:rsid w:val="0068256D"/>
    <w:rsid w:val="00682795"/>
    <w:rsid w:val="00683592"/>
    <w:rsid w:val="006836AA"/>
    <w:rsid w:val="00683796"/>
    <w:rsid w:val="00684C07"/>
    <w:rsid w:val="0068542B"/>
    <w:rsid w:val="00685467"/>
    <w:rsid w:val="00685E82"/>
    <w:rsid w:val="006864D5"/>
    <w:rsid w:val="00686596"/>
    <w:rsid w:val="00686868"/>
    <w:rsid w:val="00686CA3"/>
    <w:rsid w:val="00687097"/>
    <w:rsid w:val="00687307"/>
    <w:rsid w:val="0069013E"/>
    <w:rsid w:val="006905FD"/>
    <w:rsid w:val="00690E47"/>
    <w:rsid w:val="00691370"/>
    <w:rsid w:val="0069195E"/>
    <w:rsid w:val="00691E3B"/>
    <w:rsid w:val="00692444"/>
    <w:rsid w:val="00693383"/>
    <w:rsid w:val="006934E4"/>
    <w:rsid w:val="00693D6C"/>
    <w:rsid w:val="006945C1"/>
    <w:rsid w:val="006946EF"/>
    <w:rsid w:val="00695A2C"/>
    <w:rsid w:val="00696BA6"/>
    <w:rsid w:val="006975E3"/>
    <w:rsid w:val="0069760B"/>
    <w:rsid w:val="0069792B"/>
    <w:rsid w:val="00697B51"/>
    <w:rsid w:val="00697E8F"/>
    <w:rsid w:val="006A0433"/>
    <w:rsid w:val="006A0757"/>
    <w:rsid w:val="006A08BD"/>
    <w:rsid w:val="006A0913"/>
    <w:rsid w:val="006A0A7A"/>
    <w:rsid w:val="006A0BB6"/>
    <w:rsid w:val="006A0CA6"/>
    <w:rsid w:val="006A1512"/>
    <w:rsid w:val="006A18F3"/>
    <w:rsid w:val="006A1ECF"/>
    <w:rsid w:val="006A230B"/>
    <w:rsid w:val="006A351A"/>
    <w:rsid w:val="006A3B5A"/>
    <w:rsid w:val="006A411A"/>
    <w:rsid w:val="006A552D"/>
    <w:rsid w:val="006A5708"/>
    <w:rsid w:val="006A5A1C"/>
    <w:rsid w:val="006A6B2C"/>
    <w:rsid w:val="006A6D52"/>
    <w:rsid w:val="006A77FC"/>
    <w:rsid w:val="006A7BD0"/>
    <w:rsid w:val="006B0266"/>
    <w:rsid w:val="006B11E8"/>
    <w:rsid w:val="006B12D2"/>
    <w:rsid w:val="006B14FF"/>
    <w:rsid w:val="006B1FC1"/>
    <w:rsid w:val="006B2086"/>
    <w:rsid w:val="006B2CA2"/>
    <w:rsid w:val="006B314F"/>
    <w:rsid w:val="006B3C2A"/>
    <w:rsid w:val="006B695F"/>
    <w:rsid w:val="006B6E07"/>
    <w:rsid w:val="006B6E0B"/>
    <w:rsid w:val="006B780E"/>
    <w:rsid w:val="006B7ED4"/>
    <w:rsid w:val="006C0202"/>
    <w:rsid w:val="006C0438"/>
    <w:rsid w:val="006C0465"/>
    <w:rsid w:val="006C0877"/>
    <w:rsid w:val="006C09E5"/>
    <w:rsid w:val="006C0CD4"/>
    <w:rsid w:val="006C1139"/>
    <w:rsid w:val="006C15C1"/>
    <w:rsid w:val="006C15D0"/>
    <w:rsid w:val="006C1649"/>
    <w:rsid w:val="006C1ABB"/>
    <w:rsid w:val="006C2082"/>
    <w:rsid w:val="006C2BF9"/>
    <w:rsid w:val="006C2CF5"/>
    <w:rsid w:val="006C31B7"/>
    <w:rsid w:val="006C39DF"/>
    <w:rsid w:val="006C3B01"/>
    <w:rsid w:val="006C434A"/>
    <w:rsid w:val="006C4C14"/>
    <w:rsid w:val="006C60A7"/>
    <w:rsid w:val="006C6BFF"/>
    <w:rsid w:val="006C7006"/>
    <w:rsid w:val="006C770A"/>
    <w:rsid w:val="006C7D09"/>
    <w:rsid w:val="006D0BD2"/>
    <w:rsid w:val="006D0C10"/>
    <w:rsid w:val="006D0E54"/>
    <w:rsid w:val="006D23F8"/>
    <w:rsid w:val="006D2675"/>
    <w:rsid w:val="006D3119"/>
    <w:rsid w:val="006D50CD"/>
    <w:rsid w:val="006D5C60"/>
    <w:rsid w:val="006D63AB"/>
    <w:rsid w:val="006D68DC"/>
    <w:rsid w:val="006D7C72"/>
    <w:rsid w:val="006E004B"/>
    <w:rsid w:val="006E1197"/>
    <w:rsid w:val="006E15E3"/>
    <w:rsid w:val="006E17ED"/>
    <w:rsid w:val="006E2B29"/>
    <w:rsid w:val="006E2BE2"/>
    <w:rsid w:val="006E2F48"/>
    <w:rsid w:val="006E3028"/>
    <w:rsid w:val="006E3061"/>
    <w:rsid w:val="006E3C78"/>
    <w:rsid w:val="006E3F95"/>
    <w:rsid w:val="006E4152"/>
    <w:rsid w:val="006E51CE"/>
    <w:rsid w:val="006E54CD"/>
    <w:rsid w:val="006E6238"/>
    <w:rsid w:val="006E738B"/>
    <w:rsid w:val="006E743A"/>
    <w:rsid w:val="006E7C49"/>
    <w:rsid w:val="006F0457"/>
    <w:rsid w:val="006F0688"/>
    <w:rsid w:val="006F0D13"/>
    <w:rsid w:val="006F0E4F"/>
    <w:rsid w:val="006F193E"/>
    <w:rsid w:val="006F1D72"/>
    <w:rsid w:val="006F2C8F"/>
    <w:rsid w:val="006F2FA8"/>
    <w:rsid w:val="006F304C"/>
    <w:rsid w:val="006F31BB"/>
    <w:rsid w:val="006F3583"/>
    <w:rsid w:val="006F3EDF"/>
    <w:rsid w:val="006F62E6"/>
    <w:rsid w:val="006F6A79"/>
    <w:rsid w:val="006F794A"/>
    <w:rsid w:val="006F7D06"/>
    <w:rsid w:val="00700125"/>
    <w:rsid w:val="0070068D"/>
    <w:rsid w:val="00700954"/>
    <w:rsid w:val="007034D0"/>
    <w:rsid w:val="00705643"/>
    <w:rsid w:val="00705867"/>
    <w:rsid w:val="00705BCE"/>
    <w:rsid w:val="007067B6"/>
    <w:rsid w:val="00706F3D"/>
    <w:rsid w:val="00707120"/>
    <w:rsid w:val="00707360"/>
    <w:rsid w:val="00707602"/>
    <w:rsid w:val="007101B4"/>
    <w:rsid w:val="00710424"/>
    <w:rsid w:val="00710591"/>
    <w:rsid w:val="00710D71"/>
    <w:rsid w:val="007114B7"/>
    <w:rsid w:val="007119A5"/>
    <w:rsid w:val="00711ED0"/>
    <w:rsid w:val="007122EA"/>
    <w:rsid w:val="007125AF"/>
    <w:rsid w:val="00712B97"/>
    <w:rsid w:val="0071373B"/>
    <w:rsid w:val="007137CC"/>
    <w:rsid w:val="00714273"/>
    <w:rsid w:val="007143DA"/>
    <w:rsid w:val="00714B40"/>
    <w:rsid w:val="00714E60"/>
    <w:rsid w:val="00715DF7"/>
    <w:rsid w:val="00715FBB"/>
    <w:rsid w:val="00716AC6"/>
    <w:rsid w:val="00716E1D"/>
    <w:rsid w:val="00717305"/>
    <w:rsid w:val="00717A01"/>
    <w:rsid w:val="00720767"/>
    <w:rsid w:val="0072177C"/>
    <w:rsid w:val="00721B0F"/>
    <w:rsid w:val="00722189"/>
    <w:rsid w:val="007224D0"/>
    <w:rsid w:val="00722F6F"/>
    <w:rsid w:val="00723405"/>
    <w:rsid w:val="00723882"/>
    <w:rsid w:val="007241BC"/>
    <w:rsid w:val="00724CEF"/>
    <w:rsid w:val="00725C97"/>
    <w:rsid w:val="007261D7"/>
    <w:rsid w:val="0072706F"/>
    <w:rsid w:val="00727137"/>
    <w:rsid w:val="00727A17"/>
    <w:rsid w:val="00727BBA"/>
    <w:rsid w:val="007325A2"/>
    <w:rsid w:val="00732857"/>
    <w:rsid w:val="007328CF"/>
    <w:rsid w:val="00732D99"/>
    <w:rsid w:val="0073492C"/>
    <w:rsid w:val="00735048"/>
    <w:rsid w:val="00735526"/>
    <w:rsid w:val="007355D2"/>
    <w:rsid w:val="007360D9"/>
    <w:rsid w:val="00740BD9"/>
    <w:rsid w:val="00741BD7"/>
    <w:rsid w:val="00741C47"/>
    <w:rsid w:val="00742AC3"/>
    <w:rsid w:val="00742C5C"/>
    <w:rsid w:val="00743347"/>
    <w:rsid w:val="00743842"/>
    <w:rsid w:val="00743C10"/>
    <w:rsid w:val="00744469"/>
    <w:rsid w:val="00744E00"/>
    <w:rsid w:val="00745108"/>
    <w:rsid w:val="00745483"/>
    <w:rsid w:val="00745AD8"/>
    <w:rsid w:val="00745DC4"/>
    <w:rsid w:val="0074699A"/>
    <w:rsid w:val="00750029"/>
    <w:rsid w:val="00750300"/>
    <w:rsid w:val="007516A5"/>
    <w:rsid w:val="00751780"/>
    <w:rsid w:val="00751949"/>
    <w:rsid w:val="00751D5F"/>
    <w:rsid w:val="007539E9"/>
    <w:rsid w:val="00753AB7"/>
    <w:rsid w:val="00754325"/>
    <w:rsid w:val="00754562"/>
    <w:rsid w:val="0075581F"/>
    <w:rsid w:val="00756238"/>
    <w:rsid w:val="0075742A"/>
    <w:rsid w:val="00760577"/>
    <w:rsid w:val="00760F13"/>
    <w:rsid w:val="00761915"/>
    <w:rsid w:val="00761A82"/>
    <w:rsid w:val="00761D08"/>
    <w:rsid w:val="00762239"/>
    <w:rsid w:val="00763124"/>
    <w:rsid w:val="00763B79"/>
    <w:rsid w:val="007645FF"/>
    <w:rsid w:val="00765A34"/>
    <w:rsid w:val="00766BC9"/>
    <w:rsid w:val="00766FB9"/>
    <w:rsid w:val="00767069"/>
    <w:rsid w:val="0076762A"/>
    <w:rsid w:val="0076780C"/>
    <w:rsid w:val="00770188"/>
    <w:rsid w:val="00771DB9"/>
    <w:rsid w:val="007724D5"/>
    <w:rsid w:val="00772D6A"/>
    <w:rsid w:val="00773421"/>
    <w:rsid w:val="00773FE4"/>
    <w:rsid w:val="007745FE"/>
    <w:rsid w:val="00774BE8"/>
    <w:rsid w:val="00774E22"/>
    <w:rsid w:val="00775997"/>
    <w:rsid w:val="0077630F"/>
    <w:rsid w:val="00776ACD"/>
    <w:rsid w:val="00777AFE"/>
    <w:rsid w:val="00777F87"/>
    <w:rsid w:val="00780E61"/>
    <w:rsid w:val="00781B40"/>
    <w:rsid w:val="00781DEE"/>
    <w:rsid w:val="00782F93"/>
    <w:rsid w:val="00783280"/>
    <w:rsid w:val="0078348A"/>
    <w:rsid w:val="0078439E"/>
    <w:rsid w:val="00784FCF"/>
    <w:rsid w:val="0078567D"/>
    <w:rsid w:val="00786307"/>
    <w:rsid w:val="007909B3"/>
    <w:rsid w:val="007926D5"/>
    <w:rsid w:val="007933DD"/>
    <w:rsid w:val="007937C5"/>
    <w:rsid w:val="007942AD"/>
    <w:rsid w:val="00795F00"/>
    <w:rsid w:val="00796363"/>
    <w:rsid w:val="00796BF0"/>
    <w:rsid w:val="00797C38"/>
    <w:rsid w:val="007A00D5"/>
    <w:rsid w:val="007A02DF"/>
    <w:rsid w:val="007A0429"/>
    <w:rsid w:val="007A0E66"/>
    <w:rsid w:val="007A106F"/>
    <w:rsid w:val="007A2498"/>
    <w:rsid w:val="007A24BB"/>
    <w:rsid w:val="007A29D4"/>
    <w:rsid w:val="007A3C20"/>
    <w:rsid w:val="007A4238"/>
    <w:rsid w:val="007A430C"/>
    <w:rsid w:val="007A5BDE"/>
    <w:rsid w:val="007A7334"/>
    <w:rsid w:val="007B062B"/>
    <w:rsid w:val="007B1D47"/>
    <w:rsid w:val="007B1E4F"/>
    <w:rsid w:val="007B2E46"/>
    <w:rsid w:val="007B348B"/>
    <w:rsid w:val="007B3B43"/>
    <w:rsid w:val="007B4778"/>
    <w:rsid w:val="007B48BA"/>
    <w:rsid w:val="007B4A01"/>
    <w:rsid w:val="007B4AFC"/>
    <w:rsid w:val="007B4F7A"/>
    <w:rsid w:val="007B5150"/>
    <w:rsid w:val="007B601C"/>
    <w:rsid w:val="007B6A7F"/>
    <w:rsid w:val="007B7908"/>
    <w:rsid w:val="007B7955"/>
    <w:rsid w:val="007C11F4"/>
    <w:rsid w:val="007C17FC"/>
    <w:rsid w:val="007C2155"/>
    <w:rsid w:val="007C2A47"/>
    <w:rsid w:val="007C2C4A"/>
    <w:rsid w:val="007C2DEA"/>
    <w:rsid w:val="007C32BD"/>
    <w:rsid w:val="007C33B5"/>
    <w:rsid w:val="007C34A5"/>
    <w:rsid w:val="007C4CD5"/>
    <w:rsid w:val="007C52B7"/>
    <w:rsid w:val="007C5542"/>
    <w:rsid w:val="007C58E4"/>
    <w:rsid w:val="007C5C1F"/>
    <w:rsid w:val="007C5EDE"/>
    <w:rsid w:val="007C61F7"/>
    <w:rsid w:val="007C6E99"/>
    <w:rsid w:val="007C7142"/>
    <w:rsid w:val="007C7AFB"/>
    <w:rsid w:val="007D01A0"/>
    <w:rsid w:val="007D04AD"/>
    <w:rsid w:val="007D0603"/>
    <w:rsid w:val="007D0A9F"/>
    <w:rsid w:val="007D0D66"/>
    <w:rsid w:val="007D1A82"/>
    <w:rsid w:val="007D1D08"/>
    <w:rsid w:val="007D25AD"/>
    <w:rsid w:val="007D2A65"/>
    <w:rsid w:val="007D40C4"/>
    <w:rsid w:val="007D41E2"/>
    <w:rsid w:val="007D4ED5"/>
    <w:rsid w:val="007D6641"/>
    <w:rsid w:val="007D7195"/>
    <w:rsid w:val="007D7349"/>
    <w:rsid w:val="007D76C4"/>
    <w:rsid w:val="007D78F4"/>
    <w:rsid w:val="007D7EEF"/>
    <w:rsid w:val="007D7FDE"/>
    <w:rsid w:val="007E05B5"/>
    <w:rsid w:val="007E06E3"/>
    <w:rsid w:val="007E0752"/>
    <w:rsid w:val="007E08B4"/>
    <w:rsid w:val="007E0AC6"/>
    <w:rsid w:val="007E0D7B"/>
    <w:rsid w:val="007E16E6"/>
    <w:rsid w:val="007E32BD"/>
    <w:rsid w:val="007E656C"/>
    <w:rsid w:val="007E6919"/>
    <w:rsid w:val="007E79BB"/>
    <w:rsid w:val="007F09E0"/>
    <w:rsid w:val="007F0EBD"/>
    <w:rsid w:val="007F2CA7"/>
    <w:rsid w:val="007F2FA3"/>
    <w:rsid w:val="007F312E"/>
    <w:rsid w:val="007F31D9"/>
    <w:rsid w:val="007F353D"/>
    <w:rsid w:val="007F3847"/>
    <w:rsid w:val="007F3890"/>
    <w:rsid w:val="007F3975"/>
    <w:rsid w:val="007F4106"/>
    <w:rsid w:val="007F5D85"/>
    <w:rsid w:val="007F5E32"/>
    <w:rsid w:val="007F664B"/>
    <w:rsid w:val="007F722E"/>
    <w:rsid w:val="007F7693"/>
    <w:rsid w:val="008004F5"/>
    <w:rsid w:val="00800D8F"/>
    <w:rsid w:val="00801868"/>
    <w:rsid w:val="00801956"/>
    <w:rsid w:val="00802183"/>
    <w:rsid w:val="00802A9E"/>
    <w:rsid w:val="00802F87"/>
    <w:rsid w:val="00803155"/>
    <w:rsid w:val="00803A06"/>
    <w:rsid w:val="00806401"/>
    <w:rsid w:val="008073E6"/>
    <w:rsid w:val="00807B58"/>
    <w:rsid w:val="00811BB0"/>
    <w:rsid w:val="00811DBB"/>
    <w:rsid w:val="00812210"/>
    <w:rsid w:val="0081223B"/>
    <w:rsid w:val="00812C84"/>
    <w:rsid w:val="00813336"/>
    <w:rsid w:val="00815AFF"/>
    <w:rsid w:val="00816354"/>
    <w:rsid w:val="00816666"/>
    <w:rsid w:val="0081754F"/>
    <w:rsid w:val="00817EBC"/>
    <w:rsid w:val="0082003B"/>
    <w:rsid w:val="00820C60"/>
    <w:rsid w:val="00820E63"/>
    <w:rsid w:val="00821160"/>
    <w:rsid w:val="008217DB"/>
    <w:rsid w:val="0082184D"/>
    <w:rsid w:val="00821983"/>
    <w:rsid w:val="0082199A"/>
    <w:rsid w:val="00822DD6"/>
    <w:rsid w:val="00822F6F"/>
    <w:rsid w:val="00823DE5"/>
    <w:rsid w:val="00823EFA"/>
    <w:rsid w:val="008246A6"/>
    <w:rsid w:val="00824C0F"/>
    <w:rsid w:val="00825C9C"/>
    <w:rsid w:val="00825F06"/>
    <w:rsid w:val="0082604B"/>
    <w:rsid w:val="0082614F"/>
    <w:rsid w:val="0082622E"/>
    <w:rsid w:val="0082661B"/>
    <w:rsid w:val="00826B58"/>
    <w:rsid w:val="00826D44"/>
    <w:rsid w:val="00827634"/>
    <w:rsid w:val="00827916"/>
    <w:rsid w:val="00827C0D"/>
    <w:rsid w:val="00827DC9"/>
    <w:rsid w:val="00827DE2"/>
    <w:rsid w:val="0083042C"/>
    <w:rsid w:val="0083058B"/>
    <w:rsid w:val="0083125D"/>
    <w:rsid w:val="0083186B"/>
    <w:rsid w:val="0083221A"/>
    <w:rsid w:val="008325C4"/>
    <w:rsid w:val="008325DA"/>
    <w:rsid w:val="00832D5A"/>
    <w:rsid w:val="00833A0C"/>
    <w:rsid w:val="00833A84"/>
    <w:rsid w:val="008344F7"/>
    <w:rsid w:val="008346FB"/>
    <w:rsid w:val="00834762"/>
    <w:rsid w:val="00834825"/>
    <w:rsid w:val="00834D94"/>
    <w:rsid w:val="0083547E"/>
    <w:rsid w:val="00835688"/>
    <w:rsid w:val="00835BBC"/>
    <w:rsid w:val="00837999"/>
    <w:rsid w:val="008379F4"/>
    <w:rsid w:val="008400A3"/>
    <w:rsid w:val="0084029C"/>
    <w:rsid w:val="008407EE"/>
    <w:rsid w:val="00842AB8"/>
    <w:rsid w:val="0084366E"/>
    <w:rsid w:val="0084390C"/>
    <w:rsid w:val="00843B31"/>
    <w:rsid w:val="00844D2C"/>
    <w:rsid w:val="00845B57"/>
    <w:rsid w:val="00845E27"/>
    <w:rsid w:val="00846510"/>
    <w:rsid w:val="00846514"/>
    <w:rsid w:val="008473C5"/>
    <w:rsid w:val="008504B5"/>
    <w:rsid w:val="00850EFB"/>
    <w:rsid w:val="00851B6E"/>
    <w:rsid w:val="00851DBD"/>
    <w:rsid w:val="00851ED1"/>
    <w:rsid w:val="00852392"/>
    <w:rsid w:val="008528CB"/>
    <w:rsid w:val="00853079"/>
    <w:rsid w:val="008533E4"/>
    <w:rsid w:val="00853CBC"/>
    <w:rsid w:val="00855149"/>
    <w:rsid w:val="008557C6"/>
    <w:rsid w:val="008577BA"/>
    <w:rsid w:val="00857F10"/>
    <w:rsid w:val="008607BD"/>
    <w:rsid w:val="00860A63"/>
    <w:rsid w:val="00860E74"/>
    <w:rsid w:val="00860E86"/>
    <w:rsid w:val="00862AF0"/>
    <w:rsid w:val="0086425D"/>
    <w:rsid w:val="00864620"/>
    <w:rsid w:val="00865A29"/>
    <w:rsid w:val="008660BF"/>
    <w:rsid w:val="00866C9F"/>
    <w:rsid w:val="008671A5"/>
    <w:rsid w:val="008674D7"/>
    <w:rsid w:val="00867752"/>
    <w:rsid w:val="008704DD"/>
    <w:rsid w:val="008735A9"/>
    <w:rsid w:val="0087389D"/>
    <w:rsid w:val="0087393D"/>
    <w:rsid w:val="00874D53"/>
    <w:rsid w:val="008750A7"/>
    <w:rsid w:val="00876C88"/>
    <w:rsid w:val="008770F6"/>
    <w:rsid w:val="008771D1"/>
    <w:rsid w:val="00877221"/>
    <w:rsid w:val="0088145B"/>
    <w:rsid w:val="00881FD0"/>
    <w:rsid w:val="008824D7"/>
    <w:rsid w:val="00882754"/>
    <w:rsid w:val="008840E8"/>
    <w:rsid w:val="00884A19"/>
    <w:rsid w:val="00884DDB"/>
    <w:rsid w:val="0088505E"/>
    <w:rsid w:val="0088514D"/>
    <w:rsid w:val="00885A0C"/>
    <w:rsid w:val="00886365"/>
    <w:rsid w:val="00886A05"/>
    <w:rsid w:val="008870BF"/>
    <w:rsid w:val="0088731E"/>
    <w:rsid w:val="00887488"/>
    <w:rsid w:val="00887F4C"/>
    <w:rsid w:val="00890C24"/>
    <w:rsid w:val="00892A7A"/>
    <w:rsid w:val="00892D30"/>
    <w:rsid w:val="00892EE4"/>
    <w:rsid w:val="008931AC"/>
    <w:rsid w:val="00893809"/>
    <w:rsid w:val="00893925"/>
    <w:rsid w:val="00893EDA"/>
    <w:rsid w:val="008941B1"/>
    <w:rsid w:val="00894425"/>
    <w:rsid w:val="008944F4"/>
    <w:rsid w:val="00894BC8"/>
    <w:rsid w:val="00895293"/>
    <w:rsid w:val="00895E43"/>
    <w:rsid w:val="00895FC6"/>
    <w:rsid w:val="0089607C"/>
    <w:rsid w:val="00896312"/>
    <w:rsid w:val="00896515"/>
    <w:rsid w:val="00897342"/>
    <w:rsid w:val="008A0C9C"/>
    <w:rsid w:val="008A184F"/>
    <w:rsid w:val="008A1CBA"/>
    <w:rsid w:val="008A1F00"/>
    <w:rsid w:val="008A22C8"/>
    <w:rsid w:val="008A2B76"/>
    <w:rsid w:val="008A3AF4"/>
    <w:rsid w:val="008A448E"/>
    <w:rsid w:val="008A4DF1"/>
    <w:rsid w:val="008A6651"/>
    <w:rsid w:val="008A6CD6"/>
    <w:rsid w:val="008B0864"/>
    <w:rsid w:val="008B1424"/>
    <w:rsid w:val="008B1F2A"/>
    <w:rsid w:val="008B44A6"/>
    <w:rsid w:val="008B4A63"/>
    <w:rsid w:val="008B4AC5"/>
    <w:rsid w:val="008B4BB5"/>
    <w:rsid w:val="008B4FD3"/>
    <w:rsid w:val="008B50A5"/>
    <w:rsid w:val="008B57B9"/>
    <w:rsid w:val="008B595A"/>
    <w:rsid w:val="008B5BDE"/>
    <w:rsid w:val="008B6246"/>
    <w:rsid w:val="008B629D"/>
    <w:rsid w:val="008B725E"/>
    <w:rsid w:val="008B772C"/>
    <w:rsid w:val="008B79DF"/>
    <w:rsid w:val="008C02D0"/>
    <w:rsid w:val="008C0A72"/>
    <w:rsid w:val="008C154C"/>
    <w:rsid w:val="008C1716"/>
    <w:rsid w:val="008C2130"/>
    <w:rsid w:val="008C2800"/>
    <w:rsid w:val="008C2EDB"/>
    <w:rsid w:val="008C3CBE"/>
    <w:rsid w:val="008C4B42"/>
    <w:rsid w:val="008C7124"/>
    <w:rsid w:val="008C7E44"/>
    <w:rsid w:val="008C7EB7"/>
    <w:rsid w:val="008D0E76"/>
    <w:rsid w:val="008D14A9"/>
    <w:rsid w:val="008D1AAF"/>
    <w:rsid w:val="008D24DB"/>
    <w:rsid w:val="008D27B7"/>
    <w:rsid w:val="008D2E6F"/>
    <w:rsid w:val="008D31F4"/>
    <w:rsid w:val="008D37EC"/>
    <w:rsid w:val="008D3806"/>
    <w:rsid w:val="008D3987"/>
    <w:rsid w:val="008D449D"/>
    <w:rsid w:val="008D44AA"/>
    <w:rsid w:val="008D45C1"/>
    <w:rsid w:val="008D4C14"/>
    <w:rsid w:val="008D51E7"/>
    <w:rsid w:val="008D56B0"/>
    <w:rsid w:val="008D72E0"/>
    <w:rsid w:val="008D7771"/>
    <w:rsid w:val="008D7E8B"/>
    <w:rsid w:val="008E0A82"/>
    <w:rsid w:val="008E1D55"/>
    <w:rsid w:val="008E2245"/>
    <w:rsid w:val="008E2CA1"/>
    <w:rsid w:val="008E2FF5"/>
    <w:rsid w:val="008E39FA"/>
    <w:rsid w:val="008E3E7B"/>
    <w:rsid w:val="008E6069"/>
    <w:rsid w:val="008E6F7E"/>
    <w:rsid w:val="008E7C4D"/>
    <w:rsid w:val="008E7F17"/>
    <w:rsid w:val="008F01C0"/>
    <w:rsid w:val="008F12AA"/>
    <w:rsid w:val="008F16DE"/>
    <w:rsid w:val="008F1A4F"/>
    <w:rsid w:val="008F271B"/>
    <w:rsid w:val="008F2722"/>
    <w:rsid w:val="008F33D5"/>
    <w:rsid w:val="008F3C1D"/>
    <w:rsid w:val="008F448C"/>
    <w:rsid w:val="008F4F52"/>
    <w:rsid w:val="008F569E"/>
    <w:rsid w:val="008F617D"/>
    <w:rsid w:val="008F649D"/>
    <w:rsid w:val="008F6A9C"/>
    <w:rsid w:val="008F7AF7"/>
    <w:rsid w:val="00900152"/>
    <w:rsid w:val="009003A0"/>
    <w:rsid w:val="00901E11"/>
    <w:rsid w:val="00902061"/>
    <w:rsid w:val="009020FD"/>
    <w:rsid w:val="00902516"/>
    <w:rsid w:val="00902EFF"/>
    <w:rsid w:val="0090394D"/>
    <w:rsid w:val="00904143"/>
    <w:rsid w:val="00904392"/>
    <w:rsid w:val="00905625"/>
    <w:rsid w:val="00905DCF"/>
    <w:rsid w:val="009062E4"/>
    <w:rsid w:val="0090637D"/>
    <w:rsid w:val="00906611"/>
    <w:rsid w:val="00907253"/>
    <w:rsid w:val="0090769B"/>
    <w:rsid w:val="00907B6A"/>
    <w:rsid w:val="0091058F"/>
    <w:rsid w:val="009108B8"/>
    <w:rsid w:val="00910B8F"/>
    <w:rsid w:val="00911F1B"/>
    <w:rsid w:val="00912426"/>
    <w:rsid w:val="00912704"/>
    <w:rsid w:val="00912A95"/>
    <w:rsid w:val="009130EC"/>
    <w:rsid w:val="009137E2"/>
    <w:rsid w:val="00913D87"/>
    <w:rsid w:val="009141A8"/>
    <w:rsid w:val="00915686"/>
    <w:rsid w:val="00916F2D"/>
    <w:rsid w:val="00917757"/>
    <w:rsid w:val="00917D1F"/>
    <w:rsid w:val="00920825"/>
    <w:rsid w:val="009208FB"/>
    <w:rsid w:val="00921080"/>
    <w:rsid w:val="00921B19"/>
    <w:rsid w:val="00922514"/>
    <w:rsid w:val="009228E3"/>
    <w:rsid w:val="00922AF0"/>
    <w:rsid w:val="009251D3"/>
    <w:rsid w:val="00925A8C"/>
    <w:rsid w:val="00925C4D"/>
    <w:rsid w:val="0092631F"/>
    <w:rsid w:val="009264DD"/>
    <w:rsid w:val="009264E7"/>
    <w:rsid w:val="0092695A"/>
    <w:rsid w:val="00926B60"/>
    <w:rsid w:val="0092700E"/>
    <w:rsid w:val="00927831"/>
    <w:rsid w:val="00927ECD"/>
    <w:rsid w:val="0093047E"/>
    <w:rsid w:val="00930FD8"/>
    <w:rsid w:val="009314EC"/>
    <w:rsid w:val="00932455"/>
    <w:rsid w:val="009326A8"/>
    <w:rsid w:val="009341B4"/>
    <w:rsid w:val="009342AC"/>
    <w:rsid w:val="009367D0"/>
    <w:rsid w:val="00937628"/>
    <w:rsid w:val="009407CD"/>
    <w:rsid w:val="00941491"/>
    <w:rsid w:val="00941528"/>
    <w:rsid w:val="00943520"/>
    <w:rsid w:val="0094372F"/>
    <w:rsid w:val="00943EDF"/>
    <w:rsid w:val="0094475D"/>
    <w:rsid w:val="00945AD3"/>
    <w:rsid w:val="00946866"/>
    <w:rsid w:val="00947733"/>
    <w:rsid w:val="00947A4C"/>
    <w:rsid w:val="00950395"/>
    <w:rsid w:val="009503B8"/>
    <w:rsid w:val="0095040C"/>
    <w:rsid w:val="009508D9"/>
    <w:rsid w:val="00950B72"/>
    <w:rsid w:val="00950CC4"/>
    <w:rsid w:val="009514A1"/>
    <w:rsid w:val="00951B74"/>
    <w:rsid w:val="009526BA"/>
    <w:rsid w:val="0095365D"/>
    <w:rsid w:val="00953D66"/>
    <w:rsid w:val="00954235"/>
    <w:rsid w:val="00954470"/>
    <w:rsid w:val="00954471"/>
    <w:rsid w:val="00954845"/>
    <w:rsid w:val="009559E4"/>
    <w:rsid w:val="00955B9E"/>
    <w:rsid w:val="00955C8A"/>
    <w:rsid w:val="0095627B"/>
    <w:rsid w:val="009563BB"/>
    <w:rsid w:val="00956640"/>
    <w:rsid w:val="00957271"/>
    <w:rsid w:val="009576E4"/>
    <w:rsid w:val="00957813"/>
    <w:rsid w:val="00957A04"/>
    <w:rsid w:val="00957E37"/>
    <w:rsid w:val="00957FC4"/>
    <w:rsid w:val="009603D0"/>
    <w:rsid w:val="00960870"/>
    <w:rsid w:val="00960BF0"/>
    <w:rsid w:val="00960F97"/>
    <w:rsid w:val="0096153B"/>
    <w:rsid w:val="00961623"/>
    <w:rsid w:val="009637A0"/>
    <w:rsid w:val="0096486F"/>
    <w:rsid w:val="00965100"/>
    <w:rsid w:val="00965AF2"/>
    <w:rsid w:val="00966D00"/>
    <w:rsid w:val="009716F2"/>
    <w:rsid w:val="00972F22"/>
    <w:rsid w:val="009734BD"/>
    <w:rsid w:val="00975C25"/>
    <w:rsid w:val="00975C85"/>
    <w:rsid w:val="009766A1"/>
    <w:rsid w:val="00976C98"/>
    <w:rsid w:val="00977552"/>
    <w:rsid w:val="00980D01"/>
    <w:rsid w:val="0098132C"/>
    <w:rsid w:val="009814DD"/>
    <w:rsid w:val="00981872"/>
    <w:rsid w:val="00982402"/>
    <w:rsid w:val="00983D5F"/>
    <w:rsid w:val="00985AB3"/>
    <w:rsid w:val="00985DD2"/>
    <w:rsid w:val="0098660E"/>
    <w:rsid w:val="0098677B"/>
    <w:rsid w:val="00986BBD"/>
    <w:rsid w:val="009874E6"/>
    <w:rsid w:val="00987987"/>
    <w:rsid w:val="00991EC1"/>
    <w:rsid w:val="009921AC"/>
    <w:rsid w:val="00994D71"/>
    <w:rsid w:val="00995616"/>
    <w:rsid w:val="00995ED3"/>
    <w:rsid w:val="00996593"/>
    <w:rsid w:val="009969D7"/>
    <w:rsid w:val="00997118"/>
    <w:rsid w:val="009974CC"/>
    <w:rsid w:val="00997739"/>
    <w:rsid w:val="009978D4"/>
    <w:rsid w:val="00997EF3"/>
    <w:rsid w:val="00997F9E"/>
    <w:rsid w:val="009A00F9"/>
    <w:rsid w:val="009A031F"/>
    <w:rsid w:val="009A19F3"/>
    <w:rsid w:val="009A1F5D"/>
    <w:rsid w:val="009A1FF0"/>
    <w:rsid w:val="009A2085"/>
    <w:rsid w:val="009A2EF1"/>
    <w:rsid w:val="009A3696"/>
    <w:rsid w:val="009A3BC1"/>
    <w:rsid w:val="009A3F75"/>
    <w:rsid w:val="009A4537"/>
    <w:rsid w:val="009A4775"/>
    <w:rsid w:val="009A47E3"/>
    <w:rsid w:val="009A55CF"/>
    <w:rsid w:val="009A586D"/>
    <w:rsid w:val="009A6208"/>
    <w:rsid w:val="009A67C9"/>
    <w:rsid w:val="009A6BC1"/>
    <w:rsid w:val="009A6D05"/>
    <w:rsid w:val="009A7820"/>
    <w:rsid w:val="009A7F14"/>
    <w:rsid w:val="009B04AF"/>
    <w:rsid w:val="009B0755"/>
    <w:rsid w:val="009B0DDF"/>
    <w:rsid w:val="009B20AD"/>
    <w:rsid w:val="009B31E6"/>
    <w:rsid w:val="009B3682"/>
    <w:rsid w:val="009B3C98"/>
    <w:rsid w:val="009B4A71"/>
    <w:rsid w:val="009B4BFB"/>
    <w:rsid w:val="009B4C6F"/>
    <w:rsid w:val="009B563C"/>
    <w:rsid w:val="009B5D6E"/>
    <w:rsid w:val="009B6791"/>
    <w:rsid w:val="009B764C"/>
    <w:rsid w:val="009B7955"/>
    <w:rsid w:val="009B7B83"/>
    <w:rsid w:val="009C06CA"/>
    <w:rsid w:val="009C09FE"/>
    <w:rsid w:val="009C1A52"/>
    <w:rsid w:val="009C1AE3"/>
    <w:rsid w:val="009C2B2F"/>
    <w:rsid w:val="009C4710"/>
    <w:rsid w:val="009C4E2C"/>
    <w:rsid w:val="009C5A25"/>
    <w:rsid w:val="009C6033"/>
    <w:rsid w:val="009C6D75"/>
    <w:rsid w:val="009C76E3"/>
    <w:rsid w:val="009D0026"/>
    <w:rsid w:val="009D12BB"/>
    <w:rsid w:val="009D209A"/>
    <w:rsid w:val="009D3683"/>
    <w:rsid w:val="009D393E"/>
    <w:rsid w:val="009D39AB"/>
    <w:rsid w:val="009D40CA"/>
    <w:rsid w:val="009D430B"/>
    <w:rsid w:val="009D5532"/>
    <w:rsid w:val="009D577D"/>
    <w:rsid w:val="009D5A45"/>
    <w:rsid w:val="009D5CA0"/>
    <w:rsid w:val="009D60C2"/>
    <w:rsid w:val="009D614B"/>
    <w:rsid w:val="009D68B9"/>
    <w:rsid w:val="009D6BE7"/>
    <w:rsid w:val="009D7551"/>
    <w:rsid w:val="009D788B"/>
    <w:rsid w:val="009E0162"/>
    <w:rsid w:val="009E1083"/>
    <w:rsid w:val="009E1713"/>
    <w:rsid w:val="009E1838"/>
    <w:rsid w:val="009E2221"/>
    <w:rsid w:val="009E2A58"/>
    <w:rsid w:val="009E3156"/>
    <w:rsid w:val="009E4BA8"/>
    <w:rsid w:val="009E52D7"/>
    <w:rsid w:val="009E639B"/>
    <w:rsid w:val="009E682C"/>
    <w:rsid w:val="009E6A28"/>
    <w:rsid w:val="009E6EC6"/>
    <w:rsid w:val="009E7131"/>
    <w:rsid w:val="009E781A"/>
    <w:rsid w:val="009F1AFE"/>
    <w:rsid w:val="009F3324"/>
    <w:rsid w:val="009F5D22"/>
    <w:rsid w:val="009F6F38"/>
    <w:rsid w:val="009F7A1C"/>
    <w:rsid w:val="00A000CA"/>
    <w:rsid w:val="00A00639"/>
    <w:rsid w:val="00A01489"/>
    <w:rsid w:val="00A01B7C"/>
    <w:rsid w:val="00A01E00"/>
    <w:rsid w:val="00A0221A"/>
    <w:rsid w:val="00A0394D"/>
    <w:rsid w:val="00A04837"/>
    <w:rsid w:val="00A052A3"/>
    <w:rsid w:val="00A05DD2"/>
    <w:rsid w:val="00A064CC"/>
    <w:rsid w:val="00A075D5"/>
    <w:rsid w:val="00A104FC"/>
    <w:rsid w:val="00A108C3"/>
    <w:rsid w:val="00A10B2D"/>
    <w:rsid w:val="00A110F7"/>
    <w:rsid w:val="00A124D9"/>
    <w:rsid w:val="00A129F3"/>
    <w:rsid w:val="00A12E28"/>
    <w:rsid w:val="00A137F7"/>
    <w:rsid w:val="00A13982"/>
    <w:rsid w:val="00A13B42"/>
    <w:rsid w:val="00A142FF"/>
    <w:rsid w:val="00A147DB"/>
    <w:rsid w:val="00A14D09"/>
    <w:rsid w:val="00A14DE7"/>
    <w:rsid w:val="00A15A25"/>
    <w:rsid w:val="00A15B7C"/>
    <w:rsid w:val="00A160AD"/>
    <w:rsid w:val="00A161A9"/>
    <w:rsid w:val="00A1669E"/>
    <w:rsid w:val="00A16D17"/>
    <w:rsid w:val="00A16EFD"/>
    <w:rsid w:val="00A174D4"/>
    <w:rsid w:val="00A20BC5"/>
    <w:rsid w:val="00A21054"/>
    <w:rsid w:val="00A21497"/>
    <w:rsid w:val="00A2228C"/>
    <w:rsid w:val="00A22750"/>
    <w:rsid w:val="00A231DE"/>
    <w:rsid w:val="00A24DA0"/>
    <w:rsid w:val="00A24DBB"/>
    <w:rsid w:val="00A25B0F"/>
    <w:rsid w:val="00A26209"/>
    <w:rsid w:val="00A2713E"/>
    <w:rsid w:val="00A271B5"/>
    <w:rsid w:val="00A276D8"/>
    <w:rsid w:val="00A27CEB"/>
    <w:rsid w:val="00A27F1A"/>
    <w:rsid w:val="00A301EC"/>
    <w:rsid w:val="00A3041C"/>
    <w:rsid w:val="00A3172A"/>
    <w:rsid w:val="00A3172D"/>
    <w:rsid w:val="00A32929"/>
    <w:rsid w:val="00A33336"/>
    <w:rsid w:val="00A33B5D"/>
    <w:rsid w:val="00A33CC7"/>
    <w:rsid w:val="00A34F03"/>
    <w:rsid w:val="00A35435"/>
    <w:rsid w:val="00A35DA0"/>
    <w:rsid w:val="00A374B1"/>
    <w:rsid w:val="00A400D9"/>
    <w:rsid w:val="00A413F7"/>
    <w:rsid w:val="00A41973"/>
    <w:rsid w:val="00A420CE"/>
    <w:rsid w:val="00A4271C"/>
    <w:rsid w:val="00A42774"/>
    <w:rsid w:val="00A43410"/>
    <w:rsid w:val="00A43695"/>
    <w:rsid w:val="00A43DB9"/>
    <w:rsid w:val="00A440C8"/>
    <w:rsid w:val="00A44630"/>
    <w:rsid w:val="00A44D94"/>
    <w:rsid w:val="00A44E07"/>
    <w:rsid w:val="00A45128"/>
    <w:rsid w:val="00A4517E"/>
    <w:rsid w:val="00A45357"/>
    <w:rsid w:val="00A463E7"/>
    <w:rsid w:val="00A47081"/>
    <w:rsid w:val="00A502E5"/>
    <w:rsid w:val="00A5076A"/>
    <w:rsid w:val="00A5145B"/>
    <w:rsid w:val="00A51B13"/>
    <w:rsid w:val="00A51DC1"/>
    <w:rsid w:val="00A52030"/>
    <w:rsid w:val="00A521F4"/>
    <w:rsid w:val="00A5313B"/>
    <w:rsid w:val="00A53B08"/>
    <w:rsid w:val="00A54254"/>
    <w:rsid w:val="00A544A4"/>
    <w:rsid w:val="00A54563"/>
    <w:rsid w:val="00A547C5"/>
    <w:rsid w:val="00A5547F"/>
    <w:rsid w:val="00A5727A"/>
    <w:rsid w:val="00A604A4"/>
    <w:rsid w:val="00A60894"/>
    <w:rsid w:val="00A6165A"/>
    <w:rsid w:val="00A627E3"/>
    <w:rsid w:val="00A6296B"/>
    <w:rsid w:val="00A62BF9"/>
    <w:rsid w:val="00A63363"/>
    <w:rsid w:val="00A640D3"/>
    <w:rsid w:val="00A644C5"/>
    <w:rsid w:val="00A654CA"/>
    <w:rsid w:val="00A662D6"/>
    <w:rsid w:val="00A675BA"/>
    <w:rsid w:val="00A67864"/>
    <w:rsid w:val="00A67EC1"/>
    <w:rsid w:val="00A67FF0"/>
    <w:rsid w:val="00A70962"/>
    <w:rsid w:val="00A70B4A"/>
    <w:rsid w:val="00A71494"/>
    <w:rsid w:val="00A718F2"/>
    <w:rsid w:val="00A71977"/>
    <w:rsid w:val="00A71B9D"/>
    <w:rsid w:val="00A72622"/>
    <w:rsid w:val="00A72AB9"/>
    <w:rsid w:val="00A72CD4"/>
    <w:rsid w:val="00A73240"/>
    <w:rsid w:val="00A7325E"/>
    <w:rsid w:val="00A7345B"/>
    <w:rsid w:val="00A7352E"/>
    <w:rsid w:val="00A7426B"/>
    <w:rsid w:val="00A76613"/>
    <w:rsid w:val="00A77DC2"/>
    <w:rsid w:val="00A80687"/>
    <w:rsid w:val="00A816B2"/>
    <w:rsid w:val="00A82F5A"/>
    <w:rsid w:val="00A83598"/>
    <w:rsid w:val="00A83E10"/>
    <w:rsid w:val="00A840B1"/>
    <w:rsid w:val="00A84468"/>
    <w:rsid w:val="00A845C7"/>
    <w:rsid w:val="00A854A3"/>
    <w:rsid w:val="00A85EEF"/>
    <w:rsid w:val="00A861D2"/>
    <w:rsid w:val="00A8649F"/>
    <w:rsid w:val="00A90165"/>
    <w:rsid w:val="00A90C4D"/>
    <w:rsid w:val="00A90F20"/>
    <w:rsid w:val="00A9185E"/>
    <w:rsid w:val="00A91DBE"/>
    <w:rsid w:val="00A938F3"/>
    <w:rsid w:val="00A948E9"/>
    <w:rsid w:val="00A950DB"/>
    <w:rsid w:val="00A955DC"/>
    <w:rsid w:val="00A95D14"/>
    <w:rsid w:val="00A95E94"/>
    <w:rsid w:val="00A95F76"/>
    <w:rsid w:val="00A96DD3"/>
    <w:rsid w:val="00A97476"/>
    <w:rsid w:val="00A978EA"/>
    <w:rsid w:val="00A97CE2"/>
    <w:rsid w:val="00AA04B6"/>
    <w:rsid w:val="00AA0729"/>
    <w:rsid w:val="00AA2423"/>
    <w:rsid w:val="00AA282C"/>
    <w:rsid w:val="00AA2C91"/>
    <w:rsid w:val="00AA3F50"/>
    <w:rsid w:val="00AA42D6"/>
    <w:rsid w:val="00AA42EB"/>
    <w:rsid w:val="00AA4B9B"/>
    <w:rsid w:val="00AA572E"/>
    <w:rsid w:val="00AA7979"/>
    <w:rsid w:val="00AB0687"/>
    <w:rsid w:val="00AB1B38"/>
    <w:rsid w:val="00AB1EE4"/>
    <w:rsid w:val="00AB2E25"/>
    <w:rsid w:val="00AB33B7"/>
    <w:rsid w:val="00AB3936"/>
    <w:rsid w:val="00AB3BCE"/>
    <w:rsid w:val="00AB3C59"/>
    <w:rsid w:val="00AB3FF2"/>
    <w:rsid w:val="00AB4418"/>
    <w:rsid w:val="00AB4E95"/>
    <w:rsid w:val="00AB588A"/>
    <w:rsid w:val="00AB5BE4"/>
    <w:rsid w:val="00AB5E04"/>
    <w:rsid w:val="00AB6B36"/>
    <w:rsid w:val="00AB6D2A"/>
    <w:rsid w:val="00AB717C"/>
    <w:rsid w:val="00AB72BA"/>
    <w:rsid w:val="00AB7AC9"/>
    <w:rsid w:val="00AC0073"/>
    <w:rsid w:val="00AC0FC8"/>
    <w:rsid w:val="00AC12E6"/>
    <w:rsid w:val="00AC18C7"/>
    <w:rsid w:val="00AC22CF"/>
    <w:rsid w:val="00AC3986"/>
    <w:rsid w:val="00AC4978"/>
    <w:rsid w:val="00AC65CC"/>
    <w:rsid w:val="00AC66D2"/>
    <w:rsid w:val="00AC7072"/>
    <w:rsid w:val="00AC757D"/>
    <w:rsid w:val="00AD1582"/>
    <w:rsid w:val="00AD272E"/>
    <w:rsid w:val="00AD279E"/>
    <w:rsid w:val="00AD2999"/>
    <w:rsid w:val="00AD36F9"/>
    <w:rsid w:val="00AD370F"/>
    <w:rsid w:val="00AD3812"/>
    <w:rsid w:val="00AD4377"/>
    <w:rsid w:val="00AD4F26"/>
    <w:rsid w:val="00AD5BB6"/>
    <w:rsid w:val="00AD644D"/>
    <w:rsid w:val="00AD6880"/>
    <w:rsid w:val="00AD736B"/>
    <w:rsid w:val="00AE042C"/>
    <w:rsid w:val="00AE068C"/>
    <w:rsid w:val="00AE0AA7"/>
    <w:rsid w:val="00AE0D89"/>
    <w:rsid w:val="00AE1ADA"/>
    <w:rsid w:val="00AE1C32"/>
    <w:rsid w:val="00AE2082"/>
    <w:rsid w:val="00AE2438"/>
    <w:rsid w:val="00AE2522"/>
    <w:rsid w:val="00AE27A6"/>
    <w:rsid w:val="00AE2ABD"/>
    <w:rsid w:val="00AE2D48"/>
    <w:rsid w:val="00AE302D"/>
    <w:rsid w:val="00AE3E20"/>
    <w:rsid w:val="00AE3F60"/>
    <w:rsid w:val="00AE49D4"/>
    <w:rsid w:val="00AE4B96"/>
    <w:rsid w:val="00AE540D"/>
    <w:rsid w:val="00AE553B"/>
    <w:rsid w:val="00AE5641"/>
    <w:rsid w:val="00AE5E67"/>
    <w:rsid w:val="00AE67F8"/>
    <w:rsid w:val="00AE721E"/>
    <w:rsid w:val="00AE779F"/>
    <w:rsid w:val="00AF015F"/>
    <w:rsid w:val="00AF09F9"/>
    <w:rsid w:val="00AF162A"/>
    <w:rsid w:val="00AF3096"/>
    <w:rsid w:val="00AF3E95"/>
    <w:rsid w:val="00AF4665"/>
    <w:rsid w:val="00AF5E0B"/>
    <w:rsid w:val="00AF6349"/>
    <w:rsid w:val="00AF6524"/>
    <w:rsid w:val="00AF6C57"/>
    <w:rsid w:val="00AF6EFE"/>
    <w:rsid w:val="00AF73DF"/>
    <w:rsid w:val="00AF7CC6"/>
    <w:rsid w:val="00B01809"/>
    <w:rsid w:val="00B01E6B"/>
    <w:rsid w:val="00B0265D"/>
    <w:rsid w:val="00B0283E"/>
    <w:rsid w:val="00B02BDD"/>
    <w:rsid w:val="00B02DF7"/>
    <w:rsid w:val="00B03021"/>
    <w:rsid w:val="00B033F4"/>
    <w:rsid w:val="00B04FEC"/>
    <w:rsid w:val="00B0688B"/>
    <w:rsid w:val="00B068B5"/>
    <w:rsid w:val="00B06DB1"/>
    <w:rsid w:val="00B06E0C"/>
    <w:rsid w:val="00B07126"/>
    <w:rsid w:val="00B10786"/>
    <w:rsid w:val="00B10907"/>
    <w:rsid w:val="00B10909"/>
    <w:rsid w:val="00B10F10"/>
    <w:rsid w:val="00B11331"/>
    <w:rsid w:val="00B117F6"/>
    <w:rsid w:val="00B11E90"/>
    <w:rsid w:val="00B12047"/>
    <w:rsid w:val="00B12201"/>
    <w:rsid w:val="00B133D8"/>
    <w:rsid w:val="00B13833"/>
    <w:rsid w:val="00B13D51"/>
    <w:rsid w:val="00B14433"/>
    <w:rsid w:val="00B14A37"/>
    <w:rsid w:val="00B16CE4"/>
    <w:rsid w:val="00B16D1D"/>
    <w:rsid w:val="00B16E69"/>
    <w:rsid w:val="00B20494"/>
    <w:rsid w:val="00B2066F"/>
    <w:rsid w:val="00B208CD"/>
    <w:rsid w:val="00B226CD"/>
    <w:rsid w:val="00B2336A"/>
    <w:rsid w:val="00B234AD"/>
    <w:rsid w:val="00B23CA0"/>
    <w:rsid w:val="00B2594D"/>
    <w:rsid w:val="00B25F7A"/>
    <w:rsid w:val="00B26267"/>
    <w:rsid w:val="00B27215"/>
    <w:rsid w:val="00B2778E"/>
    <w:rsid w:val="00B30497"/>
    <w:rsid w:val="00B3257C"/>
    <w:rsid w:val="00B33383"/>
    <w:rsid w:val="00B33398"/>
    <w:rsid w:val="00B33DDD"/>
    <w:rsid w:val="00B36132"/>
    <w:rsid w:val="00B3617A"/>
    <w:rsid w:val="00B36214"/>
    <w:rsid w:val="00B36B99"/>
    <w:rsid w:val="00B36D2C"/>
    <w:rsid w:val="00B36E89"/>
    <w:rsid w:val="00B40371"/>
    <w:rsid w:val="00B4062C"/>
    <w:rsid w:val="00B4075F"/>
    <w:rsid w:val="00B411E4"/>
    <w:rsid w:val="00B4167A"/>
    <w:rsid w:val="00B42576"/>
    <w:rsid w:val="00B437F9"/>
    <w:rsid w:val="00B446BF"/>
    <w:rsid w:val="00B44ADE"/>
    <w:rsid w:val="00B453A5"/>
    <w:rsid w:val="00B4597A"/>
    <w:rsid w:val="00B45A8F"/>
    <w:rsid w:val="00B468B0"/>
    <w:rsid w:val="00B50AB7"/>
    <w:rsid w:val="00B50EDD"/>
    <w:rsid w:val="00B531DA"/>
    <w:rsid w:val="00B53682"/>
    <w:rsid w:val="00B55B9F"/>
    <w:rsid w:val="00B56427"/>
    <w:rsid w:val="00B56764"/>
    <w:rsid w:val="00B56866"/>
    <w:rsid w:val="00B570D1"/>
    <w:rsid w:val="00B57E11"/>
    <w:rsid w:val="00B57ECB"/>
    <w:rsid w:val="00B57FB7"/>
    <w:rsid w:val="00B600A7"/>
    <w:rsid w:val="00B600FC"/>
    <w:rsid w:val="00B60473"/>
    <w:rsid w:val="00B607A0"/>
    <w:rsid w:val="00B6102A"/>
    <w:rsid w:val="00B6182C"/>
    <w:rsid w:val="00B61B79"/>
    <w:rsid w:val="00B61D96"/>
    <w:rsid w:val="00B61F69"/>
    <w:rsid w:val="00B623D5"/>
    <w:rsid w:val="00B62A94"/>
    <w:rsid w:val="00B62B0B"/>
    <w:rsid w:val="00B633E3"/>
    <w:rsid w:val="00B6354C"/>
    <w:rsid w:val="00B635C0"/>
    <w:rsid w:val="00B639AE"/>
    <w:rsid w:val="00B63BC5"/>
    <w:rsid w:val="00B6486A"/>
    <w:rsid w:val="00B64C69"/>
    <w:rsid w:val="00B64FE9"/>
    <w:rsid w:val="00B6554D"/>
    <w:rsid w:val="00B66ADA"/>
    <w:rsid w:val="00B67B3D"/>
    <w:rsid w:val="00B67E26"/>
    <w:rsid w:val="00B70A77"/>
    <w:rsid w:val="00B70FEA"/>
    <w:rsid w:val="00B7208B"/>
    <w:rsid w:val="00B72B19"/>
    <w:rsid w:val="00B72F87"/>
    <w:rsid w:val="00B7305B"/>
    <w:rsid w:val="00B73BA8"/>
    <w:rsid w:val="00B73F50"/>
    <w:rsid w:val="00B73F56"/>
    <w:rsid w:val="00B7423F"/>
    <w:rsid w:val="00B744FD"/>
    <w:rsid w:val="00B74770"/>
    <w:rsid w:val="00B750B3"/>
    <w:rsid w:val="00B7692B"/>
    <w:rsid w:val="00B772A4"/>
    <w:rsid w:val="00B80970"/>
    <w:rsid w:val="00B80B06"/>
    <w:rsid w:val="00B817CC"/>
    <w:rsid w:val="00B82E10"/>
    <w:rsid w:val="00B831BA"/>
    <w:rsid w:val="00B851E2"/>
    <w:rsid w:val="00B85C21"/>
    <w:rsid w:val="00B85F7C"/>
    <w:rsid w:val="00B85F87"/>
    <w:rsid w:val="00B867C7"/>
    <w:rsid w:val="00B86C71"/>
    <w:rsid w:val="00B87925"/>
    <w:rsid w:val="00B87AC9"/>
    <w:rsid w:val="00B87C77"/>
    <w:rsid w:val="00B92516"/>
    <w:rsid w:val="00B9360A"/>
    <w:rsid w:val="00B94BD5"/>
    <w:rsid w:val="00B95E56"/>
    <w:rsid w:val="00B96E0C"/>
    <w:rsid w:val="00BA05AF"/>
    <w:rsid w:val="00BA05CB"/>
    <w:rsid w:val="00BA1244"/>
    <w:rsid w:val="00BA1976"/>
    <w:rsid w:val="00BA1CE0"/>
    <w:rsid w:val="00BA20BF"/>
    <w:rsid w:val="00BA238B"/>
    <w:rsid w:val="00BA2EF0"/>
    <w:rsid w:val="00BA3B9E"/>
    <w:rsid w:val="00BA3D32"/>
    <w:rsid w:val="00BA3DCF"/>
    <w:rsid w:val="00BA714C"/>
    <w:rsid w:val="00BA72B1"/>
    <w:rsid w:val="00BA7DC0"/>
    <w:rsid w:val="00BA7DFB"/>
    <w:rsid w:val="00BB0D2B"/>
    <w:rsid w:val="00BB1F54"/>
    <w:rsid w:val="00BB23E7"/>
    <w:rsid w:val="00BB3BBC"/>
    <w:rsid w:val="00BB3C65"/>
    <w:rsid w:val="00BB47D6"/>
    <w:rsid w:val="00BB4BB2"/>
    <w:rsid w:val="00BB653D"/>
    <w:rsid w:val="00BC0290"/>
    <w:rsid w:val="00BC1675"/>
    <w:rsid w:val="00BC1AA8"/>
    <w:rsid w:val="00BC1F59"/>
    <w:rsid w:val="00BC2F5D"/>
    <w:rsid w:val="00BC3558"/>
    <w:rsid w:val="00BC41DA"/>
    <w:rsid w:val="00BC427A"/>
    <w:rsid w:val="00BC42E9"/>
    <w:rsid w:val="00BC4900"/>
    <w:rsid w:val="00BC4D62"/>
    <w:rsid w:val="00BC53BD"/>
    <w:rsid w:val="00BC5673"/>
    <w:rsid w:val="00BC5D13"/>
    <w:rsid w:val="00BC62BA"/>
    <w:rsid w:val="00BC6D48"/>
    <w:rsid w:val="00BC6E6A"/>
    <w:rsid w:val="00BC7770"/>
    <w:rsid w:val="00BD0284"/>
    <w:rsid w:val="00BD0705"/>
    <w:rsid w:val="00BD140E"/>
    <w:rsid w:val="00BD1F1D"/>
    <w:rsid w:val="00BD2328"/>
    <w:rsid w:val="00BD275A"/>
    <w:rsid w:val="00BD2D08"/>
    <w:rsid w:val="00BD2DA1"/>
    <w:rsid w:val="00BD4497"/>
    <w:rsid w:val="00BD46C6"/>
    <w:rsid w:val="00BD4F67"/>
    <w:rsid w:val="00BD5B10"/>
    <w:rsid w:val="00BD62C1"/>
    <w:rsid w:val="00BD6C8F"/>
    <w:rsid w:val="00BD6D58"/>
    <w:rsid w:val="00BD6F03"/>
    <w:rsid w:val="00BD713D"/>
    <w:rsid w:val="00BD79F2"/>
    <w:rsid w:val="00BE052F"/>
    <w:rsid w:val="00BE0F84"/>
    <w:rsid w:val="00BE1B70"/>
    <w:rsid w:val="00BE269D"/>
    <w:rsid w:val="00BE26EE"/>
    <w:rsid w:val="00BE2C7E"/>
    <w:rsid w:val="00BE3EBD"/>
    <w:rsid w:val="00BE46AC"/>
    <w:rsid w:val="00BE4D50"/>
    <w:rsid w:val="00BE5580"/>
    <w:rsid w:val="00BE563A"/>
    <w:rsid w:val="00BE5779"/>
    <w:rsid w:val="00BE5DA1"/>
    <w:rsid w:val="00BE624F"/>
    <w:rsid w:val="00BE681E"/>
    <w:rsid w:val="00BE780B"/>
    <w:rsid w:val="00BF011D"/>
    <w:rsid w:val="00BF0995"/>
    <w:rsid w:val="00BF0E04"/>
    <w:rsid w:val="00BF0F38"/>
    <w:rsid w:val="00BF14F4"/>
    <w:rsid w:val="00BF15FE"/>
    <w:rsid w:val="00BF167B"/>
    <w:rsid w:val="00BF1D74"/>
    <w:rsid w:val="00BF2091"/>
    <w:rsid w:val="00BF234A"/>
    <w:rsid w:val="00BF28A9"/>
    <w:rsid w:val="00BF2C8B"/>
    <w:rsid w:val="00BF332E"/>
    <w:rsid w:val="00BF3780"/>
    <w:rsid w:val="00BF3E41"/>
    <w:rsid w:val="00BF4F07"/>
    <w:rsid w:val="00BF4F5B"/>
    <w:rsid w:val="00BF54EF"/>
    <w:rsid w:val="00BF7AFA"/>
    <w:rsid w:val="00C00A53"/>
    <w:rsid w:val="00C00EC9"/>
    <w:rsid w:val="00C013B4"/>
    <w:rsid w:val="00C016BD"/>
    <w:rsid w:val="00C01B45"/>
    <w:rsid w:val="00C02059"/>
    <w:rsid w:val="00C0250F"/>
    <w:rsid w:val="00C02639"/>
    <w:rsid w:val="00C02A7D"/>
    <w:rsid w:val="00C03391"/>
    <w:rsid w:val="00C046B1"/>
    <w:rsid w:val="00C049EB"/>
    <w:rsid w:val="00C0692C"/>
    <w:rsid w:val="00C070B3"/>
    <w:rsid w:val="00C077F1"/>
    <w:rsid w:val="00C07A30"/>
    <w:rsid w:val="00C07FB5"/>
    <w:rsid w:val="00C1044F"/>
    <w:rsid w:val="00C10A05"/>
    <w:rsid w:val="00C10BA4"/>
    <w:rsid w:val="00C10C88"/>
    <w:rsid w:val="00C10FFA"/>
    <w:rsid w:val="00C12E9C"/>
    <w:rsid w:val="00C12EDB"/>
    <w:rsid w:val="00C13086"/>
    <w:rsid w:val="00C142AB"/>
    <w:rsid w:val="00C145FF"/>
    <w:rsid w:val="00C15694"/>
    <w:rsid w:val="00C166F9"/>
    <w:rsid w:val="00C17097"/>
    <w:rsid w:val="00C179F7"/>
    <w:rsid w:val="00C17A37"/>
    <w:rsid w:val="00C200F7"/>
    <w:rsid w:val="00C206EB"/>
    <w:rsid w:val="00C209DF"/>
    <w:rsid w:val="00C21058"/>
    <w:rsid w:val="00C21104"/>
    <w:rsid w:val="00C217BA"/>
    <w:rsid w:val="00C21ABF"/>
    <w:rsid w:val="00C22942"/>
    <w:rsid w:val="00C229EC"/>
    <w:rsid w:val="00C22F96"/>
    <w:rsid w:val="00C24190"/>
    <w:rsid w:val="00C24351"/>
    <w:rsid w:val="00C247BD"/>
    <w:rsid w:val="00C24F25"/>
    <w:rsid w:val="00C25E2E"/>
    <w:rsid w:val="00C25F02"/>
    <w:rsid w:val="00C268CF"/>
    <w:rsid w:val="00C26D09"/>
    <w:rsid w:val="00C273DE"/>
    <w:rsid w:val="00C2764E"/>
    <w:rsid w:val="00C305AE"/>
    <w:rsid w:val="00C307A8"/>
    <w:rsid w:val="00C30E83"/>
    <w:rsid w:val="00C31267"/>
    <w:rsid w:val="00C334F9"/>
    <w:rsid w:val="00C3468B"/>
    <w:rsid w:val="00C34A2C"/>
    <w:rsid w:val="00C359BC"/>
    <w:rsid w:val="00C35BF2"/>
    <w:rsid w:val="00C35F99"/>
    <w:rsid w:val="00C3622D"/>
    <w:rsid w:val="00C37044"/>
    <w:rsid w:val="00C3731B"/>
    <w:rsid w:val="00C374B5"/>
    <w:rsid w:val="00C374C9"/>
    <w:rsid w:val="00C37D45"/>
    <w:rsid w:val="00C40D94"/>
    <w:rsid w:val="00C411BC"/>
    <w:rsid w:val="00C427E9"/>
    <w:rsid w:val="00C429E3"/>
    <w:rsid w:val="00C42A4D"/>
    <w:rsid w:val="00C42BDE"/>
    <w:rsid w:val="00C43707"/>
    <w:rsid w:val="00C43C9E"/>
    <w:rsid w:val="00C43D6B"/>
    <w:rsid w:val="00C461AA"/>
    <w:rsid w:val="00C46F57"/>
    <w:rsid w:val="00C476FD"/>
    <w:rsid w:val="00C50A28"/>
    <w:rsid w:val="00C51B7C"/>
    <w:rsid w:val="00C51C29"/>
    <w:rsid w:val="00C52025"/>
    <w:rsid w:val="00C52A81"/>
    <w:rsid w:val="00C53244"/>
    <w:rsid w:val="00C53EFD"/>
    <w:rsid w:val="00C5433E"/>
    <w:rsid w:val="00C54C3D"/>
    <w:rsid w:val="00C54D83"/>
    <w:rsid w:val="00C54DD2"/>
    <w:rsid w:val="00C55103"/>
    <w:rsid w:val="00C553B5"/>
    <w:rsid w:val="00C55D5C"/>
    <w:rsid w:val="00C60540"/>
    <w:rsid w:val="00C60EE9"/>
    <w:rsid w:val="00C62F85"/>
    <w:rsid w:val="00C63C71"/>
    <w:rsid w:val="00C6435B"/>
    <w:rsid w:val="00C64827"/>
    <w:rsid w:val="00C649B2"/>
    <w:rsid w:val="00C65179"/>
    <w:rsid w:val="00C65929"/>
    <w:rsid w:val="00C67138"/>
    <w:rsid w:val="00C671B3"/>
    <w:rsid w:val="00C67698"/>
    <w:rsid w:val="00C701B3"/>
    <w:rsid w:val="00C706A5"/>
    <w:rsid w:val="00C70A4B"/>
    <w:rsid w:val="00C70D15"/>
    <w:rsid w:val="00C71138"/>
    <w:rsid w:val="00C714B3"/>
    <w:rsid w:val="00C72080"/>
    <w:rsid w:val="00C72318"/>
    <w:rsid w:val="00C72E31"/>
    <w:rsid w:val="00C73AF1"/>
    <w:rsid w:val="00C73C35"/>
    <w:rsid w:val="00C744C3"/>
    <w:rsid w:val="00C7475A"/>
    <w:rsid w:val="00C7506F"/>
    <w:rsid w:val="00C76249"/>
    <w:rsid w:val="00C77FF2"/>
    <w:rsid w:val="00C80E65"/>
    <w:rsid w:val="00C814E3"/>
    <w:rsid w:val="00C823BD"/>
    <w:rsid w:val="00C82FA2"/>
    <w:rsid w:val="00C85227"/>
    <w:rsid w:val="00C85D85"/>
    <w:rsid w:val="00C85F79"/>
    <w:rsid w:val="00C872A0"/>
    <w:rsid w:val="00C87570"/>
    <w:rsid w:val="00C87EFC"/>
    <w:rsid w:val="00C900C9"/>
    <w:rsid w:val="00C91677"/>
    <w:rsid w:val="00C91CD1"/>
    <w:rsid w:val="00C929CE"/>
    <w:rsid w:val="00C93EAA"/>
    <w:rsid w:val="00C93FD8"/>
    <w:rsid w:val="00C94453"/>
    <w:rsid w:val="00C94A80"/>
    <w:rsid w:val="00C94E38"/>
    <w:rsid w:val="00C94F63"/>
    <w:rsid w:val="00C95A6B"/>
    <w:rsid w:val="00C95C1F"/>
    <w:rsid w:val="00C968CC"/>
    <w:rsid w:val="00C96A63"/>
    <w:rsid w:val="00C96AEA"/>
    <w:rsid w:val="00C96B1D"/>
    <w:rsid w:val="00C976F1"/>
    <w:rsid w:val="00C97B9F"/>
    <w:rsid w:val="00CA482A"/>
    <w:rsid w:val="00CA49CC"/>
    <w:rsid w:val="00CA51B4"/>
    <w:rsid w:val="00CA5870"/>
    <w:rsid w:val="00CA6364"/>
    <w:rsid w:val="00CA6989"/>
    <w:rsid w:val="00CA6F5A"/>
    <w:rsid w:val="00CA6F70"/>
    <w:rsid w:val="00CA71DA"/>
    <w:rsid w:val="00CA7EF6"/>
    <w:rsid w:val="00CB00C5"/>
    <w:rsid w:val="00CB07BB"/>
    <w:rsid w:val="00CB09C6"/>
    <w:rsid w:val="00CB1696"/>
    <w:rsid w:val="00CB2019"/>
    <w:rsid w:val="00CB2C1A"/>
    <w:rsid w:val="00CB3616"/>
    <w:rsid w:val="00CB3C08"/>
    <w:rsid w:val="00CB3CA9"/>
    <w:rsid w:val="00CB45B8"/>
    <w:rsid w:val="00CB53F3"/>
    <w:rsid w:val="00CB592A"/>
    <w:rsid w:val="00CB5DC1"/>
    <w:rsid w:val="00CB6356"/>
    <w:rsid w:val="00CB6AA0"/>
    <w:rsid w:val="00CB76EA"/>
    <w:rsid w:val="00CB773A"/>
    <w:rsid w:val="00CB7864"/>
    <w:rsid w:val="00CB7BC2"/>
    <w:rsid w:val="00CC30D7"/>
    <w:rsid w:val="00CC3DB6"/>
    <w:rsid w:val="00CC4490"/>
    <w:rsid w:val="00CC555C"/>
    <w:rsid w:val="00CC5917"/>
    <w:rsid w:val="00CC616C"/>
    <w:rsid w:val="00CC665B"/>
    <w:rsid w:val="00CC68C5"/>
    <w:rsid w:val="00CC77E4"/>
    <w:rsid w:val="00CD00FA"/>
    <w:rsid w:val="00CD1559"/>
    <w:rsid w:val="00CD17D5"/>
    <w:rsid w:val="00CD1E97"/>
    <w:rsid w:val="00CD1F91"/>
    <w:rsid w:val="00CD259B"/>
    <w:rsid w:val="00CD2800"/>
    <w:rsid w:val="00CD3A9A"/>
    <w:rsid w:val="00CD3C0D"/>
    <w:rsid w:val="00CD4181"/>
    <w:rsid w:val="00CD4585"/>
    <w:rsid w:val="00CD5F53"/>
    <w:rsid w:val="00CD7B38"/>
    <w:rsid w:val="00CE003E"/>
    <w:rsid w:val="00CE05B0"/>
    <w:rsid w:val="00CE0A3F"/>
    <w:rsid w:val="00CE24DD"/>
    <w:rsid w:val="00CE25B4"/>
    <w:rsid w:val="00CE27F5"/>
    <w:rsid w:val="00CE2B11"/>
    <w:rsid w:val="00CE2D73"/>
    <w:rsid w:val="00CE3AEF"/>
    <w:rsid w:val="00CE443B"/>
    <w:rsid w:val="00CE4B52"/>
    <w:rsid w:val="00CE4D13"/>
    <w:rsid w:val="00CE5396"/>
    <w:rsid w:val="00CE555C"/>
    <w:rsid w:val="00CE5F9D"/>
    <w:rsid w:val="00CE6C38"/>
    <w:rsid w:val="00CE7872"/>
    <w:rsid w:val="00CF0017"/>
    <w:rsid w:val="00CF0163"/>
    <w:rsid w:val="00CF085E"/>
    <w:rsid w:val="00CF09A5"/>
    <w:rsid w:val="00CF10DF"/>
    <w:rsid w:val="00CF2D3B"/>
    <w:rsid w:val="00CF3082"/>
    <w:rsid w:val="00CF3268"/>
    <w:rsid w:val="00CF3541"/>
    <w:rsid w:val="00CF38B5"/>
    <w:rsid w:val="00CF489B"/>
    <w:rsid w:val="00CF490A"/>
    <w:rsid w:val="00CF5E47"/>
    <w:rsid w:val="00CF6BB4"/>
    <w:rsid w:val="00CF6E6C"/>
    <w:rsid w:val="00CF6E70"/>
    <w:rsid w:val="00CF7444"/>
    <w:rsid w:val="00CF7B93"/>
    <w:rsid w:val="00D002B7"/>
    <w:rsid w:val="00D00FB0"/>
    <w:rsid w:val="00D02970"/>
    <w:rsid w:val="00D035C0"/>
    <w:rsid w:val="00D039D9"/>
    <w:rsid w:val="00D039E6"/>
    <w:rsid w:val="00D03E2E"/>
    <w:rsid w:val="00D04545"/>
    <w:rsid w:val="00D04DAB"/>
    <w:rsid w:val="00D05034"/>
    <w:rsid w:val="00D05527"/>
    <w:rsid w:val="00D05A1E"/>
    <w:rsid w:val="00D05E8E"/>
    <w:rsid w:val="00D063DF"/>
    <w:rsid w:val="00D0784E"/>
    <w:rsid w:val="00D1034E"/>
    <w:rsid w:val="00D1059C"/>
    <w:rsid w:val="00D106D7"/>
    <w:rsid w:val="00D10EF1"/>
    <w:rsid w:val="00D1103E"/>
    <w:rsid w:val="00D1110F"/>
    <w:rsid w:val="00D113DE"/>
    <w:rsid w:val="00D11897"/>
    <w:rsid w:val="00D11FA6"/>
    <w:rsid w:val="00D12F92"/>
    <w:rsid w:val="00D13322"/>
    <w:rsid w:val="00D138F5"/>
    <w:rsid w:val="00D139C9"/>
    <w:rsid w:val="00D13A57"/>
    <w:rsid w:val="00D13B8F"/>
    <w:rsid w:val="00D13E89"/>
    <w:rsid w:val="00D141C7"/>
    <w:rsid w:val="00D148C8"/>
    <w:rsid w:val="00D15374"/>
    <w:rsid w:val="00D16D05"/>
    <w:rsid w:val="00D16EF0"/>
    <w:rsid w:val="00D16EF9"/>
    <w:rsid w:val="00D17130"/>
    <w:rsid w:val="00D17758"/>
    <w:rsid w:val="00D17965"/>
    <w:rsid w:val="00D20556"/>
    <w:rsid w:val="00D21428"/>
    <w:rsid w:val="00D21783"/>
    <w:rsid w:val="00D2225D"/>
    <w:rsid w:val="00D22459"/>
    <w:rsid w:val="00D22485"/>
    <w:rsid w:val="00D22CE6"/>
    <w:rsid w:val="00D2326A"/>
    <w:rsid w:val="00D23E6D"/>
    <w:rsid w:val="00D23F6C"/>
    <w:rsid w:val="00D243B7"/>
    <w:rsid w:val="00D24C8C"/>
    <w:rsid w:val="00D25B22"/>
    <w:rsid w:val="00D268A1"/>
    <w:rsid w:val="00D26D39"/>
    <w:rsid w:val="00D302B4"/>
    <w:rsid w:val="00D31987"/>
    <w:rsid w:val="00D319FE"/>
    <w:rsid w:val="00D323D1"/>
    <w:rsid w:val="00D326DA"/>
    <w:rsid w:val="00D33B2C"/>
    <w:rsid w:val="00D33BC0"/>
    <w:rsid w:val="00D33DDC"/>
    <w:rsid w:val="00D34415"/>
    <w:rsid w:val="00D3592B"/>
    <w:rsid w:val="00D35989"/>
    <w:rsid w:val="00D35B9B"/>
    <w:rsid w:val="00D35EAD"/>
    <w:rsid w:val="00D37DFB"/>
    <w:rsid w:val="00D40078"/>
    <w:rsid w:val="00D4022D"/>
    <w:rsid w:val="00D414F5"/>
    <w:rsid w:val="00D41CA0"/>
    <w:rsid w:val="00D41F51"/>
    <w:rsid w:val="00D42E22"/>
    <w:rsid w:val="00D43872"/>
    <w:rsid w:val="00D454E7"/>
    <w:rsid w:val="00D45527"/>
    <w:rsid w:val="00D46097"/>
    <w:rsid w:val="00D46521"/>
    <w:rsid w:val="00D47E28"/>
    <w:rsid w:val="00D517D0"/>
    <w:rsid w:val="00D523EB"/>
    <w:rsid w:val="00D52D57"/>
    <w:rsid w:val="00D53275"/>
    <w:rsid w:val="00D54358"/>
    <w:rsid w:val="00D54562"/>
    <w:rsid w:val="00D548B4"/>
    <w:rsid w:val="00D5512F"/>
    <w:rsid w:val="00D553C6"/>
    <w:rsid w:val="00D554E1"/>
    <w:rsid w:val="00D55501"/>
    <w:rsid w:val="00D5577E"/>
    <w:rsid w:val="00D55F1F"/>
    <w:rsid w:val="00D5614A"/>
    <w:rsid w:val="00D563AD"/>
    <w:rsid w:val="00D564E9"/>
    <w:rsid w:val="00D5679E"/>
    <w:rsid w:val="00D567AA"/>
    <w:rsid w:val="00D56FFA"/>
    <w:rsid w:val="00D57F34"/>
    <w:rsid w:val="00D604DA"/>
    <w:rsid w:val="00D61D3A"/>
    <w:rsid w:val="00D61E66"/>
    <w:rsid w:val="00D61F21"/>
    <w:rsid w:val="00D62952"/>
    <w:rsid w:val="00D62B1A"/>
    <w:rsid w:val="00D6316F"/>
    <w:rsid w:val="00D63E9A"/>
    <w:rsid w:val="00D641F8"/>
    <w:rsid w:val="00D64A9F"/>
    <w:rsid w:val="00D66AE3"/>
    <w:rsid w:val="00D67390"/>
    <w:rsid w:val="00D673AA"/>
    <w:rsid w:val="00D702BE"/>
    <w:rsid w:val="00D70BAF"/>
    <w:rsid w:val="00D713A0"/>
    <w:rsid w:val="00D7152A"/>
    <w:rsid w:val="00D720AD"/>
    <w:rsid w:val="00D7233D"/>
    <w:rsid w:val="00D724DC"/>
    <w:rsid w:val="00D72738"/>
    <w:rsid w:val="00D72CF7"/>
    <w:rsid w:val="00D741FC"/>
    <w:rsid w:val="00D7524D"/>
    <w:rsid w:val="00D75C4F"/>
    <w:rsid w:val="00D75F3A"/>
    <w:rsid w:val="00D7636E"/>
    <w:rsid w:val="00D768F3"/>
    <w:rsid w:val="00D76A10"/>
    <w:rsid w:val="00D76CA5"/>
    <w:rsid w:val="00D76ED3"/>
    <w:rsid w:val="00D77DC1"/>
    <w:rsid w:val="00D77E85"/>
    <w:rsid w:val="00D77F27"/>
    <w:rsid w:val="00D80A2B"/>
    <w:rsid w:val="00D80D6A"/>
    <w:rsid w:val="00D81D1D"/>
    <w:rsid w:val="00D83DDB"/>
    <w:rsid w:val="00D84084"/>
    <w:rsid w:val="00D8421B"/>
    <w:rsid w:val="00D84AA2"/>
    <w:rsid w:val="00D84BF3"/>
    <w:rsid w:val="00D85054"/>
    <w:rsid w:val="00D851B0"/>
    <w:rsid w:val="00D85FE2"/>
    <w:rsid w:val="00D90594"/>
    <w:rsid w:val="00D90AA2"/>
    <w:rsid w:val="00D90C0D"/>
    <w:rsid w:val="00D9112C"/>
    <w:rsid w:val="00D92B4D"/>
    <w:rsid w:val="00D93334"/>
    <w:rsid w:val="00D93A63"/>
    <w:rsid w:val="00D93D3C"/>
    <w:rsid w:val="00D93D73"/>
    <w:rsid w:val="00D93EB1"/>
    <w:rsid w:val="00D9452B"/>
    <w:rsid w:val="00D94ADC"/>
    <w:rsid w:val="00D96AB7"/>
    <w:rsid w:val="00D9730C"/>
    <w:rsid w:val="00D977C8"/>
    <w:rsid w:val="00DA00B8"/>
    <w:rsid w:val="00DA1780"/>
    <w:rsid w:val="00DA244B"/>
    <w:rsid w:val="00DA3198"/>
    <w:rsid w:val="00DA380F"/>
    <w:rsid w:val="00DA3867"/>
    <w:rsid w:val="00DA3E9A"/>
    <w:rsid w:val="00DA4DBD"/>
    <w:rsid w:val="00DA60E1"/>
    <w:rsid w:val="00DA65F6"/>
    <w:rsid w:val="00DA6F31"/>
    <w:rsid w:val="00DA706E"/>
    <w:rsid w:val="00DA7137"/>
    <w:rsid w:val="00DA786A"/>
    <w:rsid w:val="00DA7D1B"/>
    <w:rsid w:val="00DB03ED"/>
    <w:rsid w:val="00DB06E9"/>
    <w:rsid w:val="00DB0E7C"/>
    <w:rsid w:val="00DB181D"/>
    <w:rsid w:val="00DB1B17"/>
    <w:rsid w:val="00DB1EDB"/>
    <w:rsid w:val="00DB210F"/>
    <w:rsid w:val="00DB220A"/>
    <w:rsid w:val="00DB2DBE"/>
    <w:rsid w:val="00DB32DE"/>
    <w:rsid w:val="00DB49B6"/>
    <w:rsid w:val="00DB4D78"/>
    <w:rsid w:val="00DB5B40"/>
    <w:rsid w:val="00DB6DA6"/>
    <w:rsid w:val="00DC055B"/>
    <w:rsid w:val="00DC0DC8"/>
    <w:rsid w:val="00DC1302"/>
    <w:rsid w:val="00DC13E1"/>
    <w:rsid w:val="00DC1E47"/>
    <w:rsid w:val="00DC2397"/>
    <w:rsid w:val="00DC249C"/>
    <w:rsid w:val="00DC2BEF"/>
    <w:rsid w:val="00DC304F"/>
    <w:rsid w:val="00DC3545"/>
    <w:rsid w:val="00DC364B"/>
    <w:rsid w:val="00DC4B35"/>
    <w:rsid w:val="00DC4FBE"/>
    <w:rsid w:val="00DC5836"/>
    <w:rsid w:val="00DC5A31"/>
    <w:rsid w:val="00DC676B"/>
    <w:rsid w:val="00DD2026"/>
    <w:rsid w:val="00DD2648"/>
    <w:rsid w:val="00DD267B"/>
    <w:rsid w:val="00DD2A1E"/>
    <w:rsid w:val="00DD2A77"/>
    <w:rsid w:val="00DD5AD6"/>
    <w:rsid w:val="00DD6FD9"/>
    <w:rsid w:val="00DD79E3"/>
    <w:rsid w:val="00DE048F"/>
    <w:rsid w:val="00DE1206"/>
    <w:rsid w:val="00DE215D"/>
    <w:rsid w:val="00DE3C99"/>
    <w:rsid w:val="00DE4509"/>
    <w:rsid w:val="00DE491D"/>
    <w:rsid w:val="00DE552A"/>
    <w:rsid w:val="00DE58D7"/>
    <w:rsid w:val="00DE5A78"/>
    <w:rsid w:val="00DE5D94"/>
    <w:rsid w:val="00DE6C85"/>
    <w:rsid w:val="00DE7FFC"/>
    <w:rsid w:val="00DF0119"/>
    <w:rsid w:val="00DF0528"/>
    <w:rsid w:val="00DF171F"/>
    <w:rsid w:val="00DF17F9"/>
    <w:rsid w:val="00DF1AB3"/>
    <w:rsid w:val="00DF1AB5"/>
    <w:rsid w:val="00DF221E"/>
    <w:rsid w:val="00DF2CD3"/>
    <w:rsid w:val="00DF369E"/>
    <w:rsid w:val="00DF62C2"/>
    <w:rsid w:val="00DF62E2"/>
    <w:rsid w:val="00DF7BAF"/>
    <w:rsid w:val="00E0008D"/>
    <w:rsid w:val="00E001C4"/>
    <w:rsid w:val="00E009EE"/>
    <w:rsid w:val="00E00A82"/>
    <w:rsid w:val="00E00CDF"/>
    <w:rsid w:val="00E0120D"/>
    <w:rsid w:val="00E01521"/>
    <w:rsid w:val="00E016C4"/>
    <w:rsid w:val="00E01FA1"/>
    <w:rsid w:val="00E022C5"/>
    <w:rsid w:val="00E0246A"/>
    <w:rsid w:val="00E02A34"/>
    <w:rsid w:val="00E02D6C"/>
    <w:rsid w:val="00E030B1"/>
    <w:rsid w:val="00E03768"/>
    <w:rsid w:val="00E03B67"/>
    <w:rsid w:val="00E040F3"/>
    <w:rsid w:val="00E0420B"/>
    <w:rsid w:val="00E042F5"/>
    <w:rsid w:val="00E0574B"/>
    <w:rsid w:val="00E061AE"/>
    <w:rsid w:val="00E067D0"/>
    <w:rsid w:val="00E07170"/>
    <w:rsid w:val="00E0719F"/>
    <w:rsid w:val="00E07465"/>
    <w:rsid w:val="00E07518"/>
    <w:rsid w:val="00E10FE2"/>
    <w:rsid w:val="00E1107E"/>
    <w:rsid w:val="00E11853"/>
    <w:rsid w:val="00E11BB7"/>
    <w:rsid w:val="00E11D10"/>
    <w:rsid w:val="00E11EBD"/>
    <w:rsid w:val="00E13405"/>
    <w:rsid w:val="00E1447C"/>
    <w:rsid w:val="00E1484A"/>
    <w:rsid w:val="00E14C9D"/>
    <w:rsid w:val="00E14DE9"/>
    <w:rsid w:val="00E1512A"/>
    <w:rsid w:val="00E159E6"/>
    <w:rsid w:val="00E163A1"/>
    <w:rsid w:val="00E16632"/>
    <w:rsid w:val="00E16B60"/>
    <w:rsid w:val="00E16DF8"/>
    <w:rsid w:val="00E16EEC"/>
    <w:rsid w:val="00E1715A"/>
    <w:rsid w:val="00E1790A"/>
    <w:rsid w:val="00E204D1"/>
    <w:rsid w:val="00E2206C"/>
    <w:rsid w:val="00E22192"/>
    <w:rsid w:val="00E2224C"/>
    <w:rsid w:val="00E2269E"/>
    <w:rsid w:val="00E234D4"/>
    <w:rsid w:val="00E23C5E"/>
    <w:rsid w:val="00E25030"/>
    <w:rsid w:val="00E265E4"/>
    <w:rsid w:val="00E27CA7"/>
    <w:rsid w:val="00E27EA5"/>
    <w:rsid w:val="00E3029E"/>
    <w:rsid w:val="00E30F1C"/>
    <w:rsid w:val="00E31BAB"/>
    <w:rsid w:val="00E31E48"/>
    <w:rsid w:val="00E32127"/>
    <w:rsid w:val="00E3351C"/>
    <w:rsid w:val="00E33A89"/>
    <w:rsid w:val="00E3427F"/>
    <w:rsid w:val="00E34506"/>
    <w:rsid w:val="00E345E9"/>
    <w:rsid w:val="00E36F48"/>
    <w:rsid w:val="00E402B8"/>
    <w:rsid w:val="00E40EFD"/>
    <w:rsid w:val="00E41784"/>
    <w:rsid w:val="00E41794"/>
    <w:rsid w:val="00E41992"/>
    <w:rsid w:val="00E41E05"/>
    <w:rsid w:val="00E41E0C"/>
    <w:rsid w:val="00E42A8D"/>
    <w:rsid w:val="00E4386C"/>
    <w:rsid w:val="00E44128"/>
    <w:rsid w:val="00E442A1"/>
    <w:rsid w:val="00E443E4"/>
    <w:rsid w:val="00E44723"/>
    <w:rsid w:val="00E45315"/>
    <w:rsid w:val="00E45773"/>
    <w:rsid w:val="00E461FA"/>
    <w:rsid w:val="00E46677"/>
    <w:rsid w:val="00E477A6"/>
    <w:rsid w:val="00E47D6F"/>
    <w:rsid w:val="00E50D58"/>
    <w:rsid w:val="00E5131F"/>
    <w:rsid w:val="00E5224B"/>
    <w:rsid w:val="00E522A7"/>
    <w:rsid w:val="00E531E7"/>
    <w:rsid w:val="00E53AD3"/>
    <w:rsid w:val="00E53FA3"/>
    <w:rsid w:val="00E543BB"/>
    <w:rsid w:val="00E548A2"/>
    <w:rsid w:val="00E555EA"/>
    <w:rsid w:val="00E556A6"/>
    <w:rsid w:val="00E55C95"/>
    <w:rsid w:val="00E55FB3"/>
    <w:rsid w:val="00E56009"/>
    <w:rsid w:val="00E56675"/>
    <w:rsid w:val="00E56C35"/>
    <w:rsid w:val="00E571CC"/>
    <w:rsid w:val="00E57400"/>
    <w:rsid w:val="00E60F25"/>
    <w:rsid w:val="00E619E4"/>
    <w:rsid w:val="00E61B27"/>
    <w:rsid w:val="00E627F6"/>
    <w:rsid w:val="00E62E41"/>
    <w:rsid w:val="00E638BD"/>
    <w:rsid w:val="00E640FA"/>
    <w:rsid w:val="00E6452D"/>
    <w:rsid w:val="00E6458A"/>
    <w:rsid w:val="00E66872"/>
    <w:rsid w:val="00E67510"/>
    <w:rsid w:val="00E67EE4"/>
    <w:rsid w:val="00E7052B"/>
    <w:rsid w:val="00E707EF"/>
    <w:rsid w:val="00E709DF"/>
    <w:rsid w:val="00E70D2A"/>
    <w:rsid w:val="00E70FF3"/>
    <w:rsid w:val="00E7109F"/>
    <w:rsid w:val="00E71175"/>
    <w:rsid w:val="00E7128A"/>
    <w:rsid w:val="00E729D8"/>
    <w:rsid w:val="00E72FB5"/>
    <w:rsid w:val="00E73938"/>
    <w:rsid w:val="00E74131"/>
    <w:rsid w:val="00E74794"/>
    <w:rsid w:val="00E748EB"/>
    <w:rsid w:val="00E74ADC"/>
    <w:rsid w:val="00E74D5A"/>
    <w:rsid w:val="00E7611D"/>
    <w:rsid w:val="00E7678D"/>
    <w:rsid w:val="00E772C0"/>
    <w:rsid w:val="00E8457A"/>
    <w:rsid w:val="00E85462"/>
    <w:rsid w:val="00E85929"/>
    <w:rsid w:val="00E865C9"/>
    <w:rsid w:val="00E8680D"/>
    <w:rsid w:val="00E870DB"/>
    <w:rsid w:val="00E87A30"/>
    <w:rsid w:val="00E87D24"/>
    <w:rsid w:val="00E905BD"/>
    <w:rsid w:val="00E9062C"/>
    <w:rsid w:val="00E90BFC"/>
    <w:rsid w:val="00E91699"/>
    <w:rsid w:val="00E916F1"/>
    <w:rsid w:val="00E92BE9"/>
    <w:rsid w:val="00E92F9F"/>
    <w:rsid w:val="00E9347F"/>
    <w:rsid w:val="00E94716"/>
    <w:rsid w:val="00E9473C"/>
    <w:rsid w:val="00E94AC2"/>
    <w:rsid w:val="00E94CCB"/>
    <w:rsid w:val="00E95525"/>
    <w:rsid w:val="00E959B3"/>
    <w:rsid w:val="00E959E8"/>
    <w:rsid w:val="00E96060"/>
    <w:rsid w:val="00E96427"/>
    <w:rsid w:val="00E96E14"/>
    <w:rsid w:val="00E9702D"/>
    <w:rsid w:val="00E974FA"/>
    <w:rsid w:val="00E97A41"/>
    <w:rsid w:val="00EA0137"/>
    <w:rsid w:val="00EA15BA"/>
    <w:rsid w:val="00EA1D6D"/>
    <w:rsid w:val="00EA1EEC"/>
    <w:rsid w:val="00EA2018"/>
    <w:rsid w:val="00EA205A"/>
    <w:rsid w:val="00EA3083"/>
    <w:rsid w:val="00EA3825"/>
    <w:rsid w:val="00EA3C3C"/>
    <w:rsid w:val="00EA4C22"/>
    <w:rsid w:val="00EA5580"/>
    <w:rsid w:val="00EA57D0"/>
    <w:rsid w:val="00EA7737"/>
    <w:rsid w:val="00EA79FB"/>
    <w:rsid w:val="00EB0609"/>
    <w:rsid w:val="00EB078A"/>
    <w:rsid w:val="00EB0D9D"/>
    <w:rsid w:val="00EB147E"/>
    <w:rsid w:val="00EB1F10"/>
    <w:rsid w:val="00EB284E"/>
    <w:rsid w:val="00EB2A0A"/>
    <w:rsid w:val="00EB2DD9"/>
    <w:rsid w:val="00EB2F99"/>
    <w:rsid w:val="00EB2FF9"/>
    <w:rsid w:val="00EB35F3"/>
    <w:rsid w:val="00EB3FFD"/>
    <w:rsid w:val="00EB409B"/>
    <w:rsid w:val="00EB41C4"/>
    <w:rsid w:val="00EB4313"/>
    <w:rsid w:val="00EB5488"/>
    <w:rsid w:val="00EB54B3"/>
    <w:rsid w:val="00EB5745"/>
    <w:rsid w:val="00EB5E7C"/>
    <w:rsid w:val="00EB605E"/>
    <w:rsid w:val="00EB61C0"/>
    <w:rsid w:val="00EB676E"/>
    <w:rsid w:val="00EB68B6"/>
    <w:rsid w:val="00EB6BE8"/>
    <w:rsid w:val="00EB6C77"/>
    <w:rsid w:val="00EB7213"/>
    <w:rsid w:val="00EB752B"/>
    <w:rsid w:val="00EC04CA"/>
    <w:rsid w:val="00EC0C5E"/>
    <w:rsid w:val="00EC1BE7"/>
    <w:rsid w:val="00EC1D43"/>
    <w:rsid w:val="00EC2700"/>
    <w:rsid w:val="00EC3105"/>
    <w:rsid w:val="00EC34C5"/>
    <w:rsid w:val="00EC42FA"/>
    <w:rsid w:val="00EC4A64"/>
    <w:rsid w:val="00EC539C"/>
    <w:rsid w:val="00EC5534"/>
    <w:rsid w:val="00EC578A"/>
    <w:rsid w:val="00EC6555"/>
    <w:rsid w:val="00EC6CF7"/>
    <w:rsid w:val="00EC6F5C"/>
    <w:rsid w:val="00EC7546"/>
    <w:rsid w:val="00EC75B2"/>
    <w:rsid w:val="00EC7956"/>
    <w:rsid w:val="00ED0791"/>
    <w:rsid w:val="00ED0ED5"/>
    <w:rsid w:val="00ED2CEA"/>
    <w:rsid w:val="00ED2D7A"/>
    <w:rsid w:val="00ED2D83"/>
    <w:rsid w:val="00ED3373"/>
    <w:rsid w:val="00ED602D"/>
    <w:rsid w:val="00ED6B8F"/>
    <w:rsid w:val="00ED6E53"/>
    <w:rsid w:val="00ED7023"/>
    <w:rsid w:val="00ED71A4"/>
    <w:rsid w:val="00EE0397"/>
    <w:rsid w:val="00EE0655"/>
    <w:rsid w:val="00EE0EB8"/>
    <w:rsid w:val="00EE1923"/>
    <w:rsid w:val="00EE3490"/>
    <w:rsid w:val="00EE43E3"/>
    <w:rsid w:val="00EE571A"/>
    <w:rsid w:val="00EE7131"/>
    <w:rsid w:val="00EE7955"/>
    <w:rsid w:val="00EF0475"/>
    <w:rsid w:val="00EF136E"/>
    <w:rsid w:val="00EF1E54"/>
    <w:rsid w:val="00EF24E6"/>
    <w:rsid w:val="00EF2C03"/>
    <w:rsid w:val="00EF2FA6"/>
    <w:rsid w:val="00EF2FFA"/>
    <w:rsid w:val="00EF3BCC"/>
    <w:rsid w:val="00EF4D2C"/>
    <w:rsid w:val="00EF59EE"/>
    <w:rsid w:val="00EF5A96"/>
    <w:rsid w:val="00EF7277"/>
    <w:rsid w:val="00EF772F"/>
    <w:rsid w:val="00F01210"/>
    <w:rsid w:val="00F017F1"/>
    <w:rsid w:val="00F02D27"/>
    <w:rsid w:val="00F04758"/>
    <w:rsid w:val="00F04852"/>
    <w:rsid w:val="00F05015"/>
    <w:rsid w:val="00F061C4"/>
    <w:rsid w:val="00F06A6A"/>
    <w:rsid w:val="00F06B39"/>
    <w:rsid w:val="00F06F28"/>
    <w:rsid w:val="00F07166"/>
    <w:rsid w:val="00F078CD"/>
    <w:rsid w:val="00F07C41"/>
    <w:rsid w:val="00F1080E"/>
    <w:rsid w:val="00F10829"/>
    <w:rsid w:val="00F109BA"/>
    <w:rsid w:val="00F11462"/>
    <w:rsid w:val="00F119B5"/>
    <w:rsid w:val="00F12B69"/>
    <w:rsid w:val="00F1666B"/>
    <w:rsid w:val="00F16893"/>
    <w:rsid w:val="00F16BDC"/>
    <w:rsid w:val="00F17B9D"/>
    <w:rsid w:val="00F201E7"/>
    <w:rsid w:val="00F20644"/>
    <w:rsid w:val="00F20E5B"/>
    <w:rsid w:val="00F21FD0"/>
    <w:rsid w:val="00F2296F"/>
    <w:rsid w:val="00F23039"/>
    <w:rsid w:val="00F24882"/>
    <w:rsid w:val="00F24E95"/>
    <w:rsid w:val="00F27A8A"/>
    <w:rsid w:val="00F33CBB"/>
    <w:rsid w:val="00F34F90"/>
    <w:rsid w:val="00F35575"/>
    <w:rsid w:val="00F3570E"/>
    <w:rsid w:val="00F35DBC"/>
    <w:rsid w:val="00F3620D"/>
    <w:rsid w:val="00F3635D"/>
    <w:rsid w:val="00F372EB"/>
    <w:rsid w:val="00F37379"/>
    <w:rsid w:val="00F37422"/>
    <w:rsid w:val="00F37E61"/>
    <w:rsid w:val="00F406EF"/>
    <w:rsid w:val="00F409B1"/>
    <w:rsid w:val="00F40FCE"/>
    <w:rsid w:val="00F40FEE"/>
    <w:rsid w:val="00F41B9B"/>
    <w:rsid w:val="00F430E6"/>
    <w:rsid w:val="00F43C7B"/>
    <w:rsid w:val="00F44BD0"/>
    <w:rsid w:val="00F44CD1"/>
    <w:rsid w:val="00F4574D"/>
    <w:rsid w:val="00F45C72"/>
    <w:rsid w:val="00F45E1C"/>
    <w:rsid w:val="00F469DA"/>
    <w:rsid w:val="00F46B8D"/>
    <w:rsid w:val="00F477FE"/>
    <w:rsid w:val="00F50003"/>
    <w:rsid w:val="00F50CB9"/>
    <w:rsid w:val="00F52F0C"/>
    <w:rsid w:val="00F537E7"/>
    <w:rsid w:val="00F53CD4"/>
    <w:rsid w:val="00F5423D"/>
    <w:rsid w:val="00F556FF"/>
    <w:rsid w:val="00F56124"/>
    <w:rsid w:val="00F566D3"/>
    <w:rsid w:val="00F5750F"/>
    <w:rsid w:val="00F57895"/>
    <w:rsid w:val="00F6021D"/>
    <w:rsid w:val="00F60885"/>
    <w:rsid w:val="00F60DDE"/>
    <w:rsid w:val="00F61D79"/>
    <w:rsid w:val="00F625E1"/>
    <w:rsid w:val="00F6278E"/>
    <w:rsid w:val="00F628B0"/>
    <w:rsid w:val="00F62B6E"/>
    <w:rsid w:val="00F62D83"/>
    <w:rsid w:val="00F65398"/>
    <w:rsid w:val="00F654BE"/>
    <w:rsid w:val="00F656E6"/>
    <w:rsid w:val="00F65948"/>
    <w:rsid w:val="00F65FAF"/>
    <w:rsid w:val="00F66008"/>
    <w:rsid w:val="00F663A6"/>
    <w:rsid w:val="00F66680"/>
    <w:rsid w:val="00F66C28"/>
    <w:rsid w:val="00F66E42"/>
    <w:rsid w:val="00F671C6"/>
    <w:rsid w:val="00F6757F"/>
    <w:rsid w:val="00F70F2A"/>
    <w:rsid w:val="00F70FE5"/>
    <w:rsid w:val="00F71ED3"/>
    <w:rsid w:val="00F727CB"/>
    <w:rsid w:val="00F733C9"/>
    <w:rsid w:val="00F749AF"/>
    <w:rsid w:val="00F752D4"/>
    <w:rsid w:val="00F766B2"/>
    <w:rsid w:val="00F76B9D"/>
    <w:rsid w:val="00F77135"/>
    <w:rsid w:val="00F771F1"/>
    <w:rsid w:val="00F80338"/>
    <w:rsid w:val="00F80F35"/>
    <w:rsid w:val="00F811D5"/>
    <w:rsid w:val="00F81337"/>
    <w:rsid w:val="00F81E59"/>
    <w:rsid w:val="00F826E8"/>
    <w:rsid w:val="00F82FA0"/>
    <w:rsid w:val="00F8335D"/>
    <w:rsid w:val="00F83AD4"/>
    <w:rsid w:val="00F83BB0"/>
    <w:rsid w:val="00F83D5B"/>
    <w:rsid w:val="00F83EC5"/>
    <w:rsid w:val="00F842FF"/>
    <w:rsid w:val="00F8477B"/>
    <w:rsid w:val="00F86A23"/>
    <w:rsid w:val="00F86AFB"/>
    <w:rsid w:val="00F86EAC"/>
    <w:rsid w:val="00F86FF5"/>
    <w:rsid w:val="00F87851"/>
    <w:rsid w:val="00F87A5E"/>
    <w:rsid w:val="00F87F4A"/>
    <w:rsid w:val="00F90C09"/>
    <w:rsid w:val="00F90E31"/>
    <w:rsid w:val="00F91655"/>
    <w:rsid w:val="00F93158"/>
    <w:rsid w:val="00F933F4"/>
    <w:rsid w:val="00F9424E"/>
    <w:rsid w:val="00F95AB9"/>
    <w:rsid w:val="00F960F0"/>
    <w:rsid w:val="00F96227"/>
    <w:rsid w:val="00F97FE7"/>
    <w:rsid w:val="00FA00D7"/>
    <w:rsid w:val="00FA0B9D"/>
    <w:rsid w:val="00FA0EA5"/>
    <w:rsid w:val="00FA110B"/>
    <w:rsid w:val="00FA12E0"/>
    <w:rsid w:val="00FA1489"/>
    <w:rsid w:val="00FA174F"/>
    <w:rsid w:val="00FA1EC3"/>
    <w:rsid w:val="00FA2186"/>
    <w:rsid w:val="00FA28B5"/>
    <w:rsid w:val="00FA2D27"/>
    <w:rsid w:val="00FA2E00"/>
    <w:rsid w:val="00FA2E08"/>
    <w:rsid w:val="00FA3097"/>
    <w:rsid w:val="00FA338A"/>
    <w:rsid w:val="00FA33E5"/>
    <w:rsid w:val="00FA37C6"/>
    <w:rsid w:val="00FA3D42"/>
    <w:rsid w:val="00FA52FF"/>
    <w:rsid w:val="00FA5F0F"/>
    <w:rsid w:val="00FA5F3D"/>
    <w:rsid w:val="00FB3249"/>
    <w:rsid w:val="00FB444E"/>
    <w:rsid w:val="00FB45CC"/>
    <w:rsid w:val="00FB52FD"/>
    <w:rsid w:val="00FB5856"/>
    <w:rsid w:val="00FB5EC3"/>
    <w:rsid w:val="00FB6069"/>
    <w:rsid w:val="00FB60D3"/>
    <w:rsid w:val="00FB6520"/>
    <w:rsid w:val="00FB6CFF"/>
    <w:rsid w:val="00FB7CD3"/>
    <w:rsid w:val="00FC0D7A"/>
    <w:rsid w:val="00FC12D6"/>
    <w:rsid w:val="00FC1B5B"/>
    <w:rsid w:val="00FC1C3C"/>
    <w:rsid w:val="00FC2160"/>
    <w:rsid w:val="00FC2218"/>
    <w:rsid w:val="00FC2BA0"/>
    <w:rsid w:val="00FC2F5C"/>
    <w:rsid w:val="00FC312C"/>
    <w:rsid w:val="00FC318E"/>
    <w:rsid w:val="00FC336F"/>
    <w:rsid w:val="00FC370A"/>
    <w:rsid w:val="00FC3A1F"/>
    <w:rsid w:val="00FC4BB0"/>
    <w:rsid w:val="00FC4E57"/>
    <w:rsid w:val="00FC4F48"/>
    <w:rsid w:val="00FC5A60"/>
    <w:rsid w:val="00FC7126"/>
    <w:rsid w:val="00FC7143"/>
    <w:rsid w:val="00FC7505"/>
    <w:rsid w:val="00FC7C7F"/>
    <w:rsid w:val="00FD118E"/>
    <w:rsid w:val="00FD2441"/>
    <w:rsid w:val="00FD2958"/>
    <w:rsid w:val="00FD3616"/>
    <w:rsid w:val="00FD37BD"/>
    <w:rsid w:val="00FD3A4D"/>
    <w:rsid w:val="00FD3F4C"/>
    <w:rsid w:val="00FD420D"/>
    <w:rsid w:val="00FD44AB"/>
    <w:rsid w:val="00FD4A4B"/>
    <w:rsid w:val="00FD4F07"/>
    <w:rsid w:val="00FD508C"/>
    <w:rsid w:val="00FD511B"/>
    <w:rsid w:val="00FD5C41"/>
    <w:rsid w:val="00FD5E2D"/>
    <w:rsid w:val="00FD617F"/>
    <w:rsid w:val="00FD7AD8"/>
    <w:rsid w:val="00FD7BFC"/>
    <w:rsid w:val="00FD7C67"/>
    <w:rsid w:val="00FD7CAB"/>
    <w:rsid w:val="00FD7DD0"/>
    <w:rsid w:val="00FE0E04"/>
    <w:rsid w:val="00FE0FCA"/>
    <w:rsid w:val="00FE12F6"/>
    <w:rsid w:val="00FE1AEA"/>
    <w:rsid w:val="00FE20AE"/>
    <w:rsid w:val="00FE322E"/>
    <w:rsid w:val="00FE3CBE"/>
    <w:rsid w:val="00FE416E"/>
    <w:rsid w:val="00FE4BDD"/>
    <w:rsid w:val="00FE5443"/>
    <w:rsid w:val="00FE6357"/>
    <w:rsid w:val="00FE639A"/>
    <w:rsid w:val="00FE6B1B"/>
    <w:rsid w:val="00FF1F1D"/>
    <w:rsid w:val="00FF27D2"/>
    <w:rsid w:val="00FF2FF6"/>
    <w:rsid w:val="00FF31FB"/>
    <w:rsid w:val="00FF34FD"/>
    <w:rsid w:val="00FF392F"/>
    <w:rsid w:val="00FF44FD"/>
    <w:rsid w:val="00FF53E4"/>
    <w:rsid w:val="00FF5A3D"/>
    <w:rsid w:val="00FF662E"/>
    <w:rsid w:val="00FF7050"/>
    <w:rsid w:val="00FF7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E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3EC5"/>
    <w:pPr>
      <w:keepNext/>
      <w:spacing w:before="240" w:after="60"/>
      <w:outlineLvl w:val="0"/>
    </w:pPr>
    <w:rPr>
      <w:rFonts w:ascii="Times New Roman" w:hAnsi="Times New Roman" w:cs="Times New Roman"/>
      <w:b/>
      <w:bCs/>
      <w:kern w:val="32"/>
      <w:sz w:val="28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83EC5"/>
    <w:rPr>
      <w:b/>
      <w:bCs/>
      <w:kern w:val="32"/>
      <w:sz w:val="28"/>
      <w:szCs w:val="32"/>
    </w:rPr>
  </w:style>
  <w:style w:type="paragraph" w:styleId="TM1">
    <w:name w:val="toc 1"/>
    <w:basedOn w:val="Normal"/>
    <w:next w:val="Normal"/>
    <w:autoRedefine/>
    <w:uiPriority w:val="39"/>
    <w:qFormat/>
    <w:rsid w:val="00F83EC5"/>
    <w:pPr>
      <w:spacing w:before="120"/>
    </w:pPr>
    <w:rPr>
      <w:rFonts w:ascii="Calibri" w:hAnsi="Calibri" w:cs="Times New Roman"/>
      <w:b/>
      <w:bCs/>
      <w:i/>
      <w:iCs/>
      <w:szCs w:val="28"/>
    </w:rPr>
  </w:style>
  <w:style w:type="paragraph" w:styleId="TM2">
    <w:name w:val="toc 2"/>
    <w:basedOn w:val="Normal"/>
    <w:next w:val="Normal"/>
    <w:autoRedefine/>
    <w:uiPriority w:val="39"/>
    <w:semiHidden/>
    <w:qFormat/>
    <w:rsid w:val="00F83EC5"/>
    <w:pPr>
      <w:spacing w:before="120"/>
      <w:ind w:left="240"/>
    </w:pPr>
    <w:rPr>
      <w:rFonts w:ascii="Calibri" w:hAnsi="Calibri" w:cs="Times New Roman"/>
      <w:b/>
      <w:bCs/>
      <w:sz w:val="22"/>
      <w:szCs w:val="26"/>
    </w:rPr>
  </w:style>
  <w:style w:type="paragraph" w:styleId="TM3">
    <w:name w:val="toc 3"/>
    <w:basedOn w:val="Normal"/>
    <w:next w:val="Normal"/>
    <w:autoRedefine/>
    <w:uiPriority w:val="39"/>
    <w:semiHidden/>
    <w:qFormat/>
    <w:rsid w:val="00F83EC5"/>
    <w:pPr>
      <w:ind w:left="480"/>
    </w:pPr>
    <w:rPr>
      <w:rFonts w:ascii="Calibri" w:hAnsi="Calibri" w:cs="Times New Roman"/>
      <w:sz w:val="20"/>
    </w:rPr>
  </w:style>
  <w:style w:type="paragraph" w:styleId="Lgende">
    <w:name w:val="caption"/>
    <w:aliases w:val="Titre1+Rouge"/>
    <w:basedOn w:val="Normal"/>
    <w:next w:val="Normal"/>
    <w:qFormat/>
    <w:rsid w:val="00F83EC5"/>
    <w:rPr>
      <w:rFonts w:cs="Times New Roman"/>
    </w:rPr>
  </w:style>
  <w:style w:type="paragraph" w:styleId="Sansinterligne">
    <w:name w:val="No Spacing"/>
    <w:link w:val="SansinterligneCar"/>
    <w:uiPriority w:val="1"/>
    <w:qFormat/>
    <w:rsid w:val="00F83EC5"/>
    <w:rPr>
      <w:rFonts w:ascii="Calibri" w:hAnsi="Calibri" w:cs="Arial"/>
      <w:sz w:val="22"/>
      <w:szCs w:val="22"/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F83EC5"/>
    <w:rPr>
      <w:rFonts w:ascii="Calibri" w:hAnsi="Calibri" w:cs="Arial"/>
      <w:sz w:val="22"/>
      <w:szCs w:val="22"/>
      <w:lang w:val="fr-FR" w:eastAsia="en-US" w:bidi="ar-SA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83EC5"/>
    <w:pPr>
      <w:keepLines/>
      <w:widowControl/>
      <w:autoSpaceDE/>
      <w:autoSpaceDN/>
      <w:adjustRightInd/>
      <w:spacing w:before="480" w:after="0" w:line="276" w:lineRule="auto"/>
      <w:outlineLvl w:val="9"/>
    </w:pPr>
    <w:rPr>
      <w:rFonts w:ascii="Cambria" w:hAnsi="Cambria"/>
      <w:color w:val="365F91"/>
      <w:kern w:val="0"/>
      <w:szCs w:val="28"/>
      <w:lang w:eastAsia="en-US"/>
    </w:rPr>
  </w:style>
  <w:style w:type="paragraph" w:customStyle="1" w:styleId="titre2">
    <w:name w:val="titre2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customStyle="1" w:styleId="titre3">
    <w:name w:val="titre3"/>
    <w:basedOn w:val="Normal"/>
    <w:qFormat/>
    <w:rsid w:val="00F83EC5"/>
    <w:pPr>
      <w:tabs>
        <w:tab w:val="left" w:pos="-720"/>
      </w:tabs>
      <w:spacing w:line="300" w:lineRule="atLeast"/>
      <w:jc w:val="both"/>
    </w:pPr>
    <w:rPr>
      <w:rFonts w:ascii="Univers" w:hAnsi="Univers" w:cs="Univers"/>
      <w:b/>
      <w:bCs/>
      <w:spacing w:val="-3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9452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9452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5D6C0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unhideWhenUsed/>
    <w:rsid w:val="005D6C02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D6C0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ion">
    <w:name w:val="Emphasis"/>
    <w:basedOn w:val="Policepardfaut"/>
    <w:uiPriority w:val="20"/>
    <w:qFormat/>
    <w:rsid w:val="00E9062C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60705"/>
    <w:rPr>
      <w:rFonts w:ascii="Courier New" w:hAnsi="Courier New" w:cs="Courier New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6070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60705"/>
    <w:rPr>
      <w:rFonts w:ascii="Courier New" w:hAnsi="Courier New" w:cs="Courier New"/>
      <w:sz w:val="24"/>
      <w:szCs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E265E4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265E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265E4"/>
    <w:rPr>
      <w:rFonts w:ascii="Courier New" w:hAnsi="Courier New" w:cs="Courier New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265E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265E4"/>
    <w:rPr>
      <w:rFonts w:ascii="Courier New" w:hAnsi="Courier New" w:cs="Courier New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://www.hcp.m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arrak\Desktop\Enquete%20de%20conjoncture%20menages_BUREAU\2022\T2\resultatseECM(trim1-08-trim1-202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26"/>
  <c:chart>
    <c:autoTitleDeleted val="1"/>
    <c:plotArea>
      <c:layout>
        <c:manualLayout>
          <c:layoutTarget val="inner"/>
          <c:xMode val="edge"/>
          <c:yMode val="edge"/>
          <c:x val="5.8132101279827833E-2"/>
          <c:y val="7.6025370280020363E-2"/>
          <c:w val="0.93481586557596608"/>
          <c:h val="0.741829425267164"/>
        </c:manualLayout>
      </c:layout>
      <c:barChart>
        <c:barDir val="col"/>
        <c:grouping val="clustered"/>
        <c:ser>
          <c:idx val="0"/>
          <c:order val="0"/>
          <c:dPt>
            <c:idx val="53"/>
            <c:spPr>
              <a:gradFill>
                <a:gsLst>
                  <a:gs pos="0">
                    <a:srgbClr val="4F81BD">
                      <a:tint val="66000"/>
                      <a:satMod val="160000"/>
                    </a:srgbClr>
                  </a:gs>
                  <a:gs pos="50000">
                    <a:srgbClr val="4F81BD">
                      <a:tint val="44500"/>
                      <a:satMod val="160000"/>
                    </a:srgbClr>
                  </a:gs>
                  <a:gs pos="100000">
                    <a:srgbClr val="4F81BD">
                      <a:tint val="23500"/>
                      <a:satMod val="160000"/>
                    </a:srgbClr>
                  </a:gs>
                </a:gsLst>
                <a:lin ang="5400000" scaled="0"/>
              </a:gradFill>
            </c:spPr>
          </c:dPt>
          <c:dPt>
            <c:idx val="56"/>
            <c:spPr>
              <a:gradFill>
                <a:gsLst>
                  <a:gs pos="0">
                    <a:srgbClr val="4F81BD">
                      <a:tint val="66000"/>
                      <a:satMod val="160000"/>
                    </a:srgbClr>
                  </a:gs>
                  <a:gs pos="50000">
                    <a:srgbClr val="4F81BD">
                      <a:tint val="44500"/>
                      <a:satMod val="160000"/>
                    </a:srgbClr>
                  </a:gs>
                  <a:gs pos="100000">
                    <a:srgbClr val="4F81BD">
                      <a:tint val="23500"/>
                      <a:satMod val="160000"/>
                    </a:srgbClr>
                  </a:gs>
                </a:gsLst>
                <a:lin ang="5400000" scaled="0"/>
              </a:gradFill>
            </c:spPr>
          </c:dPt>
          <c:dPt>
            <c:idx val="57"/>
            <c:spPr>
              <a:gradFill>
                <a:gsLst>
                  <a:gs pos="0">
                    <a:schemeClr val="accent1">
                      <a:tint val="66000"/>
                      <a:satMod val="160000"/>
                    </a:schemeClr>
                  </a:gs>
                  <a:gs pos="50000">
                    <a:schemeClr val="accent1">
                      <a:tint val="44500"/>
                      <a:satMod val="160000"/>
                    </a:schemeClr>
                  </a:gs>
                  <a:gs pos="100000">
                    <a:schemeClr val="accent1">
                      <a:tint val="23500"/>
                      <a:satMod val="160000"/>
                    </a:schemeClr>
                  </a:gs>
                </a:gsLst>
                <a:lin ang="5400000" scaled="0"/>
              </a:gradFill>
            </c:spPr>
          </c:dPt>
          <c:dLbls>
            <c:dLbl>
              <c:idx val="53"/>
              <c:showVal val="1"/>
            </c:dLbl>
            <c:dLbl>
              <c:idx val="56"/>
              <c:showVal val="1"/>
            </c:dLbl>
            <c:dLbl>
              <c:idx val="57"/>
              <c:layout>
                <c:manualLayout>
                  <c:x val="0"/>
                  <c:y val="3.5177146013645959E-2"/>
                </c:manualLayout>
              </c:layout>
              <c:tx>
                <c:rich>
                  <a:bodyPr/>
                  <a:lstStyle/>
                  <a:p>
                    <a:r>
                      <a:rPr lang="en-US" sz="700" b="1"/>
                      <a:t>50,1</a:t>
                    </a:r>
                  </a:p>
                </c:rich>
              </c:tx>
              <c:showVal val="1"/>
            </c:dLbl>
            <c:delete val="1"/>
          </c:dLbls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fr'!$B$4:$BG$4</c:f>
              <c:numCache>
                <c:formatCode>0.0</c:formatCode>
                <c:ptCount val="58"/>
                <c:pt idx="0">
                  <c:v>85.866502294191648</c:v>
                </c:pt>
                <c:pt idx="1">
                  <c:v>77.678707955852943</c:v>
                </c:pt>
                <c:pt idx="2">
                  <c:v>75.552480635756297</c:v>
                </c:pt>
                <c:pt idx="3">
                  <c:v>80.136884034904398</c:v>
                </c:pt>
                <c:pt idx="4">
                  <c:v>76.902419880745626</c:v>
                </c:pt>
                <c:pt idx="5">
                  <c:v>77.636131881705708</c:v>
                </c:pt>
                <c:pt idx="6">
                  <c:v>79.135624759962667</c:v>
                </c:pt>
                <c:pt idx="7">
                  <c:v>79.463913413558046</c:v>
                </c:pt>
                <c:pt idx="8">
                  <c:v>80.13608609361907</c:v>
                </c:pt>
                <c:pt idx="9">
                  <c:v>78.833388330574081</c:v>
                </c:pt>
                <c:pt idx="10">
                  <c:v>78.629956901853419</c:v>
                </c:pt>
                <c:pt idx="11">
                  <c:v>74.744893710814793</c:v>
                </c:pt>
                <c:pt idx="12">
                  <c:v>78.406406130604694</c:v>
                </c:pt>
                <c:pt idx="13">
                  <c:v>85.789532632532485</c:v>
                </c:pt>
                <c:pt idx="14">
                  <c:v>86.506225251482533</c:v>
                </c:pt>
                <c:pt idx="15">
                  <c:v>84.477214694877219</c:v>
                </c:pt>
                <c:pt idx="16">
                  <c:v>82.880478542821379</c:v>
                </c:pt>
                <c:pt idx="17">
                  <c:v>80.673652783725359</c:v>
                </c:pt>
                <c:pt idx="18">
                  <c:v>77.553867036569244</c:v>
                </c:pt>
                <c:pt idx="19">
                  <c:v>78.403353681349699</c:v>
                </c:pt>
                <c:pt idx="20">
                  <c:v>75.830193123476278</c:v>
                </c:pt>
                <c:pt idx="21">
                  <c:v>74.26831493920966</c:v>
                </c:pt>
                <c:pt idx="22">
                  <c:v>75.40113716912164</c:v>
                </c:pt>
                <c:pt idx="23">
                  <c:v>74.15325435026638</c:v>
                </c:pt>
                <c:pt idx="24">
                  <c:v>74.110620959006027</c:v>
                </c:pt>
                <c:pt idx="25">
                  <c:v>74.014553099961716</c:v>
                </c:pt>
                <c:pt idx="26">
                  <c:v>73.148145370690258</c:v>
                </c:pt>
                <c:pt idx="27">
                  <c:v>71.583460003653641</c:v>
                </c:pt>
                <c:pt idx="28">
                  <c:v>73.659282965035374</c:v>
                </c:pt>
                <c:pt idx="29">
                  <c:v>76.125099572807798</c:v>
                </c:pt>
                <c:pt idx="30">
                  <c:v>76.315005733685865</c:v>
                </c:pt>
                <c:pt idx="31">
                  <c:v>77.131028825386352</c:v>
                </c:pt>
                <c:pt idx="32">
                  <c:v>71.648499016392478</c:v>
                </c:pt>
                <c:pt idx="33">
                  <c:v>75.703427371681059</c:v>
                </c:pt>
                <c:pt idx="34">
                  <c:v>73.804891243097046</c:v>
                </c:pt>
                <c:pt idx="35">
                  <c:v>73.539376287214708</c:v>
                </c:pt>
                <c:pt idx="36">
                  <c:v>78.230698468980961</c:v>
                </c:pt>
                <c:pt idx="37">
                  <c:v>85.8</c:v>
                </c:pt>
                <c:pt idx="38">
                  <c:v>85.5</c:v>
                </c:pt>
                <c:pt idx="39">
                  <c:v>85.9</c:v>
                </c:pt>
                <c:pt idx="40">
                  <c:v>87.317111388814197</c:v>
                </c:pt>
                <c:pt idx="41">
                  <c:v>87.279337774029145</c:v>
                </c:pt>
                <c:pt idx="42">
                  <c:v>82.473279380066572</c:v>
                </c:pt>
                <c:pt idx="43">
                  <c:v>79.8</c:v>
                </c:pt>
                <c:pt idx="44">
                  <c:v>79.104981863169684</c:v>
                </c:pt>
                <c:pt idx="45">
                  <c:v>74.905107002702309</c:v>
                </c:pt>
                <c:pt idx="46">
                  <c:v>74.821311833193803</c:v>
                </c:pt>
                <c:pt idx="47">
                  <c:v>77.783342120372509</c:v>
                </c:pt>
                <c:pt idx="48">
                  <c:v>75.733160637772542</c:v>
                </c:pt>
                <c:pt idx="49">
                  <c:v>65.597735117391295</c:v>
                </c:pt>
                <c:pt idx="50" formatCode="#,##0.0">
                  <c:v>60.6</c:v>
                </c:pt>
                <c:pt idx="51">
                  <c:v>61.15460503678139</c:v>
                </c:pt>
                <c:pt idx="52">
                  <c:v>68.3</c:v>
                </c:pt>
                <c:pt idx="53">
                  <c:v>62.975895024721467</c:v>
                </c:pt>
                <c:pt idx="54">
                  <c:v>65.469321461685027</c:v>
                </c:pt>
                <c:pt idx="55">
                  <c:v>61.244838328447536</c:v>
                </c:pt>
                <c:pt idx="56" formatCode="#,##0.0">
                  <c:v>53.745567465683727</c:v>
                </c:pt>
                <c:pt idx="57" formatCode="#,##0.0">
                  <c:v>50.111231811293337</c:v>
                </c:pt>
              </c:numCache>
            </c:numRef>
          </c:val>
        </c:ser>
        <c:axId val="123199488"/>
        <c:axId val="123201408"/>
      </c:barChart>
      <c:catAx>
        <c:axId val="123199488"/>
        <c:scaling>
          <c:orientation val="minMax"/>
        </c:scaling>
        <c:axPos val="b"/>
        <c:numFmt formatCode="General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123201408"/>
        <c:crosses val="autoZero"/>
        <c:auto val="1"/>
        <c:lblAlgn val="ctr"/>
        <c:lblOffset val="100"/>
      </c:catAx>
      <c:valAx>
        <c:axId val="123201408"/>
        <c:scaling>
          <c:orientation val="minMax"/>
          <c:min val="40"/>
        </c:scaling>
        <c:axPos val="l"/>
        <c:numFmt formatCode="#,##0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123199488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1598358726282436E-2"/>
          <c:y val="2.8360879022585429E-2"/>
          <c:w val="0.91377198865953635"/>
          <c:h val="0.69947429407818729"/>
        </c:manualLayout>
      </c:layout>
      <c:lineChart>
        <c:grouping val="standard"/>
        <c:ser>
          <c:idx val="0"/>
          <c:order val="0"/>
          <c:tx>
            <c:strRef>
              <c:f>'tableau note fr'!$A$6</c:f>
              <c:strCache>
                <c:ptCount val="1"/>
                <c:pt idx="0">
                  <c:v>Evolution  passée du niveau de vie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fr'!$B$6:$BG$6</c:f>
              <c:numCache>
                <c:formatCode>#,##0.0</c:formatCode>
                <c:ptCount val="58"/>
                <c:pt idx="0">
                  <c:v>-10.399945582052929</c:v>
                </c:pt>
                <c:pt idx="1">
                  <c:v>-25.15337945599229</c:v>
                </c:pt>
                <c:pt idx="2">
                  <c:v>-31.141291421499744</c:v>
                </c:pt>
                <c:pt idx="3">
                  <c:v>-29.393844818665286</c:v>
                </c:pt>
                <c:pt idx="4">
                  <c:v>-36.652789359955584</c:v>
                </c:pt>
                <c:pt idx="5">
                  <c:v>-29.108394514506987</c:v>
                </c:pt>
                <c:pt idx="6">
                  <c:v>-25.702364309825629</c:v>
                </c:pt>
                <c:pt idx="7">
                  <c:v>-26.546435956901789</c:v>
                </c:pt>
                <c:pt idx="8">
                  <c:v>-25.723634629572988</c:v>
                </c:pt>
                <c:pt idx="9">
                  <c:v>-28.56499551903989</c:v>
                </c:pt>
                <c:pt idx="10">
                  <c:v>-27.930454212484364</c:v>
                </c:pt>
                <c:pt idx="11">
                  <c:v>-37.236760344983431</c:v>
                </c:pt>
                <c:pt idx="12">
                  <c:v>-26.050959167650099</c:v>
                </c:pt>
                <c:pt idx="13">
                  <c:v>-16.961438303130869</c:v>
                </c:pt>
                <c:pt idx="14">
                  <c:v>-13.439142519852023</c:v>
                </c:pt>
                <c:pt idx="15">
                  <c:v>-20.224270151200944</c:v>
                </c:pt>
                <c:pt idx="16">
                  <c:v>-26.170201326733839</c:v>
                </c:pt>
                <c:pt idx="17">
                  <c:v>-21.816848529134631</c:v>
                </c:pt>
                <c:pt idx="18">
                  <c:v>-27.85707555673623</c:v>
                </c:pt>
                <c:pt idx="19">
                  <c:v>-28.088708351168659</c:v>
                </c:pt>
                <c:pt idx="20">
                  <c:v>-29.212341127418195</c:v>
                </c:pt>
                <c:pt idx="21">
                  <c:v>-23.102864483982085</c:v>
                </c:pt>
                <c:pt idx="22">
                  <c:v>-21.158266803557588</c:v>
                </c:pt>
                <c:pt idx="23">
                  <c:v>-19.887264929132375</c:v>
                </c:pt>
                <c:pt idx="24">
                  <c:v>-18.060219769201886</c:v>
                </c:pt>
                <c:pt idx="25">
                  <c:v>-17.740461010850293</c:v>
                </c:pt>
                <c:pt idx="26">
                  <c:v>-17.387590506775613</c:v>
                </c:pt>
                <c:pt idx="27">
                  <c:v>-16.459915505713987</c:v>
                </c:pt>
                <c:pt idx="28">
                  <c:v>-14.108179132101393</c:v>
                </c:pt>
                <c:pt idx="29">
                  <c:v>-12.785821926678448</c:v>
                </c:pt>
                <c:pt idx="30">
                  <c:v>-15.129825087046068</c:v>
                </c:pt>
                <c:pt idx="31">
                  <c:v>-13.828410383657548</c:v>
                </c:pt>
                <c:pt idx="32">
                  <c:v>-22.864633579953768</c:v>
                </c:pt>
                <c:pt idx="33">
                  <c:v>-15.196177330129153</c:v>
                </c:pt>
                <c:pt idx="34">
                  <c:v>-17.372021059071617</c:v>
                </c:pt>
                <c:pt idx="35">
                  <c:v>-17.464225574589303</c:v>
                </c:pt>
                <c:pt idx="36">
                  <c:v>-11.990228520502566</c:v>
                </c:pt>
                <c:pt idx="37">
                  <c:v>-8.1644944099805006</c:v>
                </c:pt>
                <c:pt idx="38">
                  <c:v>-3.1370023233621227</c:v>
                </c:pt>
                <c:pt idx="39">
                  <c:v>-3.7719246964283601</c:v>
                </c:pt>
                <c:pt idx="40">
                  <c:v>-6.24696090915109</c:v>
                </c:pt>
                <c:pt idx="41" formatCode="0.0">
                  <c:v>-5.3830093381329069</c:v>
                </c:pt>
                <c:pt idx="42" formatCode="0.0">
                  <c:v>-9.5049571220917919</c:v>
                </c:pt>
                <c:pt idx="43" formatCode="0.0">
                  <c:v>-13.3</c:v>
                </c:pt>
                <c:pt idx="44" formatCode="0.0">
                  <c:v>-14.967427927122976</c:v>
                </c:pt>
                <c:pt idx="45" formatCode="0.0">
                  <c:v>-25.353008106891508</c:v>
                </c:pt>
                <c:pt idx="46" formatCode="0.0">
                  <c:v>-20.237097183526259</c:v>
                </c:pt>
                <c:pt idx="47" formatCode="0.0">
                  <c:v>-19.996896512157313</c:v>
                </c:pt>
                <c:pt idx="48" formatCode="0.0">
                  <c:v>-19.767991560587593</c:v>
                </c:pt>
                <c:pt idx="49" formatCode="0.0">
                  <c:v>-24.751522052511689</c:v>
                </c:pt>
                <c:pt idx="50">
                  <c:v>-35.633876933169311</c:v>
                </c:pt>
                <c:pt idx="51" formatCode="0.0">
                  <c:v>-46.607458922581912</c:v>
                </c:pt>
                <c:pt idx="52" formatCode="0.0">
                  <c:v>-50.5</c:v>
                </c:pt>
                <c:pt idx="53" formatCode="0.0">
                  <c:v>-50.789884569181041</c:v>
                </c:pt>
                <c:pt idx="54" formatCode="0.0">
                  <c:v>-41.509403430971062</c:v>
                </c:pt>
                <c:pt idx="55" formatCode="0.0">
                  <c:v>-55.207171712499431</c:v>
                </c:pt>
                <c:pt idx="56">
                  <c:v>-66.848800336369465</c:v>
                </c:pt>
                <c:pt idx="57" formatCode="###0.0">
                  <c:v>-72.973367191898419</c:v>
                </c:pt>
              </c:numCache>
            </c:numRef>
          </c:val>
        </c:ser>
        <c:ser>
          <c:idx val="1"/>
          <c:order val="1"/>
          <c:tx>
            <c:strRef>
              <c:f>'tableau note fr'!$A$7</c:f>
              <c:strCache>
                <c:ptCount val="1"/>
                <c:pt idx="0">
                  <c:v>Perspective d'évolution du niveau de vie</c:v>
                </c:pt>
              </c:strCache>
            </c:strRef>
          </c:tx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fr'!$B$7:$BG$7</c:f>
              <c:numCache>
                <c:formatCode>#,##0.0</c:formatCode>
                <c:ptCount val="58"/>
                <c:pt idx="0">
                  <c:v>14.440493946063453</c:v>
                </c:pt>
                <c:pt idx="1">
                  <c:v>-11.52673084245559</c:v>
                </c:pt>
                <c:pt idx="2">
                  <c:v>-21.380291437825413</c:v>
                </c:pt>
                <c:pt idx="3">
                  <c:v>-3.4692228168248267</c:v>
                </c:pt>
                <c:pt idx="4">
                  <c:v>-9.3118753956095954</c:v>
                </c:pt>
                <c:pt idx="5">
                  <c:v>-3.5223109272796771</c:v>
                </c:pt>
                <c:pt idx="6">
                  <c:v>8.4334302751112991E-2</c:v>
                </c:pt>
                <c:pt idx="7">
                  <c:v>2.1853913991610052</c:v>
                </c:pt>
                <c:pt idx="8">
                  <c:v>0.39154986438085693</c:v>
                </c:pt>
                <c:pt idx="9">
                  <c:v>2.7314646872285109</c:v>
                </c:pt>
                <c:pt idx="10">
                  <c:v>0.19418325799955102</c:v>
                </c:pt>
                <c:pt idx="11">
                  <c:v>-11.371112777150765</c:v>
                </c:pt>
                <c:pt idx="12">
                  <c:v>-1.8875512037963609</c:v>
                </c:pt>
                <c:pt idx="13">
                  <c:v>18.132139936578785</c:v>
                </c:pt>
                <c:pt idx="14">
                  <c:v>11.870106120928302</c:v>
                </c:pt>
                <c:pt idx="15">
                  <c:v>13.146309479543481</c:v>
                </c:pt>
                <c:pt idx="16">
                  <c:v>11.211772002164619</c:v>
                </c:pt>
                <c:pt idx="17">
                  <c:v>8.9776180181468028</c:v>
                </c:pt>
                <c:pt idx="18">
                  <c:v>-3.2327838268829292</c:v>
                </c:pt>
                <c:pt idx="19">
                  <c:v>-1.2159862376115478</c:v>
                </c:pt>
                <c:pt idx="20">
                  <c:v>-5.0957647237932591</c:v>
                </c:pt>
                <c:pt idx="21">
                  <c:v>-4.2068608448306479</c:v>
                </c:pt>
                <c:pt idx="22">
                  <c:v>-3.0973555754801207</c:v>
                </c:pt>
                <c:pt idx="23">
                  <c:v>-7.9340099346010531</c:v>
                </c:pt>
                <c:pt idx="24">
                  <c:v>-11.389732068783619</c:v>
                </c:pt>
                <c:pt idx="25">
                  <c:v>-13.063768224593518</c:v>
                </c:pt>
                <c:pt idx="26">
                  <c:v>-13.090700094553394</c:v>
                </c:pt>
                <c:pt idx="27">
                  <c:v>-12.672429336417764</c:v>
                </c:pt>
                <c:pt idx="28">
                  <c:v>-8.8537661336825266</c:v>
                </c:pt>
                <c:pt idx="29">
                  <c:v>-7.2727206831161846</c:v>
                </c:pt>
                <c:pt idx="30">
                  <c:v>-7.7131091840762114</c:v>
                </c:pt>
                <c:pt idx="31">
                  <c:v>-8.0828133778612727</c:v>
                </c:pt>
                <c:pt idx="32">
                  <c:v>-14.22824639578895</c:v>
                </c:pt>
                <c:pt idx="33">
                  <c:v>-7.5906192549525784</c:v>
                </c:pt>
                <c:pt idx="34">
                  <c:v>-7.0591296227720894</c:v>
                </c:pt>
                <c:pt idx="35">
                  <c:v>-2.3745123557304657</c:v>
                </c:pt>
                <c:pt idx="36">
                  <c:v>5.7386765593441833</c:v>
                </c:pt>
                <c:pt idx="37">
                  <c:v>11.056984366480355</c:v>
                </c:pt>
                <c:pt idx="38">
                  <c:v>10.513852464527606</c:v>
                </c:pt>
                <c:pt idx="39">
                  <c:v>11.534776778164916</c:v>
                </c:pt>
                <c:pt idx="40">
                  <c:v>16.612852585837704</c:v>
                </c:pt>
                <c:pt idx="41" formatCode="0.0">
                  <c:v>14.986375562038818</c:v>
                </c:pt>
                <c:pt idx="42" formatCode="0.0">
                  <c:v>11.908882798368182</c:v>
                </c:pt>
                <c:pt idx="43" formatCode="0.0">
                  <c:v>9</c:v>
                </c:pt>
                <c:pt idx="44" formatCode="0.0">
                  <c:v>9.9894562713734381</c:v>
                </c:pt>
                <c:pt idx="45" formatCode="0.0">
                  <c:v>4.7256177899689273</c:v>
                </c:pt>
                <c:pt idx="46" formatCode="0.0">
                  <c:v>-3.6764057837750337</c:v>
                </c:pt>
                <c:pt idx="47" formatCode="0.0">
                  <c:v>-2.1591381326741157</c:v>
                </c:pt>
                <c:pt idx="48" formatCode="0.0">
                  <c:v>-4.6486149345966226</c:v>
                </c:pt>
                <c:pt idx="49" formatCode="0.0">
                  <c:v>-11.439989639150372</c:v>
                </c:pt>
                <c:pt idx="50">
                  <c:v>-17.395183495255491</c:v>
                </c:pt>
                <c:pt idx="51" formatCode="0.0">
                  <c:v>-17.398438698388123</c:v>
                </c:pt>
                <c:pt idx="52" formatCode="0.0">
                  <c:v>13.2</c:v>
                </c:pt>
                <c:pt idx="53" formatCode="0.0">
                  <c:v>0.23038768840290041</c:v>
                </c:pt>
                <c:pt idx="54" formatCode="0.0">
                  <c:v>9.3481827020713499</c:v>
                </c:pt>
                <c:pt idx="55" formatCode="0.0">
                  <c:v>-1.3718594161528617</c:v>
                </c:pt>
                <c:pt idx="56">
                  <c:v>-21.440746708881584</c:v>
                </c:pt>
                <c:pt idx="57" formatCode="###0.0">
                  <c:v>-34.307671667317265</c:v>
                </c:pt>
              </c:numCache>
            </c:numRef>
          </c:val>
        </c:ser>
        <c:marker val="1"/>
        <c:axId val="124055552"/>
        <c:axId val="124057856"/>
      </c:lineChart>
      <c:catAx>
        <c:axId val="12405555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24057856"/>
        <c:crosses val="autoZero"/>
        <c:auto val="1"/>
        <c:lblAlgn val="ctr"/>
        <c:lblOffset val="100"/>
      </c:catAx>
      <c:valAx>
        <c:axId val="124057856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600"/>
            </a:pPr>
            <a:endParaRPr lang="fr-FR"/>
          </a:p>
        </c:txPr>
        <c:crossAx val="124055552"/>
        <c:crosses val="autoZero"/>
        <c:crossBetween val="between"/>
      </c:valAx>
    </c:plotArea>
    <c:legend>
      <c:legendPos val="b"/>
      <c:txPr>
        <a:bodyPr/>
        <a:lstStyle/>
        <a:p>
          <a:pPr>
            <a:defRPr lang="en-US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6.0663943301580141E-2"/>
          <c:y val="4.8422457344390504E-2"/>
          <c:w val="0.93168891738334936"/>
          <c:h val="0.8051438029133211"/>
        </c:manualLayout>
      </c:layout>
      <c:lineChart>
        <c:grouping val="standard"/>
        <c:ser>
          <c:idx val="0"/>
          <c:order val="0"/>
          <c:tx>
            <c:strRef>
              <c:f>'tableau note fr'!$A$5</c:f>
              <c:strCache>
                <c:ptCount val="1"/>
                <c:pt idx="0">
                  <c:v>Perspective d'évolution du nombre de chômeur</c:v>
                </c:pt>
              </c:strCache>
            </c:strRef>
          </c:tx>
          <c:marker>
            <c:symbol val="none"/>
          </c:marker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fr'!$B$5:$BG$5</c:f>
              <c:numCache>
                <c:formatCode>#,##0.0</c:formatCode>
                <c:ptCount val="58"/>
                <c:pt idx="0">
                  <c:v>-52.095692279179246</c:v>
                </c:pt>
                <c:pt idx="1">
                  <c:v>-56.601297669293217</c:v>
                </c:pt>
                <c:pt idx="2">
                  <c:v>-51.593765595534528</c:v>
                </c:pt>
                <c:pt idx="3">
                  <c:v>-51.137343653505525</c:v>
                </c:pt>
                <c:pt idx="4">
                  <c:v>-50.999102607130283</c:v>
                </c:pt>
                <c:pt idx="5">
                  <c:v>-59.135165785990033</c:v>
                </c:pt>
                <c:pt idx="6">
                  <c:v>-57.930600458568435</c:v>
                </c:pt>
                <c:pt idx="7">
                  <c:v>-57.517749523976477</c:v>
                </c:pt>
                <c:pt idx="8">
                  <c:v>-59.239397454073007</c:v>
                </c:pt>
                <c:pt idx="9">
                  <c:v>-61.048152851769579</c:v>
                </c:pt>
                <c:pt idx="10">
                  <c:v>-56.106436371502731</c:v>
                </c:pt>
                <c:pt idx="11">
                  <c:v>-52.335316844022493</c:v>
                </c:pt>
                <c:pt idx="12">
                  <c:v>-52.408437207990296</c:v>
                </c:pt>
                <c:pt idx="13">
                  <c:v>-45.982278486233433</c:v>
                </c:pt>
                <c:pt idx="14">
                  <c:v>-40.986479794930496</c:v>
                </c:pt>
                <c:pt idx="15">
                  <c:v>-41.619683700101234</c:v>
                </c:pt>
                <c:pt idx="16">
                  <c:v>-44.058495214148614</c:v>
                </c:pt>
                <c:pt idx="17">
                  <c:v>-48.557155794606146</c:v>
                </c:pt>
                <c:pt idx="18">
                  <c:v>-56.657119953107134</c:v>
                </c:pt>
                <c:pt idx="19">
                  <c:v>-58.054676707354794</c:v>
                </c:pt>
                <c:pt idx="20">
                  <c:v>-61.683132655398175</c:v>
                </c:pt>
                <c:pt idx="21">
                  <c:v>-67.848891093145681</c:v>
                </c:pt>
                <c:pt idx="22">
                  <c:v>-69.816287861188869</c:v>
                </c:pt>
                <c:pt idx="23">
                  <c:v>-68.20001271186625</c:v>
                </c:pt>
                <c:pt idx="24">
                  <c:v>-69.100751044168078</c:v>
                </c:pt>
                <c:pt idx="25">
                  <c:v>-66.493969881109336</c:v>
                </c:pt>
                <c:pt idx="26">
                  <c:v>-68.825577821249794</c:v>
                </c:pt>
                <c:pt idx="27">
                  <c:v>-68.019160185663324</c:v>
                </c:pt>
                <c:pt idx="28">
                  <c:v>-65.155740215393536</c:v>
                </c:pt>
                <c:pt idx="29">
                  <c:v>-67.05648182258949</c:v>
                </c:pt>
                <c:pt idx="30">
                  <c:v>-66.189276460398091</c:v>
                </c:pt>
                <c:pt idx="31">
                  <c:v>-64.100777949741669</c:v>
                </c:pt>
                <c:pt idx="32">
                  <c:v>-67.73444283636087</c:v>
                </c:pt>
                <c:pt idx="33">
                  <c:v>-68.976178952187567</c:v>
                </c:pt>
                <c:pt idx="34">
                  <c:v>-70.599999999999994</c:v>
                </c:pt>
                <c:pt idx="35">
                  <c:v>-66.808709762830389</c:v>
                </c:pt>
                <c:pt idx="36">
                  <c:v>-64.932045987858601</c:v>
                </c:pt>
                <c:pt idx="37">
                  <c:v>-54.327058153454743</c:v>
                </c:pt>
                <c:pt idx="38">
                  <c:v>-59.886763094223099</c:v>
                </c:pt>
                <c:pt idx="39">
                  <c:v>-58.5</c:v>
                </c:pt>
                <c:pt idx="40">
                  <c:v>-54.525998602090162</c:v>
                </c:pt>
                <c:pt idx="41" formatCode="0.0">
                  <c:v>-61.706282712863526</c:v>
                </c:pt>
                <c:pt idx="42" formatCode="0.0">
                  <c:v>-65.247643368132231</c:v>
                </c:pt>
                <c:pt idx="43" formatCode="0.0">
                  <c:v>-70</c:v>
                </c:pt>
                <c:pt idx="44" formatCode="0.0">
                  <c:v>-75.565732444458718</c:v>
                </c:pt>
                <c:pt idx="45" formatCode="0.0">
                  <c:v>-76.905120512383789</c:v>
                </c:pt>
                <c:pt idx="46" formatCode="0.0">
                  <c:v>-71.81769794194058</c:v>
                </c:pt>
                <c:pt idx="47" formatCode="0.0">
                  <c:v>-71.645886731132009</c:v>
                </c:pt>
                <c:pt idx="48" formatCode="0.0">
                  <c:v>-70.7934404370435</c:v>
                </c:pt>
                <c:pt idx="49" formatCode="0.0">
                  <c:v>-75.168553605935429</c:v>
                </c:pt>
                <c:pt idx="50">
                  <c:v>-82.012609773267997</c:v>
                </c:pt>
                <c:pt idx="51" formatCode="0.0">
                  <c:v>-78.280561499164364</c:v>
                </c:pt>
                <c:pt idx="52" formatCode="0.0">
                  <c:v>-62.2</c:v>
                </c:pt>
                <c:pt idx="53" formatCode="0.0">
                  <c:v>-69.830611321827732</c:v>
                </c:pt>
                <c:pt idx="54" formatCode="0.0">
                  <c:v>-78.313406558982848</c:v>
                </c:pt>
                <c:pt idx="55" formatCode="0.0">
                  <c:v>-77.577031249355031</c:v>
                </c:pt>
                <c:pt idx="56">
                  <c:v>-82.803590957343502</c:v>
                </c:pt>
                <c:pt idx="57" formatCode="###0.0">
                  <c:v>-81.13998967210614</c:v>
                </c:pt>
              </c:numCache>
            </c:numRef>
          </c:val>
        </c:ser>
        <c:marker val="1"/>
        <c:axId val="124465152"/>
        <c:axId val="124467072"/>
      </c:lineChart>
      <c:catAx>
        <c:axId val="124465152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24467072"/>
        <c:crosses val="autoZero"/>
        <c:auto val="1"/>
        <c:lblAlgn val="ctr"/>
        <c:lblOffset val="100"/>
      </c:catAx>
      <c:valAx>
        <c:axId val="124467072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600"/>
            </a:pPr>
            <a:endParaRPr lang="fr-FR"/>
          </a:p>
        </c:txPr>
        <c:crossAx val="124465152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4.4033556097871122E-2"/>
          <c:y val="4.9432076446783477E-2"/>
          <c:w val="0.94772791848141646"/>
          <c:h val="0.83418687755195997"/>
        </c:manualLayout>
      </c:layout>
      <c:lineChart>
        <c:grouping val="standard"/>
        <c:ser>
          <c:idx val="0"/>
          <c:order val="0"/>
          <c:tx>
            <c:strRef>
              <c:f>'tableau note fr'!$A$8</c:f>
              <c:strCache>
                <c:ptCount val="1"/>
                <c:pt idx="0">
                  <c:v>Opportunité d'achat</c:v>
                </c:pt>
              </c:strCache>
            </c:strRef>
          </c:tx>
          <c:marker>
            <c:symbol val="none"/>
          </c:marker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fr'!$B$8:$BG$8</c:f>
              <c:numCache>
                <c:formatCode>#,##0.0</c:formatCode>
                <c:ptCount val="58"/>
                <c:pt idx="0">
                  <c:v>-30.018449770831772</c:v>
                </c:pt>
                <c:pt idx="1">
                  <c:v>-34.254528080670752</c:v>
                </c:pt>
                <c:pt idx="2">
                  <c:v>-37.471777984571169</c:v>
                </c:pt>
                <c:pt idx="3">
                  <c:v>-39.103064640682895</c:v>
                </c:pt>
                <c:pt idx="4">
                  <c:v>-41.765350509033972</c:v>
                </c:pt>
                <c:pt idx="5">
                  <c:v>-46.542730671354157</c:v>
                </c:pt>
                <c:pt idx="6">
                  <c:v>-43.408027388108131</c:v>
                </c:pt>
                <c:pt idx="7">
                  <c:v>-42.642623532569331</c:v>
                </c:pt>
                <c:pt idx="8">
                  <c:v>-34.756506471721544</c:v>
                </c:pt>
                <c:pt idx="9">
                  <c:v>-37.532519098271905</c:v>
                </c:pt>
                <c:pt idx="10">
                  <c:v>-36.012077907569903</c:v>
                </c:pt>
                <c:pt idx="11">
                  <c:v>-44.335673139521013</c:v>
                </c:pt>
                <c:pt idx="12">
                  <c:v>-39.860076277616685</c:v>
                </c:pt>
                <c:pt idx="13">
                  <c:v>-39.017818744674372</c:v>
                </c:pt>
                <c:pt idx="14">
                  <c:v>-36.350911088685244</c:v>
                </c:pt>
                <c:pt idx="15">
                  <c:v>-38.491211120248494</c:v>
                </c:pt>
                <c:pt idx="16">
                  <c:v>-32.485234146306901</c:v>
                </c:pt>
                <c:pt idx="17">
                  <c:v>-37.388587169100447</c:v>
                </c:pt>
                <c:pt idx="18">
                  <c:v>-29.521996232881474</c:v>
                </c:pt>
                <c:pt idx="19">
                  <c:v>-29.332441443088875</c:v>
                </c:pt>
                <c:pt idx="20">
                  <c:v>-28.348240299081681</c:v>
                </c:pt>
                <c:pt idx="21">
                  <c:v>-31.722199742496027</c:v>
                </c:pt>
                <c:pt idx="22">
                  <c:v>-29.53704552622213</c:v>
                </c:pt>
                <c:pt idx="23">
                  <c:v>-31.849081241594892</c:v>
                </c:pt>
                <c:pt idx="24">
                  <c:v>-31.319060011477994</c:v>
                </c:pt>
                <c:pt idx="25">
                  <c:v>-28.892463445062127</c:v>
                </c:pt>
                <c:pt idx="26">
                  <c:v>-33.067265037911191</c:v>
                </c:pt>
                <c:pt idx="27">
                  <c:v>-38.061946980941102</c:v>
                </c:pt>
                <c:pt idx="28">
                  <c:v>-36.986420638663795</c:v>
                </c:pt>
                <c:pt idx="29">
                  <c:v>-35.967938268219903</c:v>
                </c:pt>
                <c:pt idx="30">
                  <c:v>-34.247070009141204</c:v>
                </c:pt>
                <c:pt idx="31">
                  <c:v>-37.509325471422422</c:v>
                </c:pt>
                <c:pt idx="32">
                  <c:v>-40.239810197161113</c:v>
                </c:pt>
                <c:pt idx="33">
                  <c:v>-34.794169125290885</c:v>
                </c:pt>
                <c:pt idx="34">
                  <c:v>-40.511458517814845</c:v>
                </c:pt>
                <c:pt idx="35">
                  <c:v>-43.033835365277199</c:v>
                </c:pt>
                <c:pt idx="36">
                  <c:v>-39.999291784066394</c:v>
                </c:pt>
                <c:pt idx="37">
                  <c:v>-28.160977836062902</c:v>
                </c:pt>
                <c:pt idx="38">
                  <c:v>-31.475843594428071</c:v>
                </c:pt>
                <c:pt idx="39">
                  <c:v>-25.6</c:v>
                </c:pt>
                <c:pt idx="40">
                  <c:v>-27.189644342164517</c:v>
                </c:pt>
                <c:pt idx="41" formatCode="0.0">
                  <c:v>-25.753095123938731</c:v>
                </c:pt>
                <c:pt idx="42" formatCode="0.0">
                  <c:v>-30.193271317535196</c:v>
                </c:pt>
                <c:pt idx="43" formatCode="0.0">
                  <c:v>-36.800000000000004</c:v>
                </c:pt>
                <c:pt idx="44" formatCode="0.0">
                  <c:v>-36.294477943510053</c:v>
                </c:pt>
                <c:pt idx="45" formatCode="0.0">
                  <c:v>-41.423646990592751</c:v>
                </c:pt>
                <c:pt idx="46" formatCode="0.0">
                  <c:v>-37.730567473068341</c:v>
                </c:pt>
                <c:pt idx="47" formatCode="0.0">
                  <c:v>-29.21833531467249</c:v>
                </c:pt>
                <c:pt idx="48" formatCode="0.0">
                  <c:v>-32.611752500665851</c:v>
                </c:pt>
                <c:pt idx="49" formatCode="0.0">
                  <c:v>-67.951617125134092</c:v>
                </c:pt>
                <c:pt idx="50">
                  <c:v>-63.469757370471989</c:v>
                </c:pt>
                <c:pt idx="51" formatCode="0.0">
                  <c:v>-61.233843482530801</c:v>
                </c:pt>
                <c:pt idx="52" formatCode="0.0">
                  <c:v>-61.6</c:v>
                </c:pt>
                <c:pt idx="53" formatCode="0.0">
                  <c:v>-65.565215742281509</c:v>
                </c:pt>
                <c:pt idx="54" formatCode="0.0">
                  <c:v>-61.974386136345984</c:v>
                </c:pt>
                <c:pt idx="55" formatCode="0.0">
                  <c:v>-62.794548879325561</c:v>
                </c:pt>
                <c:pt idx="56">
                  <c:v>-66.694844970978195</c:v>
                </c:pt>
                <c:pt idx="57" formatCode="###0.0">
                  <c:v>-69.145089033375214</c:v>
                </c:pt>
              </c:numCache>
            </c:numRef>
          </c:val>
        </c:ser>
        <c:marker val="1"/>
        <c:axId val="125305600"/>
        <c:axId val="125308288"/>
      </c:lineChart>
      <c:catAx>
        <c:axId val="125305600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25308288"/>
        <c:crosses val="autoZero"/>
        <c:auto val="1"/>
        <c:lblAlgn val="ctr"/>
        <c:lblOffset val="100"/>
      </c:catAx>
      <c:valAx>
        <c:axId val="125308288"/>
        <c:scaling>
          <c:orientation val="minMax"/>
        </c:scaling>
        <c:axPos val="l"/>
        <c:majorGridlines/>
        <c:numFmt formatCode="#,##0" sourceLinked="0"/>
        <c:tickLblPos val="nextTo"/>
        <c:txPr>
          <a:bodyPr/>
          <a:lstStyle/>
          <a:p>
            <a:pPr>
              <a:defRPr lang="en-US" sz="600"/>
            </a:pPr>
            <a:endParaRPr lang="fr-FR"/>
          </a:p>
        </c:txPr>
        <c:crossAx val="125305600"/>
        <c:crosses val="autoZero"/>
        <c:crossBetween val="between"/>
      </c:valAx>
    </c:plotArea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5.6863351819674883E-2"/>
          <c:y val="5.5882378210969405E-2"/>
          <c:w val="0.91973204979759959"/>
          <c:h val="0.6252701972610577"/>
        </c:manualLayout>
      </c:layout>
      <c:lineChart>
        <c:grouping val="standard"/>
        <c:ser>
          <c:idx val="0"/>
          <c:order val="0"/>
          <c:tx>
            <c:strRef>
              <c:f>'tableau note fr'!$A$9</c:f>
              <c:strCache>
                <c:ptCount val="1"/>
                <c:pt idx="0">
                  <c:v>Situation financière actuelle des ménages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fr'!$B$9:$BG$9</c:f>
              <c:numCache>
                <c:formatCode>#,##0.0</c:formatCode>
                <c:ptCount val="58"/>
                <c:pt idx="0">
                  <c:v>-33.000396349797541</c:v>
                </c:pt>
                <c:pt idx="1">
                  <c:v>-32.92085732825101</c:v>
                </c:pt>
                <c:pt idx="2">
                  <c:v>-34.418326375664194</c:v>
                </c:pt>
                <c:pt idx="3">
                  <c:v>-33.119220631579381</c:v>
                </c:pt>
                <c:pt idx="4">
                  <c:v>-31.284887127595891</c:v>
                </c:pt>
                <c:pt idx="5">
                  <c:v>-26.871936633729426</c:v>
                </c:pt>
                <c:pt idx="6">
                  <c:v>-28.286909450889887</c:v>
                </c:pt>
                <c:pt idx="7">
                  <c:v>-25.297554133135563</c:v>
                </c:pt>
                <c:pt idx="8">
                  <c:v>-27.535808431365773</c:v>
                </c:pt>
                <c:pt idx="9">
                  <c:v>-27.628417792744592</c:v>
                </c:pt>
                <c:pt idx="10">
                  <c:v>-29.997502753451052</c:v>
                </c:pt>
                <c:pt idx="11">
                  <c:v>-28.062624892496299</c:v>
                </c:pt>
                <c:pt idx="12">
                  <c:v>-30.645498931903717</c:v>
                </c:pt>
                <c:pt idx="13">
                  <c:v>-27.092549889444296</c:v>
                </c:pt>
                <c:pt idx="14">
                  <c:v>-24.28899054728441</c:v>
                </c:pt>
                <c:pt idx="15">
                  <c:v>-25.669712181349716</c:v>
                </c:pt>
                <c:pt idx="16">
                  <c:v>-25.435462945688826</c:v>
                </c:pt>
                <c:pt idx="17">
                  <c:v>-31.040689498948886</c:v>
                </c:pt>
                <c:pt idx="18">
                  <c:v>-30.846093343724185</c:v>
                </c:pt>
                <c:pt idx="19">
                  <c:v>-29.426966691861253</c:v>
                </c:pt>
                <c:pt idx="20">
                  <c:v>-29.764200665198015</c:v>
                </c:pt>
                <c:pt idx="21">
                  <c:v>-30.168616451396016</c:v>
                </c:pt>
                <c:pt idx="22">
                  <c:v>-29.484131282651205</c:v>
                </c:pt>
                <c:pt idx="23">
                  <c:v>-29.485585569479934</c:v>
                </c:pt>
                <c:pt idx="24">
                  <c:v>-31.290770339915028</c:v>
                </c:pt>
                <c:pt idx="25">
                  <c:v>-29.704256665370011</c:v>
                </c:pt>
                <c:pt idx="26">
                  <c:v>-28.344504427944035</c:v>
                </c:pt>
                <c:pt idx="27">
                  <c:v>-30.637429411694065</c:v>
                </c:pt>
                <c:pt idx="28">
                  <c:v>-32.404955656558201</c:v>
                </c:pt>
                <c:pt idx="29">
                  <c:v>-28</c:v>
                </c:pt>
                <c:pt idx="30">
                  <c:v>-25.071467645625653</c:v>
                </c:pt>
                <c:pt idx="31">
                  <c:v>-25.699936983325856</c:v>
                </c:pt>
                <c:pt idx="32">
                  <c:v>-27.232686212381402</c:v>
                </c:pt>
                <c:pt idx="33">
                  <c:v>-22.997618165471859</c:v>
                </c:pt>
                <c:pt idx="34">
                  <c:v>-25.8</c:v>
                </c:pt>
                <c:pt idx="35">
                  <c:v>-28.725836843764025</c:v>
                </c:pt>
                <c:pt idx="36">
                  <c:v>-27.797585066069505</c:v>
                </c:pt>
                <c:pt idx="37">
                  <c:v>-25.340990239285759</c:v>
                </c:pt>
                <c:pt idx="38">
                  <c:v>-22.581783906285729</c:v>
                </c:pt>
                <c:pt idx="39">
                  <c:v>-24.392000147868323</c:v>
                </c:pt>
                <c:pt idx="40">
                  <c:v>-25.236685531801321</c:v>
                </c:pt>
                <c:pt idx="41" formatCode="0.0">
                  <c:v>-24.077817715725971</c:v>
                </c:pt>
                <c:pt idx="42" formatCode="0.0">
                  <c:v>-29.675061855859198</c:v>
                </c:pt>
                <c:pt idx="43" formatCode="0.0">
                  <c:v>-28.4</c:v>
                </c:pt>
                <c:pt idx="44" formatCode="0.0">
                  <c:v>-28.874306637901324</c:v>
                </c:pt>
                <c:pt idx="45" formatCode="0.0">
                  <c:v>-30.794330285810986</c:v>
                </c:pt>
                <c:pt idx="46" formatCode="0.0">
                  <c:v>-29.543474949783889</c:v>
                </c:pt>
                <c:pt idx="47" formatCode="0.0">
                  <c:v>-26.38685501138583</c:v>
                </c:pt>
                <c:pt idx="48" formatCode="0.0">
                  <c:v>-27.711995909750652</c:v>
                </c:pt>
                <c:pt idx="49" formatCode="0.0">
                  <c:v>-29.95522089472162</c:v>
                </c:pt>
                <c:pt idx="50">
                  <c:v>-31.504825451700487</c:v>
                </c:pt>
                <c:pt idx="51" formatCode="0.0">
                  <c:v>-29.083585505842859</c:v>
                </c:pt>
                <c:pt idx="52" formatCode="0.0">
                  <c:v>-34.4</c:v>
                </c:pt>
                <c:pt idx="53" formatCode="0.0">
                  <c:v>-38.035486047325477</c:v>
                </c:pt>
                <c:pt idx="54" formatCode="0.0">
                  <c:v>-36.428256542769461</c:v>
                </c:pt>
                <c:pt idx="55" formatCode="0.0">
                  <c:v>-40.395301048613071</c:v>
                </c:pt>
                <c:pt idx="56">
                  <c:v>-43.360121736390973</c:v>
                </c:pt>
                <c:pt idx="57" formatCode="###0.0">
                  <c:v>-42.859520384168782</c:v>
                </c:pt>
              </c:numCache>
            </c:numRef>
          </c:val>
        </c:ser>
        <c:ser>
          <c:idx val="1"/>
          <c:order val="1"/>
          <c:tx>
            <c:strRef>
              <c:f>'tableau note fr'!$A$10</c:f>
              <c:strCache>
                <c:ptCount val="1"/>
                <c:pt idx="0">
                  <c:v>Evolution  passée de la situation financière des ménages</c:v>
                </c:pt>
              </c:strCache>
            </c:strRef>
          </c:tx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fr'!$B$10:$BG$10</c:f>
              <c:numCache>
                <c:formatCode>#,##0.0</c:formatCode>
                <c:ptCount val="58"/>
                <c:pt idx="0">
                  <c:v>-11.760493904860514</c:v>
                </c:pt>
                <c:pt idx="1">
                  <c:v>-11.376439540974184</c:v>
                </c:pt>
                <c:pt idx="2">
                  <c:v>-11.707546774199256</c:v>
                </c:pt>
                <c:pt idx="3">
                  <c:v>-9.5250570435126427</c:v>
                </c:pt>
                <c:pt idx="4">
                  <c:v>-18.438210074457341</c:v>
                </c:pt>
                <c:pt idx="5">
                  <c:v>-13.353492384896773</c:v>
                </c:pt>
                <c:pt idx="6">
                  <c:v>-8.3398771422969418</c:v>
                </c:pt>
                <c:pt idx="7">
                  <c:v>-11.02764060888175</c:v>
                </c:pt>
                <c:pt idx="8">
                  <c:v>-9.9712946623485852</c:v>
                </c:pt>
                <c:pt idx="9">
                  <c:v>-7.900036816111526</c:v>
                </c:pt>
                <c:pt idx="10">
                  <c:v>-7.5448517126855705</c:v>
                </c:pt>
                <c:pt idx="11">
                  <c:v>-12.80990794833837</c:v>
                </c:pt>
                <c:pt idx="12">
                  <c:v>-10.526395373972909</c:v>
                </c:pt>
                <c:pt idx="13">
                  <c:v>-8.9058745431594577</c:v>
                </c:pt>
                <c:pt idx="14">
                  <c:v>-6.3663328535796895</c:v>
                </c:pt>
                <c:pt idx="15">
                  <c:v>-9.8004349690184149</c:v>
                </c:pt>
                <c:pt idx="16">
                  <c:v>-14.12986220998387</c:v>
                </c:pt>
                <c:pt idx="17">
                  <c:v>-16.595107957258964</c:v>
                </c:pt>
                <c:pt idx="18">
                  <c:v>-16.673706990082124</c:v>
                </c:pt>
                <c:pt idx="19">
                  <c:v>-15.707035536653336</c:v>
                </c:pt>
                <c:pt idx="20">
                  <c:v>-19.633449783694058</c:v>
                </c:pt>
                <c:pt idx="21">
                  <c:v>-23.788807201688929</c:v>
                </c:pt>
                <c:pt idx="22">
                  <c:v>-21.891965579068518</c:v>
                </c:pt>
                <c:pt idx="23">
                  <c:v>-21.870867995539985</c:v>
                </c:pt>
                <c:pt idx="24">
                  <c:v>-21.277780753263979</c:v>
                </c:pt>
                <c:pt idx="25">
                  <c:v>-23.337257864101161</c:v>
                </c:pt>
                <c:pt idx="26">
                  <c:v>-25.773771694272</c:v>
                </c:pt>
                <c:pt idx="27">
                  <c:v>-29.150994705705731</c:v>
                </c:pt>
                <c:pt idx="28">
                  <c:v>-26.965288381475748</c:v>
                </c:pt>
                <c:pt idx="29">
                  <c:v>-20.216971341645095</c:v>
                </c:pt>
                <c:pt idx="30">
                  <c:v>-20.789363149769258</c:v>
                </c:pt>
                <c:pt idx="31">
                  <c:v>-18.50333400384844</c:v>
                </c:pt>
                <c:pt idx="32">
                  <c:v>-27.398022856415206</c:v>
                </c:pt>
                <c:pt idx="33">
                  <c:v>-22.820131487915329</c:v>
                </c:pt>
                <c:pt idx="34">
                  <c:v>-26.987361336961168</c:v>
                </c:pt>
                <c:pt idx="35">
                  <c:v>-33.305012733303052</c:v>
                </c:pt>
                <c:pt idx="36">
                  <c:v>-26.764408087130526</c:v>
                </c:pt>
                <c:pt idx="37">
                  <c:v>-16.626704252959726</c:v>
                </c:pt>
                <c:pt idx="38">
                  <c:v>-14.506801572644624</c:v>
                </c:pt>
                <c:pt idx="39">
                  <c:v>-16.7</c:v>
                </c:pt>
                <c:pt idx="40">
                  <c:v>-18.12020796730943</c:v>
                </c:pt>
                <c:pt idx="41" formatCode="0.0">
                  <c:v>-15.241299993196501</c:v>
                </c:pt>
                <c:pt idx="42" formatCode="0.0">
                  <c:v>-18.212765523946558</c:v>
                </c:pt>
                <c:pt idx="43" formatCode="0.0">
                  <c:v>-20.7</c:v>
                </c:pt>
                <c:pt idx="44" formatCode="0.0">
                  <c:v>-21.239570741294095</c:v>
                </c:pt>
                <c:pt idx="45" formatCode="0.0">
                  <c:v>-24.187755596841431</c:v>
                </c:pt>
                <c:pt idx="46" formatCode="0.0">
                  <c:v>-26.020639530378219</c:v>
                </c:pt>
                <c:pt idx="47" formatCode="0.0">
                  <c:v>-22.058531326387186</c:v>
                </c:pt>
                <c:pt idx="48" formatCode="0.0">
                  <c:v>-22.87812787616225</c:v>
                </c:pt>
                <c:pt idx="49" formatCode="0.0">
                  <c:v>-26.986745192981438</c:v>
                </c:pt>
                <c:pt idx="50">
                  <c:v>-33.978821699551595</c:v>
                </c:pt>
                <c:pt idx="51" formatCode="0.0">
                  <c:v>-39.901098518697083</c:v>
                </c:pt>
                <c:pt idx="52" formatCode="0.0">
                  <c:v>-47.4</c:v>
                </c:pt>
                <c:pt idx="53" formatCode="0.0">
                  <c:v>-49.983603873811994</c:v>
                </c:pt>
                <c:pt idx="54" formatCode="0.0">
                  <c:v>-47.976189869600468</c:v>
                </c:pt>
                <c:pt idx="55" formatCode="0.0">
                  <c:v>-48.996187860965861</c:v>
                </c:pt>
                <c:pt idx="56">
                  <c:v>-50.914989365216925</c:v>
                </c:pt>
                <c:pt idx="57" formatCode="###0.0">
                  <c:v>-48.695739372079444</c:v>
                </c:pt>
              </c:numCache>
            </c:numRef>
          </c:val>
        </c:ser>
        <c:ser>
          <c:idx val="2"/>
          <c:order val="2"/>
          <c:tx>
            <c:strRef>
              <c:f>'tableau note fr'!$A$11</c:f>
              <c:strCache>
                <c:ptCount val="1"/>
                <c:pt idx="0">
                  <c:v>Evolution  future de la situation financière des ménages</c:v>
                </c:pt>
              </c:strCache>
            </c:strRef>
          </c:tx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fr'!$B$11:$BG$11</c:f>
              <c:numCache>
                <c:formatCode>#,##0.0</c:formatCode>
                <c:ptCount val="58"/>
                <c:pt idx="0">
                  <c:v>23.9</c:v>
                </c:pt>
                <c:pt idx="1">
                  <c:v>15.58418860861071</c:v>
                </c:pt>
                <c:pt idx="2">
                  <c:v>16.580364039590329</c:v>
                </c:pt>
                <c:pt idx="3">
                  <c:v>26.705941849103169</c:v>
                </c:pt>
                <c:pt idx="4">
                  <c:v>26.76915423900191</c:v>
                </c:pt>
                <c:pt idx="5">
                  <c:v>21.986954089697061</c:v>
                </c:pt>
                <c:pt idx="6">
                  <c:v>17.532817766676516</c:v>
                </c:pt>
                <c:pt idx="7">
                  <c:v>17.09400625121032</c:v>
                </c:pt>
                <c:pt idx="8">
                  <c:v>17.787694440036187</c:v>
                </c:pt>
                <c:pt idx="9">
                  <c:v>11.776375704730489</c:v>
                </c:pt>
                <c:pt idx="10">
                  <c:v>7.8068380126684715</c:v>
                </c:pt>
                <c:pt idx="11">
                  <c:v>9.3656519222157506</c:v>
                </c:pt>
                <c:pt idx="12">
                  <c:v>10.223761077165181</c:v>
                </c:pt>
                <c:pt idx="13">
                  <c:v>20.354548457792731</c:v>
                </c:pt>
                <c:pt idx="14">
                  <c:v>15.105327443781253</c:v>
                </c:pt>
                <c:pt idx="15">
                  <c:v>13.999505506513676</c:v>
                </c:pt>
                <c:pt idx="16">
                  <c:v>11.230833640450319</c:v>
                </c:pt>
                <c:pt idx="17">
                  <c:v>11.136340416980383</c:v>
                </c:pt>
                <c:pt idx="18">
                  <c:v>7.6658451594012895</c:v>
                </c:pt>
                <c:pt idx="19">
                  <c:v>10.649290737183625</c:v>
                </c:pt>
                <c:pt idx="20">
                  <c:v>4.5484811189173895</c:v>
                </c:pt>
                <c:pt idx="21">
                  <c:v>0.71644439200690369</c:v>
                </c:pt>
                <c:pt idx="22">
                  <c:v>2.7930128120198785</c:v>
                </c:pt>
                <c:pt idx="23">
                  <c:v>-1.7003971659207211</c:v>
                </c:pt>
                <c:pt idx="24">
                  <c:v>1.2126606998519158</c:v>
                </c:pt>
                <c:pt idx="25">
                  <c:v>-2.6659512091834952</c:v>
                </c:pt>
                <c:pt idx="26">
                  <c:v>-1.4735728224612341</c:v>
                </c:pt>
                <c:pt idx="27">
                  <c:v>-3.91390384828716</c:v>
                </c:pt>
                <c:pt idx="28">
                  <c:v>8.9330913123193523E-2</c:v>
                </c:pt>
                <c:pt idx="29">
                  <c:v>4.1756310519058966</c:v>
                </c:pt>
                <c:pt idx="30">
                  <c:v>3.3451516718598637</c:v>
                </c:pt>
                <c:pt idx="31">
                  <c:v>7.6417999475620588</c:v>
                </c:pt>
                <c:pt idx="32">
                  <c:v>1.2373351928093992</c:v>
                </c:pt>
                <c:pt idx="33">
                  <c:v>2.2988859177154</c:v>
                </c:pt>
                <c:pt idx="34">
                  <c:v>4.9642092382991612</c:v>
                </c:pt>
                <c:pt idx="35">
                  <c:v>6.4877666459978194</c:v>
                </c:pt>
                <c:pt idx="36">
                  <c:v>13.359772169150252</c:v>
                </c:pt>
                <c:pt idx="37">
                  <c:v>22.123807522802235</c:v>
                </c:pt>
                <c:pt idx="38">
                  <c:v>19.596485843359812</c:v>
                </c:pt>
                <c:pt idx="39">
                  <c:v>19.180868333171652</c:v>
                </c:pt>
                <c:pt idx="40">
                  <c:v>25.926424488378206</c:v>
                </c:pt>
                <c:pt idx="41" formatCode="0.0">
                  <c:v>28.130493740025226</c:v>
                </c:pt>
                <c:pt idx="42" formatCode="0.0">
                  <c:v>18.237772049662329</c:v>
                </c:pt>
                <c:pt idx="43" formatCode="0.0">
                  <c:v>19.100000000000001</c:v>
                </c:pt>
                <c:pt idx="44" formatCode="0.0">
                  <c:v>20.686932465103727</c:v>
                </c:pt>
                <c:pt idx="45" formatCode="0.0">
                  <c:v>18.273992721467774</c:v>
                </c:pt>
                <c:pt idx="46" formatCode="0.0">
                  <c:v>12.775065694831193</c:v>
                </c:pt>
                <c:pt idx="47" formatCode="0.0">
                  <c:v>15.949037871016632</c:v>
                </c:pt>
                <c:pt idx="48" formatCode="0.0">
                  <c:v>8.5440476832129519</c:v>
                </c:pt>
                <c:pt idx="49" formatCode="0.0">
                  <c:v>-4.5622056678242258</c:v>
                </c:pt>
                <c:pt idx="50" formatCode="0.0">
                  <c:v>-11.891224568065192</c:v>
                </c:pt>
                <c:pt idx="51" formatCode="0.0">
                  <c:v>0.5872218846748406</c:v>
                </c:pt>
                <c:pt idx="52" formatCode="0.0">
                  <c:v>21.2</c:v>
                </c:pt>
                <c:pt idx="53" formatCode="0.0">
                  <c:v>14.805679039075409</c:v>
                </c:pt>
                <c:pt idx="54" formatCode="0.0">
                  <c:v>15.138710068393648</c:v>
                </c:pt>
                <c:pt idx="55" formatCode="0.0">
                  <c:v>15.055968466044563</c:v>
                </c:pt>
                <c:pt idx="56" formatCode="0.0">
                  <c:v>8.2820663349680768</c:v>
                </c:pt>
                <c:pt idx="57" formatCode="###0.0">
                  <c:v>-0.1</c:v>
                </c:pt>
              </c:numCache>
            </c:numRef>
          </c:val>
        </c:ser>
        <c:marker val="1"/>
        <c:axId val="146643584"/>
        <c:axId val="146935168"/>
      </c:lineChart>
      <c:catAx>
        <c:axId val="146643584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146935168"/>
        <c:crosses val="autoZero"/>
        <c:auto val="1"/>
        <c:lblAlgn val="ctr"/>
        <c:lblOffset val="100"/>
      </c:catAx>
      <c:valAx>
        <c:axId val="146935168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600"/>
            </a:pPr>
            <a:endParaRPr lang="fr-FR"/>
          </a:p>
        </c:txPr>
        <c:crossAx val="14664358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489887567605309"/>
          <c:y val="0.81145990257741962"/>
          <c:w val="0.81057904160136796"/>
          <c:h val="0.14530905246564721"/>
        </c:manualLayout>
      </c:layout>
      <c:txPr>
        <a:bodyPr/>
        <a:lstStyle/>
        <a:p>
          <a:pPr>
            <a:defRPr lang="en-US" sz="800" b="1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title>
      <c:tx>
        <c:rich>
          <a:bodyPr/>
          <a:lstStyle/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fr-FR" sz="1400" b="1" i="0" baseline="0"/>
              <a:t>Perception par les ménages des évolutions passée et future des prix des produits alimentaires  (soldes d'opinions)</a:t>
            </a:r>
            <a:endParaRPr lang="fr-FR" sz="1400"/>
          </a:p>
          <a:p>
            <a:pPr marL="0" marR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lang="en-US"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fr-FR" sz="1400"/>
          </a:p>
        </c:rich>
      </c:tx>
      <c:layout>
        <c:manualLayout>
          <c:xMode val="edge"/>
          <c:yMode val="edge"/>
          <c:x val="0.13624361023608397"/>
          <c:y val="2.1465163303846953E-2"/>
        </c:manualLayout>
      </c:layout>
    </c:title>
    <c:plotArea>
      <c:layout>
        <c:manualLayout>
          <c:layoutTarget val="inner"/>
          <c:xMode val="edge"/>
          <c:yMode val="edge"/>
          <c:x val="6.0527361936278584E-2"/>
          <c:y val="0.17448190629883464"/>
          <c:w val="0.91007862895562319"/>
          <c:h val="0.53428380945537268"/>
        </c:manualLayout>
      </c:layout>
      <c:lineChart>
        <c:grouping val="standard"/>
        <c:ser>
          <c:idx val="0"/>
          <c:order val="0"/>
          <c:tx>
            <c:strRef>
              <c:f>'tableau note fr'!$A$13</c:f>
              <c:strCache>
                <c:ptCount val="1"/>
                <c:pt idx="0">
                  <c:v>Evolution future des prix des produits alimentaires</c:v>
                </c:pt>
              </c:strCache>
            </c:strRef>
          </c:tx>
          <c:marker>
            <c:symbol val="circle"/>
            <c:size val="4"/>
          </c:marker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fr'!$B$13:$BG$13</c:f>
              <c:numCache>
                <c:formatCode>#,##0.0</c:formatCode>
                <c:ptCount val="58"/>
                <c:pt idx="0">
                  <c:v>-74.061389031284818</c:v>
                </c:pt>
                <c:pt idx="1">
                  <c:v>-77.716574651610429</c:v>
                </c:pt>
                <c:pt idx="2">
                  <c:v>-78.940542419693813</c:v>
                </c:pt>
                <c:pt idx="3">
                  <c:v>-49.653420650313478</c:v>
                </c:pt>
                <c:pt idx="4">
                  <c:v>-34.869529990694446</c:v>
                </c:pt>
                <c:pt idx="5">
                  <c:v>-33.523065681383329</c:v>
                </c:pt>
                <c:pt idx="6">
                  <c:v>-50.919242344766445</c:v>
                </c:pt>
                <c:pt idx="7">
                  <c:v>-47.87194786445454</c:v>
                </c:pt>
                <c:pt idx="8">
                  <c:v>-46.51502281152586</c:v>
                </c:pt>
                <c:pt idx="9">
                  <c:v>-56.832932011427957</c:v>
                </c:pt>
                <c:pt idx="10">
                  <c:v>-62.176731306136958</c:v>
                </c:pt>
                <c:pt idx="11">
                  <c:v>-70.131788082404057</c:v>
                </c:pt>
                <c:pt idx="12">
                  <c:v>-73.412747182583757</c:v>
                </c:pt>
                <c:pt idx="13">
                  <c:v>-58.832065504603946</c:v>
                </c:pt>
                <c:pt idx="14">
                  <c:v>-72.59048616904964</c:v>
                </c:pt>
                <c:pt idx="15">
                  <c:v>-72.965887012434848</c:v>
                </c:pt>
                <c:pt idx="16">
                  <c:v>-69.834720496858949</c:v>
                </c:pt>
                <c:pt idx="17">
                  <c:v>-71.450027411204985</c:v>
                </c:pt>
                <c:pt idx="18">
                  <c:v>-73.578371466433751</c:v>
                </c:pt>
                <c:pt idx="19">
                  <c:v>-70.049698245525676</c:v>
                </c:pt>
                <c:pt idx="20">
                  <c:v>-76.096296687300736</c:v>
                </c:pt>
                <c:pt idx="21">
                  <c:v>-73.375476646911466</c:v>
                </c:pt>
                <c:pt idx="22">
                  <c:v>-76.007455926126042</c:v>
                </c:pt>
                <c:pt idx="23">
                  <c:v>-76.048555842624395</c:v>
                </c:pt>
                <c:pt idx="24">
                  <c:v>-77.551787041299889</c:v>
                </c:pt>
                <c:pt idx="25">
                  <c:v>-78.042355521266373</c:v>
                </c:pt>
                <c:pt idx="26">
                  <c:v>-76.898841721729667</c:v>
                </c:pt>
                <c:pt idx="27">
                  <c:v>-77.2</c:v>
                </c:pt>
                <c:pt idx="28">
                  <c:v>-77.231717010323948</c:v>
                </c:pt>
                <c:pt idx="29">
                  <c:v>-75.641194802119557</c:v>
                </c:pt>
                <c:pt idx="30">
                  <c:v>-75.301499740412396</c:v>
                </c:pt>
                <c:pt idx="31">
                  <c:v>-75.201077205088083</c:v>
                </c:pt>
                <c:pt idx="32">
                  <c:v>-79.25874198980361</c:v>
                </c:pt>
                <c:pt idx="33">
                  <c:v>-77.326465444648022</c:v>
                </c:pt>
                <c:pt idx="34">
                  <c:v>-77.900000000000006</c:v>
                </c:pt>
                <c:pt idx="35">
                  <c:v>-77.33590195130148</c:v>
                </c:pt>
                <c:pt idx="36">
                  <c:v>-77.664169536728878</c:v>
                </c:pt>
                <c:pt idx="37">
                  <c:v>-74.5</c:v>
                </c:pt>
                <c:pt idx="38">
                  <c:v>-73.964173414184586</c:v>
                </c:pt>
                <c:pt idx="39">
                  <c:v>-79.602800137507742</c:v>
                </c:pt>
                <c:pt idx="40">
                  <c:v>-82.909090889011466</c:v>
                </c:pt>
                <c:pt idx="41" formatCode="0.0">
                  <c:v>-84.024833717392056</c:v>
                </c:pt>
                <c:pt idx="42">
                  <c:v>-82.078038176837225</c:v>
                </c:pt>
                <c:pt idx="43">
                  <c:v>-86.6</c:v>
                </c:pt>
                <c:pt idx="44">
                  <c:v>-87.54271632969234</c:v>
                </c:pt>
                <c:pt idx="45">
                  <c:v>-86.508482649196509</c:v>
                </c:pt>
                <c:pt idx="46">
                  <c:v>-83.288697742697579</c:v>
                </c:pt>
                <c:pt idx="47">
                  <c:v>-82.220036585575144</c:v>
                </c:pt>
                <c:pt idx="48">
                  <c:v>-82.585609750348496</c:v>
                </c:pt>
                <c:pt idx="49" formatCode="0.0">
                  <c:v>-69.044082249116101</c:v>
                </c:pt>
                <c:pt idx="50">
                  <c:v>-68.063522341730973</c:v>
                </c:pt>
                <c:pt idx="51" formatCode="0.0">
                  <c:v>-64.634662916008139</c:v>
                </c:pt>
                <c:pt idx="52">
                  <c:v>-60.2</c:v>
                </c:pt>
                <c:pt idx="53">
                  <c:v>-67.626807058147179</c:v>
                </c:pt>
                <c:pt idx="54">
                  <c:v>-70.948472628894308</c:v>
                </c:pt>
                <c:pt idx="55">
                  <c:v>-76.250623411131627</c:v>
                </c:pt>
                <c:pt idx="56">
                  <c:v>-74.08113857965057</c:v>
                </c:pt>
                <c:pt idx="57" formatCode="###0.0">
                  <c:v>-74.293813887540622</c:v>
                </c:pt>
              </c:numCache>
            </c:numRef>
          </c:val>
        </c:ser>
        <c:ser>
          <c:idx val="1"/>
          <c:order val="1"/>
          <c:tx>
            <c:strRef>
              <c:f>'tableau note fr'!$A$14</c:f>
              <c:strCache>
                <c:ptCount val="1"/>
                <c:pt idx="0">
                  <c:v>Evolution  passée des prix des produits alimentaires</c:v>
                </c:pt>
              </c:strCache>
            </c:strRef>
          </c:tx>
          <c:cat>
            <c:strRef>
              <c:f>'tableau note fr'!$B$3:$BG$3</c:f>
              <c:strCache>
                <c:ptCount val="58"/>
                <c:pt idx="0">
                  <c:v>T1/08</c:v>
                </c:pt>
                <c:pt idx="1">
                  <c:v>T2/08</c:v>
                </c:pt>
                <c:pt idx="2">
                  <c:v>T3/08</c:v>
                </c:pt>
                <c:pt idx="3">
                  <c:v>T4/08</c:v>
                </c:pt>
                <c:pt idx="4">
                  <c:v>T1/09</c:v>
                </c:pt>
                <c:pt idx="5">
                  <c:v>T2/09</c:v>
                </c:pt>
                <c:pt idx="6">
                  <c:v>T3/09</c:v>
                </c:pt>
                <c:pt idx="7">
                  <c:v>T4/09</c:v>
                </c:pt>
                <c:pt idx="8">
                  <c:v>T1/10</c:v>
                </c:pt>
                <c:pt idx="9">
                  <c:v>T2/10</c:v>
                </c:pt>
                <c:pt idx="10">
                  <c:v>T3/10</c:v>
                </c:pt>
                <c:pt idx="11">
                  <c:v>T4/10</c:v>
                </c:pt>
                <c:pt idx="12">
                  <c:v>T1/11</c:v>
                </c:pt>
                <c:pt idx="13">
                  <c:v>T2/11</c:v>
                </c:pt>
                <c:pt idx="14">
                  <c:v>T3/11</c:v>
                </c:pt>
                <c:pt idx="15">
                  <c:v>T4/11</c:v>
                </c:pt>
                <c:pt idx="16">
                  <c:v>T1/12</c:v>
                </c:pt>
                <c:pt idx="17">
                  <c:v>T2/12</c:v>
                </c:pt>
                <c:pt idx="18">
                  <c:v>T3/12</c:v>
                </c:pt>
                <c:pt idx="19">
                  <c:v>T4/12</c:v>
                </c:pt>
                <c:pt idx="20">
                  <c:v>T1/13</c:v>
                </c:pt>
                <c:pt idx="21">
                  <c:v>T2/13</c:v>
                </c:pt>
                <c:pt idx="22">
                  <c:v>T3/13</c:v>
                </c:pt>
                <c:pt idx="23">
                  <c:v>T4/13</c:v>
                </c:pt>
                <c:pt idx="24">
                  <c:v>T1/14</c:v>
                </c:pt>
                <c:pt idx="25">
                  <c:v>T2/14</c:v>
                </c:pt>
                <c:pt idx="26">
                  <c:v>T3/14</c:v>
                </c:pt>
                <c:pt idx="27">
                  <c:v>T4/14</c:v>
                </c:pt>
                <c:pt idx="28">
                  <c:v>T1/15</c:v>
                </c:pt>
                <c:pt idx="29">
                  <c:v>T2/15</c:v>
                </c:pt>
                <c:pt idx="30">
                  <c:v>T3/15</c:v>
                </c:pt>
                <c:pt idx="31">
                  <c:v>T4/15</c:v>
                </c:pt>
                <c:pt idx="32">
                  <c:v>T1/16</c:v>
                </c:pt>
                <c:pt idx="33">
                  <c:v>T2/16</c:v>
                </c:pt>
                <c:pt idx="34">
                  <c:v>T3/16</c:v>
                </c:pt>
                <c:pt idx="35">
                  <c:v>T4/16</c:v>
                </c:pt>
                <c:pt idx="36">
                  <c:v>T1/17</c:v>
                </c:pt>
                <c:pt idx="37">
                  <c:v>T2/17</c:v>
                </c:pt>
                <c:pt idx="38">
                  <c:v>T3/17</c:v>
                </c:pt>
                <c:pt idx="39">
                  <c:v>T4/17</c:v>
                </c:pt>
                <c:pt idx="40">
                  <c:v>T1/18</c:v>
                </c:pt>
                <c:pt idx="41">
                  <c:v>T2/18</c:v>
                </c:pt>
                <c:pt idx="42">
                  <c:v>T3/18</c:v>
                </c:pt>
                <c:pt idx="43">
                  <c:v>T4/18</c:v>
                </c:pt>
                <c:pt idx="44">
                  <c:v>T1/19</c:v>
                </c:pt>
                <c:pt idx="45">
                  <c:v>T2/19</c:v>
                </c:pt>
                <c:pt idx="46">
                  <c:v>T3/19</c:v>
                </c:pt>
                <c:pt idx="47">
                  <c:v>T4/19</c:v>
                </c:pt>
                <c:pt idx="48">
                  <c:v>T1/20</c:v>
                </c:pt>
                <c:pt idx="49">
                  <c:v>T2/20</c:v>
                </c:pt>
                <c:pt idx="50">
                  <c:v>T3/20</c:v>
                </c:pt>
                <c:pt idx="51">
                  <c:v>T4/20</c:v>
                </c:pt>
                <c:pt idx="52">
                  <c:v>T1/21</c:v>
                </c:pt>
                <c:pt idx="53">
                  <c:v>T2/21</c:v>
                </c:pt>
                <c:pt idx="54">
                  <c:v>T3/21</c:v>
                </c:pt>
                <c:pt idx="55">
                  <c:v>T4/21</c:v>
                </c:pt>
                <c:pt idx="56">
                  <c:v>T1/22</c:v>
                </c:pt>
                <c:pt idx="57">
                  <c:v>T2/22</c:v>
                </c:pt>
              </c:strCache>
            </c:strRef>
          </c:cat>
          <c:val>
            <c:numRef>
              <c:f>'tableau note fr'!$B$14:$BG$14</c:f>
              <c:numCache>
                <c:formatCode>#,##0.0</c:formatCode>
                <c:ptCount val="58"/>
                <c:pt idx="0">
                  <c:v>-93.561530615416999</c:v>
                </c:pt>
                <c:pt idx="1">
                  <c:v>-95.947220816722407</c:v>
                </c:pt>
                <c:pt idx="2">
                  <c:v>-98.048475442965014</c:v>
                </c:pt>
                <c:pt idx="3">
                  <c:v>-96.216541508823312</c:v>
                </c:pt>
                <c:pt idx="4">
                  <c:v>-93.990402062896209</c:v>
                </c:pt>
                <c:pt idx="5">
                  <c:v>-87.215803326852651</c:v>
                </c:pt>
                <c:pt idx="6">
                  <c:v>-85.738329527783449</c:v>
                </c:pt>
                <c:pt idx="7">
                  <c:v>-83.27809847810137</c:v>
                </c:pt>
                <c:pt idx="8">
                  <c:v>-79.493520436579956</c:v>
                </c:pt>
                <c:pt idx="9">
                  <c:v>-87.814557184919167</c:v>
                </c:pt>
                <c:pt idx="10">
                  <c:v>-89.729007404339953</c:v>
                </c:pt>
                <c:pt idx="11">
                  <c:v>-90.967802162493442</c:v>
                </c:pt>
                <c:pt idx="12">
                  <c:v>-95.526783459398686</c:v>
                </c:pt>
                <c:pt idx="13">
                  <c:v>-87.197236284295727</c:v>
                </c:pt>
                <c:pt idx="14">
                  <c:v>-89.924388392525927</c:v>
                </c:pt>
                <c:pt idx="15">
                  <c:v>-92.495216554147831</c:v>
                </c:pt>
                <c:pt idx="16">
                  <c:v>-91.625316584481652</c:v>
                </c:pt>
                <c:pt idx="17">
                  <c:v>-91.140544889708991</c:v>
                </c:pt>
                <c:pt idx="18">
                  <c:v>-91.653648288633619</c:v>
                </c:pt>
                <c:pt idx="19">
                  <c:v>-90.602273539903038</c:v>
                </c:pt>
                <c:pt idx="20">
                  <c:v>-91.630328830979536</c:v>
                </c:pt>
                <c:pt idx="21">
                  <c:v>-88.947630714849396</c:v>
                </c:pt>
                <c:pt idx="22">
                  <c:v>-90.507981291878522</c:v>
                </c:pt>
                <c:pt idx="23">
                  <c:v>-90.842402571703019</c:v>
                </c:pt>
                <c:pt idx="24">
                  <c:v>-89.421972084851788</c:v>
                </c:pt>
                <c:pt idx="25">
                  <c:v>-84.135715875788947</c:v>
                </c:pt>
                <c:pt idx="26">
                  <c:v>-81.763249669623846</c:v>
                </c:pt>
                <c:pt idx="27">
                  <c:v>-84.521199779532196</c:v>
                </c:pt>
                <c:pt idx="28">
                  <c:v>-87.223881643150108</c:v>
                </c:pt>
                <c:pt idx="29">
                  <c:v>-85.304961002513068</c:v>
                </c:pt>
                <c:pt idx="30">
                  <c:v>-84.28450715952367</c:v>
                </c:pt>
                <c:pt idx="31">
                  <c:v>-85.427496568127424</c:v>
                </c:pt>
                <c:pt idx="32">
                  <c:v>-85.452277394276848</c:v>
                </c:pt>
                <c:pt idx="33">
                  <c:v>-87.871778057968015</c:v>
                </c:pt>
                <c:pt idx="34">
                  <c:v>-87.672521775530825</c:v>
                </c:pt>
                <c:pt idx="35">
                  <c:v>-87.308587775463238</c:v>
                </c:pt>
                <c:pt idx="36">
                  <c:v>-86.771015006658288</c:v>
                </c:pt>
                <c:pt idx="37">
                  <c:v>-86.4</c:v>
                </c:pt>
                <c:pt idx="38">
                  <c:v>-82.805018292489279</c:v>
                </c:pt>
                <c:pt idx="39">
                  <c:v>-88.513579156072012</c:v>
                </c:pt>
                <c:pt idx="40">
                  <c:v>-86.694812387811382</c:v>
                </c:pt>
                <c:pt idx="41" formatCode="0.0">
                  <c:v>-88.182833745436568</c:v>
                </c:pt>
                <c:pt idx="42">
                  <c:v>-88.119908444008828</c:v>
                </c:pt>
                <c:pt idx="43">
                  <c:v>-90.3</c:v>
                </c:pt>
                <c:pt idx="44">
                  <c:v>-88.136419421127727</c:v>
                </c:pt>
                <c:pt idx="45">
                  <c:v>-88.912542109472369</c:v>
                </c:pt>
                <c:pt idx="46">
                  <c:v>-83.748311328811582</c:v>
                </c:pt>
                <c:pt idx="47">
                  <c:v>-85.084964738360227</c:v>
                </c:pt>
                <c:pt idx="48">
                  <c:v>-82.774085672956858</c:v>
                </c:pt>
                <c:pt idx="49" formatCode="0.0">
                  <c:v>-67.616999612935103</c:v>
                </c:pt>
                <c:pt idx="50">
                  <c:v>-75.123128911649388</c:v>
                </c:pt>
                <c:pt idx="51" formatCode="0.0">
                  <c:v>-74.676635648394679</c:v>
                </c:pt>
                <c:pt idx="52">
                  <c:v>-74</c:v>
                </c:pt>
                <c:pt idx="53">
                  <c:v>-86.830108784480601</c:v>
                </c:pt>
                <c:pt idx="54">
                  <c:v>-86.892269253653168</c:v>
                </c:pt>
                <c:pt idx="55">
                  <c:v>-95.946419387502416</c:v>
                </c:pt>
                <c:pt idx="56">
                  <c:v>-97.899492867529347</c:v>
                </c:pt>
                <c:pt idx="57" formatCode="###0.0">
                  <c:v>-99.090827572349781</c:v>
                </c:pt>
              </c:numCache>
            </c:numRef>
          </c:val>
        </c:ser>
        <c:marker val="1"/>
        <c:axId val="57479168"/>
        <c:axId val="57480704"/>
      </c:lineChart>
      <c:catAx>
        <c:axId val="57479168"/>
        <c:scaling>
          <c:orientation val="minMax"/>
        </c:scaling>
        <c:axPos val="b"/>
        <c:numFmt formatCode="General" sourceLinked="0"/>
        <c:majorTickMark val="none"/>
        <c:tickLblPos val="low"/>
        <c:txPr>
          <a:bodyPr/>
          <a:lstStyle/>
          <a:p>
            <a:pPr>
              <a:defRPr lang="en-US" sz="600"/>
            </a:pPr>
            <a:endParaRPr lang="fr-FR"/>
          </a:p>
        </c:txPr>
        <c:crossAx val="57480704"/>
        <c:crosses val="autoZero"/>
        <c:auto val="1"/>
        <c:lblAlgn val="ctr"/>
        <c:lblOffset val="100"/>
      </c:catAx>
      <c:valAx>
        <c:axId val="57480704"/>
        <c:scaling>
          <c:orientation val="minMax"/>
        </c:scaling>
        <c:axPos val="l"/>
        <c:majorGridlines/>
        <c:numFmt formatCode="#,##0" sourceLinked="0"/>
        <c:majorTickMark val="none"/>
        <c:tickLblPos val="nextTo"/>
        <c:spPr>
          <a:ln w="9525">
            <a:noFill/>
          </a:ln>
        </c:spPr>
        <c:txPr>
          <a:bodyPr/>
          <a:lstStyle/>
          <a:p>
            <a:pPr>
              <a:defRPr lang="en-US" sz="600"/>
            </a:pPr>
            <a:endParaRPr lang="fr-FR"/>
          </a:p>
        </c:txPr>
        <c:crossAx val="574791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6.1412944123152034E-2"/>
          <c:y val="0.840255198829714"/>
          <c:w val="0.8924862788219331"/>
          <c:h val="5.1426156716996525E-2"/>
        </c:manualLayout>
      </c:layout>
      <c:txPr>
        <a:bodyPr/>
        <a:lstStyle/>
        <a:p>
          <a:pPr>
            <a:defRPr lang="en-US" sz="800" b="1"/>
          </a:pPr>
          <a:endParaRPr lang="fr-FR"/>
        </a:p>
      </c:txPr>
    </c:legend>
    <c:plotVisOnly val="1"/>
    <c:dispBlanksAs val="gap"/>
  </c:chart>
  <c:spPr>
    <a:ln w="3175">
      <a:solidFill>
        <a:schemeClr val="tx1"/>
      </a:solidFill>
    </a:ln>
  </c:sp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10B1B-5161-4ADA-B859-323FECF5E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1623</Words>
  <Characters>8929</Characters>
  <Application>Microsoft Office Word</Application>
  <DocSecurity>0</DocSecurity>
  <Lines>74</Lines>
  <Paragraphs>21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10531</CharactersWithSpaces>
  <SharedDoc>false</SharedDoc>
  <HLinks>
    <vt:vector size="6" baseType="variant"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http://www.hcp.ma/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HCP</cp:lastModifiedBy>
  <cp:revision>4</cp:revision>
  <cp:lastPrinted>2022-07-01T11:39:00Z</cp:lastPrinted>
  <dcterms:created xsi:type="dcterms:W3CDTF">2022-07-01T13:19:00Z</dcterms:created>
  <dcterms:modified xsi:type="dcterms:W3CDTF">2022-07-07T12:44:00Z</dcterms:modified>
</cp:coreProperties>
</file>