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F2" w:rsidRPr="00BA7EA7" w:rsidRDefault="00475530" w:rsidP="002D64F5">
      <w:pPr>
        <w:widowControl/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        </w:t>
      </w:r>
    </w:p>
    <w:p w:rsidR="009E682C" w:rsidRPr="00BA7EA7" w:rsidRDefault="009E682C" w:rsidP="00BA7EA7">
      <w:pPr>
        <w:widowControl/>
        <w:spacing w:line="276" w:lineRule="auto"/>
        <w:jc w:val="center"/>
        <w:rPr>
          <w:rFonts w:asciiTheme="majorBidi" w:hAnsiTheme="majorBidi" w:cstheme="majorBidi"/>
          <w:b/>
          <w:bCs/>
          <w:color w:val="660033"/>
          <w:sz w:val="26"/>
          <w:szCs w:val="26"/>
        </w:rPr>
      </w:pPr>
    </w:p>
    <w:p w:rsidR="00912704" w:rsidRPr="00BA7EA7" w:rsidRDefault="00912704" w:rsidP="00BA7EA7">
      <w:pPr>
        <w:widowControl/>
        <w:spacing w:line="276" w:lineRule="auto"/>
        <w:jc w:val="center"/>
        <w:rPr>
          <w:rFonts w:asciiTheme="majorBidi" w:hAnsiTheme="majorBidi" w:cstheme="majorBidi"/>
          <w:b/>
          <w:bCs/>
          <w:color w:val="660033"/>
          <w:sz w:val="28"/>
          <w:szCs w:val="28"/>
        </w:rPr>
      </w:pPr>
      <w:r w:rsidRPr="00BA7EA7">
        <w:rPr>
          <w:rFonts w:asciiTheme="majorBidi" w:hAnsiTheme="majorBidi" w:cstheme="majorBidi"/>
          <w:b/>
          <w:bCs/>
          <w:color w:val="660033"/>
          <w:sz w:val="28"/>
          <w:szCs w:val="28"/>
        </w:rPr>
        <w:t>Note d’information</w:t>
      </w:r>
      <w:r w:rsidR="00636E2D" w:rsidRPr="00BA7EA7">
        <w:rPr>
          <w:rFonts w:asciiTheme="majorBidi" w:hAnsiTheme="majorBidi" w:cstheme="majorBidi"/>
          <w:b/>
          <w:bCs/>
          <w:color w:val="660033"/>
          <w:sz w:val="28"/>
          <w:szCs w:val="28"/>
        </w:rPr>
        <w:t xml:space="preserve"> du </w:t>
      </w:r>
      <w:r w:rsidR="00032B79" w:rsidRPr="00BA7EA7">
        <w:rPr>
          <w:rFonts w:asciiTheme="majorBidi" w:hAnsiTheme="majorBidi" w:cstheme="majorBidi"/>
          <w:b/>
          <w:bCs/>
          <w:color w:val="660033"/>
          <w:sz w:val="28"/>
          <w:szCs w:val="28"/>
        </w:rPr>
        <w:t>Haut-commissariat</w:t>
      </w:r>
      <w:r w:rsidR="0069792B" w:rsidRPr="00BA7EA7">
        <w:rPr>
          <w:rFonts w:asciiTheme="majorBidi" w:hAnsiTheme="majorBidi" w:cstheme="majorBidi"/>
          <w:b/>
          <w:bCs/>
          <w:color w:val="660033"/>
          <w:sz w:val="28"/>
          <w:szCs w:val="28"/>
        </w:rPr>
        <w:t xml:space="preserve"> au Plan</w:t>
      </w:r>
    </w:p>
    <w:p w:rsidR="00912704" w:rsidRPr="00BA7EA7" w:rsidRDefault="00097300" w:rsidP="00BA7EA7">
      <w:pPr>
        <w:widowControl/>
        <w:spacing w:line="276" w:lineRule="auto"/>
        <w:jc w:val="center"/>
        <w:rPr>
          <w:rFonts w:asciiTheme="majorBidi" w:hAnsiTheme="majorBidi" w:cstheme="majorBidi"/>
          <w:b/>
          <w:bCs/>
          <w:color w:val="660033"/>
          <w:sz w:val="28"/>
          <w:szCs w:val="28"/>
        </w:rPr>
      </w:pPr>
      <w:r w:rsidRPr="00BA7EA7">
        <w:rPr>
          <w:rFonts w:asciiTheme="majorBidi" w:hAnsiTheme="majorBidi" w:cstheme="majorBidi"/>
          <w:b/>
          <w:bCs/>
          <w:color w:val="660033"/>
          <w:sz w:val="28"/>
          <w:szCs w:val="28"/>
        </w:rPr>
        <w:t>R</w:t>
      </w:r>
      <w:r w:rsidR="00912704" w:rsidRPr="00BA7EA7">
        <w:rPr>
          <w:rFonts w:asciiTheme="majorBidi" w:hAnsiTheme="majorBidi" w:cstheme="majorBidi"/>
          <w:b/>
          <w:bCs/>
          <w:color w:val="660033"/>
          <w:sz w:val="28"/>
          <w:szCs w:val="28"/>
        </w:rPr>
        <w:t xml:space="preserve">ésultats de l’enquête de conjoncture auprès des ménages </w:t>
      </w:r>
    </w:p>
    <w:p w:rsidR="00912704" w:rsidRDefault="00E22192" w:rsidP="00BA7EA7">
      <w:pPr>
        <w:widowControl/>
        <w:spacing w:line="276" w:lineRule="auto"/>
        <w:jc w:val="center"/>
        <w:rPr>
          <w:rFonts w:asciiTheme="majorBidi" w:hAnsiTheme="majorBidi" w:cstheme="majorBidi"/>
          <w:b/>
          <w:bCs/>
          <w:color w:val="660033"/>
          <w:sz w:val="28"/>
          <w:szCs w:val="28"/>
        </w:rPr>
      </w:pPr>
      <w:r w:rsidRPr="00BA7EA7">
        <w:rPr>
          <w:rFonts w:asciiTheme="majorBidi" w:hAnsiTheme="majorBidi" w:cstheme="majorBidi"/>
          <w:b/>
          <w:bCs/>
          <w:color w:val="660033"/>
          <w:sz w:val="28"/>
          <w:szCs w:val="28"/>
        </w:rPr>
        <w:t>Premier trimestre de</w:t>
      </w:r>
      <w:r w:rsidR="00546559" w:rsidRPr="00BA7EA7">
        <w:rPr>
          <w:rFonts w:asciiTheme="majorBidi" w:hAnsiTheme="majorBidi" w:cstheme="majorBidi"/>
          <w:b/>
          <w:bCs/>
          <w:color w:val="660033"/>
          <w:sz w:val="28"/>
          <w:szCs w:val="28"/>
        </w:rPr>
        <w:t xml:space="preserve"> l’année</w:t>
      </w:r>
      <w:r w:rsidR="00636E2D" w:rsidRPr="00BA7EA7">
        <w:rPr>
          <w:rFonts w:asciiTheme="majorBidi" w:hAnsiTheme="majorBidi" w:cstheme="majorBidi"/>
          <w:b/>
          <w:bCs/>
          <w:color w:val="660033"/>
          <w:sz w:val="28"/>
          <w:szCs w:val="28"/>
        </w:rPr>
        <w:t xml:space="preserve"> </w:t>
      </w:r>
      <w:r w:rsidR="009A7AC5">
        <w:rPr>
          <w:rFonts w:asciiTheme="majorBidi" w:hAnsiTheme="majorBidi" w:cstheme="majorBidi"/>
          <w:b/>
          <w:bCs/>
          <w:color w:val="660033"/>
          <w:sz w:val="28"/>
          <w:szCs w:val="28"/>
        </w:rPr>
        <w:t>2023</w:t>
      </w:r>
    </w:p>
    <w:p w:rsidR="004414D4" w:rsidRDefault="004414D4" w:rsidP="00BA7EA7">
      <w:pPr>
        <w:widowControl/>
        <w:spacing w:line="276" w:lineRule="auto"/>
        <w:jc w:val="center"/>
        <w:rPr>
          <w:rFonts w:asciiTheme="majorBidi" w:hAnsiTheme="majorBidi" w:cstheme="majorBidi"/>
          <w:b/>
          <w:bCs/>
          <w:color w:val="660033"/>
          <w:sz w:val="28"/>
          <w:szCs w:val="28"/>
        </w:rPr>
      </w:pPr>
    </w:p>
    <w:p w:rsidR="003E1E55" w:rsidRDefault="003E1E55" w:rsidP="00BA7EA7">
      <w:pPr>
        <w:widowControl/>
        <w:spacing w:line="276" w:lineRule="auto"/>
        <w:jc w:val="both"/>
        <w:rPr>
          <w:rFonts w:asciiTheme="majorBidi" w:hAnsiTheme="majorBidi" w:cstheme="majorBidi"/>
          <w:b/>
          <w:color w:val="000000" w:themeColor="text1"/>
          <w:sz w:val="26"/>
          <w:szCs w:val="26"/>
        </w:rPr>
      </w:pPr>
    </w:p>
    <w:p w:rsidR="003E1E55" w:rsidRPr="003E1E55" w:rsidRDefault="003E1E55" w:rsidP="00D31513">
      <w:pPr>
        <w:widowControl/>
        <w:spacing w:line="276" w:lineRule="auto"/>
        <w:jc w:val="both"/>
        <w:rPr>
          <w:rFonts w:asciiTheme="majorBidi" w:hAnsiTheme="majorBidi" w:cstheme="majorBidi"/>
          <w:b/>
          <w:color w:val="000000" w:themeColor="text1"/>
          <w:sz w:val="26"/>
          <w:szCs w:val="26"/>
        </w:rPr>
      </w:pPr>
      <w:r w:rsidRPr="003E1E55">
        <w:rPr>
          <w:rFonts w:asciiTheme="majorBidi" w:hAnsiTheme="majorBidi" w:cstheme="majorBidi"/>
          <w:b/>
          <w:color w:val="000000" w:themeColor="text1"/>
          <w:sz w:val="26"/>
          <w:szCs w:val="26"/>
        </w:rPr>
        <w:t>Les résultats de l’enquête permanente de conjoncture auprès des ménages, menée par le HCP,</w:t>
      </w:r>
      <w:r>
        <w:rPr>
          <w:rFonts w:asciiTheme="majorBidi" w:hAnsiTheme="majorBidi" w:cstheme="majorBidi"/>
          <w:b/>
          <w:color w:val="000000" w:themeColor="text1"/>
          <w:sz w:val="26"/>
          <w:szCs w:val="26"/>
        </w:rPr>
        <w:t xml:space="preserve"> m</w:t>
      </w:r>
      <w:r w:rsidRPr="00BA7EA7">
        <w:rPr>
          <w:rFonts w:asciiTheme="majorBidi" w:hAnsiTheme="majorBidi" w:cstheme="majorBidi"/>
          <w:b/>
          <w:color w:val="000000" w:themeColor="text1"/>
          <w:sz w:val="26"/>
          <w:szCs w:val="26"/>
        </w:rPr>
        <w:t xml:space="preserve">ontrent qu’au premier trimestre de </w:t>
      </w:r>
      <w:r w:rsidR="009A7AC5">
        <w:rPr>
          <w:rFonts w:asciiTheme="majorBidi" w:hAnsiTheme="majorBidi" w:cstheme="majorBidi"/>
          <w:b/>
          <w:color w:val="000000" w:themeColor="text1"/>
          <w:sz w:val="26"/>
          <w:szCs w:val="26"/>
        </w:rPr>
        <w:t>2023</w:t>
      </w:r>
      <w:r w:rsidRPr="00BA7EA7">
        <w:rPr>
          <w:rFonts w:asciiTheme="majorBidi" w:hAnsiTheme="majorBidi" w:cstheme="majorBidi"/>
          <w:b/>
          <w:color w:val="000000" w:themeColor="text1"/>
          <w:sz w:val="26"/>
          <w:szCs w:val="26"/>
        </w:rPr>
        <w:t xml:space="preserve">, </w:t>
      </w:r>
      <w:r w:rsidR="00F30A01" w:rsidRPr="00F30A01">
        <w:rPr>
          <w:rFonts w:asciiTheme="majorBidi" w:hAnsiTheme="majorBidi" w:cstheme="majorBidi"/>
          <w:b/>
          <w:color w:val="000000" w:themeColor="text1"/>
          <w:sz w:val="26"/>
          <w:szCs w:val="26"/>
        </w:rPr>
        <w:t xml:space="preserve">le moral des </w:t>
      </w:r>
      <w:r w:rsidR="00D31513">
        <w:rPr>
          <w:rFonts w:asciiTheme="majorBidi" w:hAnsiTheme="majorBidi" w:cstheme="majorBidi"/>
          <w:b/>
          <w:color w:val="000000" w:themeColor="text1"/>
          <w:sz w:val="26"/>
          <w:szCs w:val="26"/>
        </w:rPr>
        <w:t>ménages</w:t>
      </w:r>
      <w:r w:rsidR="00F30A01" w:rsidRPr="00F30A01">
        <w:rPr>
          <w:rFonts w:asciiTheme="majorBidi" w:hAnsiTheme="majorBidi" w:cstheme="majorBidi"/>
          <w:b/>
          <w:color w:val="000000" w:themeColor="text1"/>
          <w:sz w:val="26"/>
          <w:szCs w:val="26"/>
        </w:rPr>
        <w:t xml:space="preserve"> continue sa tendance baissière pour atteindre son niveau le plus bas depuis le début de l’enquête en 2008.</w:t>
      </w:r>
    </w:p>
    <w:p w:rsidR="001930B7" w:rsidRPr="00BA7EA7" w:rsidRDefault="001930B7" w:rsidP="00BA7EA7">
      <w:pPr>
        <w:widowControl/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3C6260" w:rsidRPr="003C6260" w:rsidRDefault="00580123" w:rsidP="003C6260">
      <w:pPr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L'indice de confiance des ménages (ICM) s’est ainsi établi à </w:t>
      </w:r>
      <w:r w:rsidR="0013463D" w:rsidRPr="004A69BD">
        <w:rPr>
          <w:rFonts w:asciiTheme="majorBidi" w:hAnsiTheme="majorBidi" w:cstheme="majorBidi"/>
          <w:color w:val="000000" w:themeColor="text1"/>
          <w:sz w:val="26"/>
          <w:szCs w:val="26"/>
        </w:rPr>
        <w:t>46</w:t>
      </w:r>
      <w:r w:rsidR="00797719" w:rsidRPr="004A69BD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13463D" w:rsidRPr="004A69BD">
        <w:rPr>
          <w:rFonts w:asciiTheme="majorBidi" w:hAnsiTheme="majorBidi" w:cstheme="majorBidi"/>
          <w:color w:val="000000" w:themeColor="text1"/>
          <w:sz w:val="26"/>
          <w:szCs w:val="26"/>
        </w:rPr>
        <w:t>3</w:t>
      </w:r>
      <w:r w:rsidR="00797719" w:rsidRPr="0079771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0838BF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points, au lieu de </w:t>
      </w:r>
      <w:r w:rsidR="0013463D" w:rsidRPr="004A69BD">
        <w:rPr>
          <w:rFonts w:asciiTheme="majorBidi" w:hAnsiTheme="majorBidi" w:cstheme="majorBidi"/>
          <w:color w:val="000000" w:themeColor="text1"/>
          <w:sz w:val="26"/>
          <w:szCs w:val="26"/>
        </w:rPr>
        <w:t>46</w:t>
      </w:r>
      <w:r w:rsidR="00797719" w:rsidRPr="004A69BD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13463D" w:rsidRPr="004A69BD">
        <w:rPr>
          <w:rFonts w:asciiTheme="majorBidi" w:hAnsiTheme="majorBidi" w:cstheme="majorBidi"/>
          <w:color w:val="000000" w:themeColor="text1"/>
          <w:sz w:val="26"/>
          <w:szCs w:val="26"/>
        </w:rPr>
        <w:t>6</w:t>
      </w:r>
      <w:r w:rsidR="00A1080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points enregistrés le trimestre </w:t>
      </w:r>
      <w:r w:rsidR="000838BF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précédent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et </w:t>
      </w:r>
      <w:r w:rsidR="0013463D" w:rsidRPr="004A69BD">
        <w:rPr>
          <w:rFonts w:asciiTheme="majorBidi" w:hAnsiTheme="majorBidi" w:cstheme="majorBidi"/>
          <w:color w:val="000000" w:themeColor="text1"/>
          <w:sz w:val="26"/>
          <w:szCs w:val="26"/>
        </w:rPr>
        <w:t>53</w:t>
      </w:r>
      <w:r w:rsidR="00797719" w:rsidRPr="004A69BD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13463D" w:rsidRPr="004A69BD">
        <w:rPr>
          <w:rFonts w:asciiTheme="majorBidi" w:hAnsiTheme="majorBidi" w:cstheme="majorBidi"/>
          <w:color w:val="000000" w:themeColor="text1"/>
          <w:sz w:val="26"/>
          <w:szCs w:val="26"/>
        </w:rPr>
        <w:t>7</w:t>
      </w:r>
      <w:r w:rsidR="00797719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points une année auparavant.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"/>
        <w:gridCol w:w="9830"/>
      </w:tblGrid>
      <w:tr w:rsidR="003C6260" w:rsidRPr="003C6260" w:rsidTr="003C6260">
        <w:tc>
          <w:tcPr>
            <w:tcW w:w="551" w:type="dxa"/>
            <w:tcMar>
              <w:top w:w="0" w:type="dxa"/>
              <w:left w:w="200" w:type="dxa"/>
              <w:bottom w:w="0" w:type="dxa"/>
              <w:right w:w="200" w:type="dxa"/>
            </w:tcMar>
            <w:hideMark/>
          </w:tcPr>
          <w:p w:rsidR="003C6260" w:rsidRPr="003C6260" w:rsidRDefault="003C6260" w:rsidP="003C6260">
            <w:pPr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194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260" w:rsidRPr="003C6260" w:rsidRDefault="003C6260" w:rsidP="003C6260">
            <w:pPr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</w:tr>
    </w:tbl>
    <w:p w:rsidR="003E7898" w:rsidRPr="00BA7EA7" w:rsidRDefault="003E7898" w:rsidP="00BA7EA7">
      <w:pPr>
        <w:widowControl/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67164A" w:rsidRDefault="003E7898" w:rsidP="0067164A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Graphique 1 : Evolution de l'indice de confiance des ménages </w:t>
      </w:r>
    </w:p>
    <w:p w:rsidR="0067164A" w:rsidRDefault="0067164A" w:rsidP="0067164A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67164A" w:rsidRDefault="0067164A" w:rsidP="0067164A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49326A"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w:drawing>
          <wp:inline distT="0" distB="0" distL="0" distR="0">
            <wp:extent cx="6419215" cy="2984590"/>
            <wp:effectExtent l="19050" t="0" r="19685" b="626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15A8" w:rsidRPr="00F27B9C" w:rsidRDefault="002F15A8" w:rsidP="00F27B9C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3C6260" w:rsidRDefault="00C03798" w:rsidP="000A7E83">
      <w:pPr>
        <w:widowControl/>
        <w:tabs>
          <w:tab w:val="left" w:pos="709"/>
        </w:tabs>
        <w:spacing w:line="276" w:lineRule="auto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Source : HCP, Enquête permanente de conjoncture auprès des ménages</w:t>
      </w:r>
    </w:p>
    <w:p w:rsidR="003C6260" w:rsidRDefault="003C6260" w:rsidP="00BA7EA7">
      <w:pPr>
        <w:spacing w:line="276" w:lineRule="auto"/>
        <w:jc w:val="center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3C6260" w:rsidRPr="00BA7EA7" w:rsidRDefault="003C6260" w:rsidP="00BA7EA7">
      <w:pPr>
        <w:spacing w:line="276" w:lineRule="auto"/>
        <w:jc w:val="center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8D3806" w:rsidRPr="00BA7EA7" w:rsidRDefault="006F1D72" w:rsidP="00BA7EA7">
      <w:pPr>
        <w:pStyle w:val="Paragraphedeliste"/>
        <w:numPr>
          <w:ilvl w:val="0"/>
          <w:numId w:val="9"/>
        </w:numPr>
        <w:ind w:left="284" w:hanging="284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bookmarkStart w:id="0" w:name="_Ref379209308"/>
      <w:r w:rsidRPr="00BA7EA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Evolution des </w:t>
      </w:r>
      <w:r w:rsidR="00860E86" w:rsidRPr="00BA7EA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composantes de</w:t>
      </w:r>
      <w:r w:rsidRPr="00BA7EA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l'ICM</w:t>
      </w:r>
      <w:bookmarkEnd w:id="0"/>
    </w:p>
    <w:p w:rsidR="00C07FB5" w:rsidRPr="00BA7EA7" w:rsidRDefault="00722F6F" w:rsidP="00BA7EA7">
      <w:pPr>
        <w:widowControl/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L</w:t>
      </w:r>
      <w:r w:rsidR="00560ED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es composantes 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de l’ICM </w:t>
      </w:r>
      <w:r w:rsidR="00560ED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portent sur la perception par les ménages de l’évolution du niveau de vie</w:t>
      </w:r>
      <w:r w:rsidR="005C2ED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560ED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du chômage, de </w:t>
      </w:r>
      <w:r w:rsidR="008F33D5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l’opportunité</w:t>
      </w:r>
      <w:r w:rsidR="00560ED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à </w:t>
      </w:r>
      <w:r w:rsidR="008F33D5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effectuer des achats de</w:t>
      </w:r>
      <w:r w:rsidR="00560ED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biens</w:t>
      </w:r>
      <w:r w:rsidR="00C07FB5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durables et de </w:t>
      </w:r>
      <w:r w:rsidR="00560ED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leur situation financière.</w:t>
      </w:r>
    </w:p>
    <w:p w:rsidR="007B1D47" w:rsidRDefault="007B1D47" w:rsidP="00BA7EA7">
      <w:pPr>
        <w:widowControl/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E75627" w:rsidRPr="00BA7EA7" w:rsidRDefault="00E75627" w:rsidP="00BA7EA7">
      <w:pPr>
        <w:widowControl/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A90F4D" w:rsidRPr="00D30207" w:rsidRDefault="00A90F4D" w:rsidP="0067164A">
      <w:pPr>
        <w:pStyle w:val="Paragraphedeliste"/>
        <w:numPr>
          <w:ilvl w:val="0"/>
          <w:numId w:val="8"/>
        </w:numPr>
        <w:spacing w:before="24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fr-FR"/>
        </w:rPr>
      </w:pPr>
      <w:r w:rsidRPr="00D3020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Ressenti d’une forte détérioration d</w:t>
      </w:r>
      <w:r w:rsidR="00D30207" w:rsidRPr="00D3020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u</w:t>
      </w:r>
      <w:r w:rsidRPr="00D3020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niveau de vie </w:t>
      </w:r>
    </w:p>
    <w:p w:rsidR="008E570B" w:rsidRDefault="00580123" w:rsidP="004A1AC9">
      <w:pPr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Au </w:t>
      </w:r>
      <w:r w:rsidR="00D5550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premier trimestre</w:t>
      </w:r>
      <w:r w:rsidR="00007426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707360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de</w:t>
      </w:r>
      <w:r w:rsidR="00DA1780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9A7AC5">
        <w:rPr>
          <w:rFonts w:asciiTheme="majorBidi" w:hAnsiTheme="majorBidi" w:cstheme="majorBidi"/>
          <w:color w:val="000000" w:themeColor="text1"/>
          <w:sz w:val="26"/>
          <w:szCs w:val="26"/>
        </w:rPr>
        <w:t>2023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</w:t>
      </w:r>
      <w:r w:rsidR="0013463D" w:rsidRPr="008D19E3">
        <w:rPr>
          <w:rFonts w:asciiTheme="majorBidi" w:hAnsiTheme="majorBidi" w:cstheme="majorBidi"/>
          <w:color w:val="000000" w:themeColor="text1"/>
          <w:sz w:val="26"/>
          <w:szCs w:val="26"/>
        </w:rPr>
        <w:t>85,3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des ménages déclarent une dégradation du niveau de vie au cours des 12 derniers mois, </w:t>
      </w:r>
      <w:r w:rsidR="0013463D" w:rsidRPr="008D19E3">
        <w:rPr>
          <w:rFonts w:asciiTheme="majorBidi" w:hAnsiTheme="majorBidi" w:cstheme="majorBidi"/>
          <w:color w:val="000000" w:themeColor="text1"/>
          <w:sz w:val="26"/>
          <w:szCs w:val="26"/>
        </w:rPr>
        <w:t>10,9</w:t>
      </w:r>
      <w:r w:rsidRPr="004A1AC9">
        <w:rPr>
          <w:rFonts w:asciiTheme="majorBidi" w:hAnsiTheme="majorBidi" w:cstheme="majorBidi"/>
          <w:color w:val="000000" w:themeColor="text1"/>
          <w:sz w:val="26"/>
          <w:szCs w:val="26"/>
        </w:rPr>
        <w:t>%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un maintien au même niveau </w:t>
      </w:r>
      <w:r w:rsidRPr="004A1AC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et </w:t>
      </w:r>
      <w:r w:rsidR="0013463D" w:rsidRPr="008D19E3">
        <w:rPr>
          <w:rFonts w:asciiTheme="majorBidi" w:hAnsiTheme="majorBidi" w:cstheme="majorBidi"/>
          <w:color w:val="000000" w:themeColor="text1"/>
          <w:sz w:val="26"/>
          <w:szCs w:val="26"/>
        </w:rPr>
        <w:t>3,8</w:t>
      </w:r>
      <w:r w:rsidRPr="004A1AC9">
        <w:rPr>
          <w:rFonts w:asciiTheme="majorBidi" w:hAnsiTheme="majorBidi" w:cstheme="majorBidi"/>
          <w:color w:val="000000" w:themeColor="text1"/>
          <w:sz w:val="26"/>
          <w:szCs w:val="26"/>
        </w:rPr>
        <w:t>%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une amélioration. </w:t>
      </w:r>
      <w:r w:rsidR="008E570B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Le solde d’opinion relatif à cet indicateur </w:t>
      </w:r>
      <w:r w:rsidR="008E570B" w:rsidRPr="004A1AC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s’établit à </w:t>
      </w:r>
      <w:r w:rsidR="008E57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moins </w:t>
      </w:r>
      <w:r w:rsidR="00D91048" w:rsidRPr="008D19E3">
        <w:rPr>
          <w:rFonts w:asciiTheme="majorBidi" w:hAnsiTheme="majorBidi" w:cstheme="majorBidi"/>
          <w:color w:val="000000" w:themeColor="text1"/>
          <w:sz w:val="26"/>
          <w:szCs w:val="26"/>
        </w:rPr>
        <w:t>81,5</w:t>
      </w:r>
      <w:r w:rsidR="008D19E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8E570B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points en </w:t>
      </w:r>
      <w:r w:rsidR="008E570B">
        <w:rPr>
          <w:rFonts w:asciiTheme="majorBidi" w:hAnsiTheme="majorBidi" w:cstheme="majorBidi"/>
          <w:color w:val="000000" w:themeColor="text1"/>
          <w:sz w:val="26"/>
          <w:szCs w:val="26"/>
        </w:rPr>
        <w:t>dégradation</w:t>
      </w:r>
      <w:r w:rsidR="008E570B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aussi bien par rapport au trimestre précédent que par rapport au même trimestre de l’année précédente où il était à moins </w:t>
      </w:r>
      <w:r w:rsidR="00D91048" w:rsidRPr="008D19E3">
        <w:rPr>
          <w:rFonts w:asciiTheme="majorBidi" w:hAnsiTheme="majorBidi" w:cstheme="majorBidi"/>
          <w:color w:val="000000" w:themeColor="text1"/>
          <w:sz w:val="26"/>
          <w:szCs w:val="26"/>
        </w:rPr>
        <w:t>78,0</w:t>
      </w:r>
      <w:r w:rsidR="008D19E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8E570B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points et à moins </w:t>
      </w:r>
      <w:r w:rsidR="00D91048" w:rsidRPr="008D19E3">
        <w:rPr>
          <w:rFonts w:asciiTheme="majorBidi" w:hAnsiTheme="majorBidi" w:cstheme="majorBidi"/>
          <w:color w:val="000000" w:themeColor="text1"/>
          <w:sz w:val="26"/>
          <w:szCs w:val="26"/>
        </w:rPr>
        <w:t>66,9</w:t>
      </w:r>
      <w:r w:rsidR="00D91048" w:rsidRPr="00BB28FE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8E570B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points respectivement. </w:t>
      </w:r>
    </w:p>
    <w:p w:rsidR="0013463D" w:rsidRPr="008E570B" w:rsidRDefault="00580123" w:rsidP="00FB75F8">
      <w:pPr>
        <w:pStyle w:val="Paragraphedeliste"/>
        <w:spacing w:before="240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</w:pPr>
      <w:r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Au cours des 12 prochains mois, </w:t>
      </w:r>
      <w:r w:rsidR="0013463D" w:rsidRPr="008D19E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50,7</w:t>
      </w:r>
      <w:r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% des ménages s’attendent à une dégradation du niveau de vie, </w:t>
      </w:r>
      <w:r w:rsidR="0013463D" w:rsidRPr="008D19E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37,4</w:t>
      </w:r>
      <w:r w:rsidR="000F2E6E" w:rsidRPr="004A1AC9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%</w:t>
      </w:r>
      <w:r w:rsidR="000F2E6E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à un maintien au même nive</w:t>
      </w:r>
      <w:r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au et </w:t>
      </w:r>
      <w:r w:rsidR="0013463D" w:rsidRPr="008D19E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11,9</w:t>
      </w:r>
      <w:r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% à une amélioration.</w:t>
      </w:r>
      <w:r w:rsidR="00164979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</w:t>
      </w:r>
      <w:r w:rsidR="008E570B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Le solde d’opinion sur l’évolution </w:t>
      </w:r>
      <w:r w:rsidR="008E570B" w:rsidRPr="006224E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future</w:t>
      </w:r>
      <w:r w:rsidR="008E570B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du niveau de vie </w:t>
      </w:r>
      <w:r w:rsidR="008E570B" w:rsidRPr="004A1AC9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est resté négatif</w:t>
      </w:r>
      <w:r w:rsidR="004A1AC9" w:rsidRPr="004A1AC9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</w:t>
      </w:r>
      <w:r w:rsidR="00E7562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à </w:t>
      </w:r>
      <w:r w:rsidR="008E570B" w:rsidRPr="004A1AC9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moins </w:t>
      </w:r>
      <w:r w:rsidR="00D91048" w:rsidRPr="008D19E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38,8 </w:t>
      </w:r>
      <w:r w:rsidR="008E570B" w:rsidRPr="004A1AC9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points</w:t>
      </w:r>
      <w:r w:rsidR="008E570B" w:rsidRPr="008D19E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, contre moins </w:t>
      </w:r>
      <w:r w:rsidR="00D91048" w:rsidRPr="008D19E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43,0 </w:t>
      </w:r>
      <w:r w:rsidR="008E570B" w:rsidRPr="008D19E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poi</w:t>
      </w:r>
      <w:r w:rsidR="004A1AC9" w:rsidRPr="008D19E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nts au trimestre précédent et </w:t>
      </w:r>
      <w:r w:rsidR="00D91048" w:rsidRPr="008D19E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moins 21,5</w:t>
      </w:r>
      <w:r w:rsidR="00D91048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</w:t>
      </w:r>
      <w:r w:rsidR="008E570B" w:rsidRPr="008D19E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points au même trimestre de l’année passée.</w:t>
      </w:r>
    </w:p>
    <w:p w:rsidR="00754E50" w:rsidRDefault="003E7898" w:rsidP="00FB75F8">
      <w:pPr>
        <w:spacing w:before="24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Graphique 2 : Perception du niveau de vie (soldes d'opinions) </w:t>
      </w:r>
    </w:p>
    <w:p w:rsidR="00754E50" w:rsidRPr="00F27B9C" w:rsidRDefault="00AB6EAD" w:rsidP="00C03798">
      <w:pPr>
        <w:spacing w:before="24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AB6EAD"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w:drawing>
          <wp:inline distT="0" distB="0" distL="0" distR="0">
            <wp:extent cx="6373799" cy="3807405"/>
            <wp:effectExtent l="19050" t="0" r="27001" b="2595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7898" w:rsidRDefault="003E7898" w:rsidP="00BA7EA7">
      <w:pPr>
        <w:widowControl/>
        <w:tabs>
          <w:tab w:val="left" w:pos="709"/>
        </w:tabs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Source : HCP, Enquête permanente de conjoncture auprès des ménages</w:t>
      </w:r>
    </w:p>
    <w:p w:rsidR="004A1AC9" w:rsidRDefault="004A1AC9" w:rsidP="00BA7EA7">
      <w:pPr>
        <w:widowControl/>
        <w:tabs>
          <w:tab w:val="left" w:pos="709"/>
        </w:tabs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91145D" w:rsidRPr="009632D4" w:rsidRDefault="0067164A" w:rsidP="009632D4">
      <w:pPr>
        <w:pStyle w:val="Paragraphedeliste"/>
        <w:numPr>
          <w:ilvl w:val="0"/>
          <w:numId w:val="8"/>
        </w:numPr>
        <w:spacing w:before="240" w:line="240" w:lineRule="auto"/>
        <w:ind w:left="0" w:hanging="142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632D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</w:t>
      </w:r>
      <w:r w:rsidR="00D30207" w:rsidRPr="009632D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nticipation d’une hausse</w:t>
      </w:r>
      <w:r w:rsidRPr="009632D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du niveau du chômage </w:t>
      </w:r>
    </w:p>
    <w:p w:rsidR="00164979" w:rsidRDefault="00580123" w:rsidP="004A1AC9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Au </w:t>
      </w:r>
      <w:r w:rsidR="00D5550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premier trimestre</w:t>
      </w:r>
      <w:r w:rsidR="00161D6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707360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de</w:t>
      </w:r>
      <w:r w:rsidR="00DA1780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9A7AC5">
        <w:rPr>
          <w:rFonts w:asciiTheme="majorBidi" w:hAnsiTheme="majorBidi" w:cstheme="majorBidi"/>
          <w:color w:val="000000" w:themeColor="text1"/>
          <w:sz w:val="26"/>
          <w:szCs w:val="26"/>
        </w:rPr>
        <w:t>2023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</w:t>
      </w:r>
      <w:r w:rsidR="0013463D" w:rsidRPr="008D19E3">
        <w:rPr>
          <w:rFonts w:asciiTheme="majorBidi" w:hAnsiTheme="majorBidi" w:cstheme="majorBidi"/>
          <w:color w:val="000000" w:themeColor="text1"/>
          <w:sz w:val="26"/>
          <w:szCs w:val="26"/>
        </w:rPr>
        <w:t>85,8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% contre</w:t>
      </w:r>
      <w:r w:rsidR="008D15A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13463D" w:rsidRPr="008D19E3">
        <w:rPr>
          <w:rFonts w:asciiTheme="majorBidi" w:hAnsiTheme="majorBidi" w:cstheme="majorBidi"/>
          <w:color w:val="000000" w:themeColor="text1"/>
          <w:sz w:val="26"/>
          <w:szCs w:val="26"/>
        </w:rPr>
        <w:t>4,4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% des ménages s’attendent à une hausse du chômage au cours des 12 prochains mois. Le solde d’opinion est resté ainsi négatif</w:t>
      </w:r>
      <w:r w:rsidR="00181B0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à moins </w:t>
      </w:r>
      <w:r w:rsidR="00D91048" w:rsidRPr="008D19E3">
        <w:rPr>
          <w:rFonts w:asciiTheme="majorBidi" w:hAnsiTheme="majorBidi" w:cstheme="majorBidi"/>
          <w:color w:val="000000" w:themeColor="text1"/>
          <w:sz w:val="26"/>
          <w:szCs w:val="26"/>
        </w:rPr>
        <w:t>81,4</w:t>
      </w:r>
      <w:r w:rsidR="008D19E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points</w:t>
      </w:r>
      <w:r w:rsidR="004A1AC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C142AB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contre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moins </w:t>
      </w:r>
      <w:r w:rsidR="00D91048" w:rsidRPr="008D19E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79,6 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points </w:t>
      </w:r>
      <w:r w:rsidR="00C142AB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un trimestre auparavant et </w:t>
      </w:r>
      <w:r w:rsidR="00181B02">
        <w:rPr>
          <w:rFonts w:asciiTheme="majorBidi" w:hAnsiTheme="majorBidi" w:cstheme="majorBidi"/>
          <w:color w:val="000000" w:themeColor="text1"/>
          <w:sz w:val="26"/>
          <w:szCs w:val="26"/>
        </w:rPr>
        <w:t>à</w:t>
      </w:r>
      <w:r w:rsidR="00C142AB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181B02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moins </w:t>
      </w:r>
      <w:r w:rsidR="00D91048" w:rsidRPr="008D19E3">
        <w:rPr>
          <w:rFonts w:asciiTheme="majorBidi" w:hAnsiTheme="majorBidi" w:cstheme="majorBidi"/>
          <w:color w:val="000000" w:themeColor="text1"/>
          <w:sz w:val="26"/>
          <w:szCs w:val="26"/>
        </w:rPr>
        <w:t>82,8</w:t>
      </w:r>
      <w:r w:rsidR="00D91048" w:rsidRPr="00BB28FE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points</w:t>
      </w:r>
      <w:r w:rsidR="00C142AB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un an auparavant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</w:p>
    <w:p w:rsidR="0013463D" w:rsidRDefault="0013463D" w:rsidP="004A1AC9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E75627" w:rsidRDefault="00E75627" w:rsidP="004A1AC9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FB75F8" w:rsidRDefault="00FB75F8" w:rsidP="004A1AC9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FB75F8" w:rsidRDefault="00FB75F8" w:rsidP="004A1AC9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573CDB" w:rsidRDefault="00161D6D" w:rsidP="0067164A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lastRenderedPageBreak/>
        <w:t xml:space="preserve">Graphique 3 : Perception de l'évolution du </w:t>
      </w:r>
      <w:r w:rsidR="006716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niveau du chômage </w:t>
      </w: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(soldes d'opinions)</w:t>
      </w:r>
    </w:p>
    <w:p w:rsidR="004D3F5F" w:rsidRDefault="004D3F5F" w:rsidP="00BA7EA7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184134" w:rsidRPr="002D64F5" w:rsidRDefault="004D3F5F" w:rsidP="002D64F5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4D3F5F"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w:drawing>
          <wp:inline distT="0" distB="0" distL="0" distR="0">
            <wp:extent cx="6696351" cy="2711394"/>
            <wp:effectExtent l="19050" t="0" r="28299" b="0"/>
            <wp:docPr id="4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7898" w:rsidRPr="00BA7EA7" w:rsidRDefault="003E7898" w:rsidP="00BA7EA7">
      <w:pPr>
        <w:pStyle w:val="Paragraphedeliste"/>
        <w:tabs>
          <w:tab w:val="left" w:pos="709"/>
        </w:tabs>
        <w:ind w:left="360"/>
        <w:rPr>
          <w:rFonts w:asciiTheme="majorBidi" w:hAnsiTheme="majorBidi" w:cstheme="majorBidi"/>
          <w:b/>
          <w:bCs/>
          <w:color w:val="000000" w:themeColor="text1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</w:rPr>
        <w:t>Source : HCP, Enquête permanente de conjoncture auprès des ménages</w:t>
      </w:r>
    </w:p>
    <w:p w:rsidR="003E7898" w:rsidRDefault="003E7898" w:rsidP="00BA7EA7">
      <w:pPr>
        <w:pStyle w:val="Paragraphedeliste"/>
        <w:tabs>
          <w:tab w:val="left" w:pos="709"/>
        </w:tabs>
        <w:ind w:left="360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724E91" w:rsidRPr="0035179E" w:rsidRDefault="00A33336" w:rsidP="008F7FE5">
      <w:pPr>
        <w:pStyle w:val="Paragraphedeliste"/>
        <w:numPr>
          <w:ilvl w:val="0"/>
          <w:numId w:val="8"/>
        </w:numPr>
        <w:tabs>
          <w:tab w:val="left" w:pos="709"/>
        </w:tabs>
        <w:spacing w:before="240"/>
        <w:ind w:left="284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35179E">
        <w:rPr>
          <w:rFonts w:asciiTheme="majorBidi" w:hAnsiTheme="majorBidi" w:cstheme="majorBidi"/>
          <w:b/>
          <w:bCs/>
          <w:color w:val="000000"/>
          <w:sz w:val="26"/>
          <w:szCs w:val="26"/>
        </w:rPr>
        <w:t>Une c</w:t>
      </w:r>
      <w:r w:rsidR="003541C4" w:rsidRPr="0035179E">
        <w:rPr>
          <w:rFonts w:asciiTheme="majorBidi" w:hAnsiTheme="majorBidi" w:cstheme="majorBidi"/>
          <w:b/>
          <w:bCs/>
          <w:color w:val="000000"/>
          <w:sz w:val="26"/>
          <w:szCs w:val="26"/>
        </w:rPr>
        <w:t>onjoncture</w:t>
      </w:r>
      <w:r w:rsidR="008F7FE5">
        <w:rPr>
          <w:rFonts w:asciiTheme="majorBidi" w:hAnsiTheme="majorBidi" w:cstheme="majorBidi" w:hint="cs"/>
          <w:b/>
          <w:bCs/>
          <w:color w:val="000000"/>
          <w:sz w:val="26"/>
          <w:szCs w:val="26"/>
          <w:rtl/>
        </w:rPr>
        <w:t xml:space="preserve"> </w:t>
      </w:r>
      <w:r w:rsidR="00051A04" w:rsidRPr="0035179E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pe</w:t>
      </w:r>
      <w:r w:rsidR="009632D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u propice </w:t>
      </w:r>
      <w:r w:rsidR="00051A04" w:rsidRPr="0035179E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à </w:t>
      </w:r>
      <w:r w:rsidR="00051A04" w:rsidRPr="0035179E">
        <w:rPr>
          <w:rFonts w:asciiTheme="majorBidi" w:hAnsiTheme="majorBidi" w:cstheme="majorBidi"/>
          <w:b/>
          <w:bCs/>
          <w:color w:val="000000"/>
          <w:sz w:val="26"/>
          <w:szCs w:val="26"/>
        </w:rPr>
        <w:t>l</w:t>
      </w:r>
      <w:r w:rsidR="00051A04" w:rsidRPr="0035179E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’achat des biens durables </w:t>
      </w:r>
    </w:p>
    <w:p w:rsidR="00357B74" w:rsidRDefault="00580123" w:rsidP="00ED1517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Au </w:t>
      </w:r>
      <w:r w:rsidR="00D5550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premier trimestre</w:t>
      </w:r>
      <w:r w:rsidR="00161D6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707360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de</w:t>
      </w:r>
      <w:r w:rsidR="00DA1780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9A7AC5">
        <w:rPr>
          <w:rFonts w:asciiTheme="majorBidi" w:hAnsiTheme="majorBidi" w:cstheme="majorBidi"/>
          <w:color w:val="000000" w:themeColor="text1"/>
          <w:sz w:val="26"/>
          <w:szCs w:val="26"/>
        </w:rPr>
        <w:t>2023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</w:t>
      </w:r>
      <w:r w:rsidR="0013463D" w:rsidRPr="00D81170">
        <w:rPr>
          <w:rFonts w:asciiTheme="majorBidi" w:hAnsiTheme="majorBidi" w:cstheme="majorBidi"/>
          <w:color w:val="000000" w:themeColor="text1"/>
          <w:sz w:val="26"/>
          <w:szCs w:val="26"/>
        </w:rPr>
        <w:t>79,0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contre </w:t>
      </w:r>
      <w:r w:rsidR="0013463D" w:rsidRPr="00D81170">
        <w:rPr>
          <w:rFonts w:asciiTheme="majorBidi" w:hAnsiTheme="majorBidi" w:cstheme="majorBidi"/>
          <w:color w:val="000000" w:themeColor="text1"/>
          <w:sz w:val="26"/>
          <w:szCs w:val="26"/>
        </w:rPr>
        <w:t>9,2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des ménages considèrent que le moment n’est pas opportun pour effectuer des achats de biens durables. </w:t>
      </w:r>
      <w:r w:rsidR="00AF3E95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L</w:t>
      </w:r>
      <w:r w:rsidR="007933D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e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solde d’opinion </w:t>
      </w:r>
      <w:r w:rsidR="00AF3E95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de 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cet indicateur est resté négatif</w:t>
      </w:r>
      <w:r w:rsidR="001E5372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avec moins </w:t>
      </w:r>
      <w:r w:rsidR="004425F2" w:rsidRPr="004425F2">
        <w:rPr>
          <w:rFonts w:asciiTheme="majorBidi" w:hAnsiTheme="majorBidi" w:cstheme="majorBidi"/>
          <w:color w:val="000000" w:themeColor="text1"/>
          <w:sz w:val="26"/>
          <w:szCs w:val="26"/>
        </w:rPr>
        <w:t>69,8</w:t>
      </w:r>
      <w:r w:rsidR="004425F2" w:rsidRPr="00D8117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161D6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points contre </w:t>
      </w:r>
      <w:r w:rsidR="001E5372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161D6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moins </w:t>
      </w:r>
      <w:r w:rsidR="004425F2" w:rsidRPr="004425F2">
        <w:rPr>
          <w:rFonts w:asciiTheme="majorBidi" w:hAnsiTheme="majorBidi" w:cstheme="majorBidi"/>
          <w:color w:val="000000" w:themeColor="text1"/>
          <w:sz w:val="26"/>
          <w:szCs w:val="26"/>
        </w:rPr>
        <w:t>70,3</w:t>
      </w:r>
      <w:r w:rsidR="004425F2" w:rsidRPr="00D8117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161D6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points </w:t>
      </w:r>
      <w:r w:rsidR="001E5372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au trimestre précédent </w:t>
      </w:r>
      <w:r w:rsidR="00161D6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et moins </w:t>
      </w:r>
      <w:r w:rsidR="004425F2" w:rsidRPr="00D81170">
        <w:rPr>
          <w:rFonts w:asciiTheme="majorBidi" w:hAnsiTheme="majorBidi" w:cstheme="majorBidi"/>
          <w:color w:val="000000" w:themeColor="text1"/>
          <w:sz w:val="26"/>
          <w:szCs w:val="26"/>
        </w:rPr>
        <w:t>66,7</w:t>
      </w:r>
      <w:r w:rsidR="004425F2" w:rsidRPr="00BB28FE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161D6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points </w:t>
      </w:r>
      <w:r w:rsidR="001E5372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au même trimestre de l’année précédente</w:t>
      </w:r>
      <w:r w:rsidR="00161D6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  <w:r w:rsidR="00DA60E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</w:p>
    <w:p w:rsidR="004425F2" w:rsidRDefault="004425F2" w:rsidP="00ED1517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573CDB" w:rsidRDefault="00161D6D" w:rsidP="0067164A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Graphique 4 : Perception de l'opportunité d'achat des biens durables  (soldes d'opinions)</w:t>
      </w:r>
    </w:p>
    <w:p w:rsidR="004D3F5F" w:rsidRDefault="004D3F5F" w:rsidP="00BA7EA7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D326DA" w:rsidRPr="002D64F5" w:rsidRDefault="004D3F5F" w:rsidP="00F27B9C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4D3F5F"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w:drawing>
          <wp:inline distT="0" distB="0" distL="0" distR="0">
            <wp:extent cx="6654662" cy="2918129"/>
            <wp:effectExtent l="19050" t="0" r="12838" b="0"/>
            <wp:docPr id="5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7898" w:rsidRDefault="00161D6D" w:rsidP="00BA7EA7">
      <w:pPr>
        <w:widowControl/>
        <w:tabs>
          <w:tab w:val="left" w:pos="709"/>
        </w:tabs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  </w:t>
      </w:r>
      <w:r w:rsidR="003E7898" w:rsidRPr="00BA7EA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Source : HCP, Enquête permanente de conjoncture auprès des ménages</w:t>
      </w:r>
    </w:p>
    <w:p w:rsidR="0067164A" w:rsidRDefault="0067164A" w:rsidP="00BA7EA7">
      <w:pPr>
        <w:widowControl/>
        <w:tabs>
          <w:tab w:val="left" w:pos="709"/>
        </w:tabs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67164A" w:rsidRDefault="0067164A" w:rsidP="00BA7EA7">
      <w:pPr>
        <w:widowControl/>
        <w:tabs>
          <w:tab w:val="left" w:pos="709"/>
        </w:tabs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9F5C1E" w:rsidRPr="00D30207" w:rsidRDefault="0049217B" w:rsidP="0067164A">
      <w:pPr>
        <w:pStyle w:val="Paragraphedeliste"/>
        <w:numPr>
          <w:ilvl w:val="0"/>
          <w:numId w:val="8"/>
        </w:numPr>
        <w:tabs>
          <w:tab w:val="left" w:pos="709"/>
        </w:tabs>
        <w:spacing w:before="240" w:line="240" w:lineRule="auto"/>
        <w:ind w:left="0" w:hanging="142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 xml:space="preserve">Une </w:t>
      </w:r>
      <w:r w:rsidR="00E75627" w:rsidRPr="00D3020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situation financière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en détérioration</w:t>
      </w:r>
      <w:r w:rsidR="006716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continue</w:t>
      </w:r>
    </w:p>
    <w:p w:rsidR="009F5C1E" w:rsidRDefault="009F5C1E" w:rsidP="009F5C1E">
      <w:pPr>
        <w:pStyle w:val="Paragraphedeliste"/>
        <w:tabs>
          <w:tab w:val="left" w:pos="709"/>
        </w:tabs>
        <w:spacing w:before="240" w:line="240" w:lineRule="auto"/>
        <w:ind w:left="-7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24E91" w:rsidRPr="00A64528" w:rsidRDefault="00516548" w:rsidP="00A64528">
      <w:pPr>
        <w:pStyle w:val="Paragraphedeliste"/>
        <w:tabs>
          <w:tab w:val="left" w:pos="709"/>
        </w:tabs>
        <w:spacing w:before="240" w:line="240" w:lineRule="auto"/>
        <w:ind w:left="-76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Au </w:t>
      </w:r>
      <w:r w:rsidR="00D55501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premier trimestre</w:t>
      </w:r>
      <w:r w:rsidR="00BA7EA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707360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de</w:t>
      </w:r>
      <w:r w:rsidR="00DA1780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9A7AC5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2023</w:t>
      </w:r>
      <w:r w:rsidR="00E03B6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</w:t>
      </w:r>
      <w:r w:rsidR="00217298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51,</w:t>
      </w:r>
      <w:r w:rsidR="00A64528">
        <w:rPr>
          <w:rFonts w:asciiTheme="majorBidi" w:hAnsiTheme="majorBidi" w:cstheme="majorBidi"/>
          <w:color w:val="000000" w:themeColor="text1"/>
          <w:sz w:val="26"/>
          <w:szCs w:val="26"/>
        </w:rPr>
        <w:t>2</w:t>
      </w:r>
      <w:r w:rsidR="00E03B6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% des ménages</w:t>
      </w:r>
      <w:r w:rsidR="00BA7EA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03B6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estiment que leurs revenus couvrent leurs dépenses, </w:t>
      </w:r>
      <w:r w:rsidR="00217298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45,</w:t>
      </w:r>
      <w:r w:rsidR="00A64528">
        <w:rPr>
          <w:rFonts w:asciiTheme="majorBidi" w:hAnsiTheme="majorBidi" w:cstheme="majorBidi"/>
          <w:color w:val="000000" w:themeColor="text1"/>
          <w:sz w:val="26"/>
          <w:szCs w:val="26"/>
        </w:rPr>
        <w:t>4</w:t>
      </w:r>
      <w:r w:rsidR="00E03B6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déclarent s’endetter ou puiser dans leur épargne et </w:t>
      </w:r>
      <w:r w:rsidR="00217298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3,</w:t>
      </w:r>
      <w:r w:rsidR="00A64528">
        <w:rPr>
          <w:rFonts w:asciiTheme="majorBidi" w:hAnsiTheme="majorBidi" w:cstheme="majorBidi"/>
          <w:color w:val="000000" w:themeColor="text1"/>
          <w:sz w:val="26"/>
          <w:szCs w:val="26"/>
        </w:rPr>
        <w:t>4</w:t>
      </w:r>
      <w:r w:rsidR="00E03B6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% affirment épargner une partie de leur revenu.</w:t>
      </w:r>
      <w:r w:rsidR="00BA7EA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03B6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Le solde d’opinion </w:t>
      </w:r>
      <w:r w:rsidR="007A29D4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relatif à</w:t>
      </w:r>
      <w:r w:rsidR="00E03B6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la situation financière actuelle des ménages est resté ainsi négatif, à moins </w:t>
      </w:r>
      <w:r w:rsidR="00B246AF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42,0 </w:t>
      </w:r>
      <w:r w:rsidR="00E03B6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points</w:t>
      </w:r>
      <w:r w:rsidR="00BA7EA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D90C0D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contre </w:t>
      </w:r>
      <w:r w:rsidR="00A54254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moins </w:t>
      </w:r>
      <w:r w:rsidR="00B246AF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42,1 </w:t>
      </w:r>
      <w:r w:rsidR="005B09C4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points</w:t>
      </w:r>
      <w:r w:rsidR="00BA7EA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A54254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le trimestre </w:t>
      </w:r>
      <w:r w:rsidR="0005351F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précédent</w:t>
      </w:r>
      <w:r w:rsidR="00A54254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et moins </w:t>
      </w:r>
      <w:r w:rsidR="00B246AF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43,3 </w:t>
      </w:r>
      <w:r w:rsidR="00593E9F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5B09C4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points</w:t>
      </w:r>
      <w:r w:rsidR="00BA7EA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A54254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une année auparavant.</w:t>
      </w:r>
    </w:p>
    <w:p w:rsidR="00E1782F" w:rsidRPr="00A64528" w:rsidRDefault="00035053" w:rsidP="00A64528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Quant à</w:t>
      </w:r>
      <w:r w:rsidR="002B7C12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l’évolution de</w:t>
      </w:r>
      <w:r w:rsidR="00F45C72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leur </w:t>
      </w:r>
      <w:r w:rsidR="0016780D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situation financière</w:t>
      </w:r>
      <w:r w:rsidR="00F45C72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au cours des 12 derniers mois</w:t>
      </w:r>
      <w:r w:rsidR="0016780D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</w:t>
      </w:r>
      <w:r w:rsidR="007159FC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61,</w:t>
      </w:r>
      <w:r w:rsid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2 </w:t>
      </w:r>
      <w:r w:rsidR="00540BE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%</w:t>
      </w:r>
      <w:r w:rsidR="005D3956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contre </w:t>
      </w:r>
      <w:r w:rsidR="007159FC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4,</w:t>
      </w:r>
      <w:r w:rsidR="00A64528">
        <w:rPr>
          <w:rFonts w:asciiTheme="majorBidi" w:hAnsiTheme="majorBidi" w:cstheme="majorBidi"/>
          <w:color w:val="000000" w:themeColor="text1"/>
          <w:sz w:val="26"/>
          <w:szCs w:val="26"/>
        </w:rPr>
        <w:t>0</w:t>
      </w:r>
      <w:r w:rsidR="005D3956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%</w:t>
      </w:r>
      <w:r w:rsidR="00BA7EA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16780D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des ménages considèrent qu’elle </w:t>
      </w:r>
      <w:r w:rsidR="00540BE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s’est dégradée</w:t>
      </w:r>
      <w:r w:rsidR="0016780D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. Cette perception reste </w:t>
      </w:r>
      <w:r w:rsidR="00F45C72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ainsi </w:t>
      </w:r>
      <w:r w:rsidR="0016780D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négative, </w:t>
      </w:r>
      <w:r w:rsidR="00F45C72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avec</w:t>
      </w:r>
      <w:r w:rsidR="00BA7EA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F45C72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un solde d’opinion de </w:t>
      </w:r>
      <w:r w:rsidR="006617C3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moins</w:t>
      </w:r>
      <w:r w:rsidR="00BA7EA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B246AF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57,</w:t>
      </w:r>
      <w:r w:rsidR="00A64528">
        <w:rPr>
          <w:rFonts w:asciiTheme="majorBidi" w:hAnsiTheme="majorBidi" w:cstheme="majorBidi"/>
          <w:color w:val="000000" w:themeColor="text1"/>
          <w:sz w:val="26"/>
          <w:szCs w:val="26"/>
        </w:rPr>
        <w:t>2</w:t>
      </w:r>
      <w:r w:rsidR="00B246AF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6617C3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points</w:t>
      </w:r>
      <w:r w:rsidR="00BA7EA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BE624F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contre </w:t>
      </w:r>
      <w:r w:rsidR="005B09C4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moins </w:t>
      </w:r>
      <w:r w:rsidR="00B246AF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53,0</w:t>
      </w:r>
      <w:r w:rsidR="00043B70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5B09C4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points </w:t>
      </w:r>
      <w:r w:rsidR="001143FE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au </w:t>
      </w:r>
      <w:r w:rsidR="00BE624F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trimestre précèdent et moins </w:t>
      </w:r>
      <w:r w:rsidR="00B246AF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50,9 </w:t>
      </w:r>
      <w:r w:rsidR="00BE624F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points au </w:t>
      </w:r>
      <w:r w:rsidR="001143FE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même trimestre de l’année précédente</w:t>
      </w:r>
      <w:r w:rsidR="00BE624F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. </w:t>
      </w:r>
    </w:p>
    <w:p w:rsidR="004A1AC9" w:rsidRPr="00E1782F" w:rsidRDefault="00491FB6" w:rsidP="009C1C9C">
      <w:pPr>
        <w:pStyle w:val="Paragraphedeliste"/>
        <w:spacing w:before="240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</w:pPr>
      <w:r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S’agissant </w:t>
      </w:r>
      <w:r w:rsidR="00B56764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de l’évolution</w:t>
      </w:r>
      <w:r w:rsidR="00375898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, au cours des 12 prochains mois, </w:t>
      </w:r>
      <w:r w:rsidR="00D41CA0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de leur situation financière</w:t>
      </w:r>
      <w:r w:rsidR="00B56764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,</w:t>
      </w:r>
      <w:r w:rsidR="00BA7EA7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</w:t>
      </w:r>
      <w:r w:rsidR="007159FC" w:rsidRPr="00E1782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18,9</w:t>
      </w:r>
      <w:r w:rsidR="00F45C72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%</w:t>
      </w:r>
      <w:r w:rsidR="00BA7EA7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</w:t>
      </w:r>
      <w:r w:rsidR="00375898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des ménages </w:t>
      </w:r>
      <w:r w:rsidR="009C1C9C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contre </w:t>
      </w:r>
      <w:r w:rsidR="009C1C9C" w:rsidRPr="00E1782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24,1</w:t>
      </w:r>
      <w:r w:rsidR="009C1C9C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% </w:t>
      </w:r>
      <w:r w:rsidR="00375898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s’attendent à son amélioration</w:t>
      </w:r>
      <w:r w:rsidR="009C1C9C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.</w:t>
      </w:r>
      <w:r w:rsidR="00F45C72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Le solde d’opinion</w:t>
      </w:r>
      <w:r w:rsidR="00375898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</w:t>
      </w:r>
      <w:r w:rsidR="00A01E00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de cet indicateur </w:t>
      </w:r>
      <w:r w:rsidR="00375898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s’est ainsi établit </w:t>
      </w:r>
      <w:r w:rsidR="00F933F4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à</w:t>
      </w:r>
      <w:r w:rsidR="00375898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</w:t>
      </w:r>
      <w:r w:rsidR="00B246A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moins </w:t>
      </w:r>
      <w:r w:rsidR="00B246AF" w:rsidRPr="00B246A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5,2</w:t>
      </w:r>
      <w:r w:rsidR="00B246AF" w:rsidRPr="00E1782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</w:t>
      </w:r>
      <w:r w:rsidR="00B56764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points </w:t>
      </w:r>
      <w:r w:rsidR="008C7E44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contre</w:t>
      </w:r>
      <w:r w:rsidR="00375898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</w:t>
      </w:r>
      <w:r w:rsidR="00B246A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moins </w:t>
      </w:r>
      <w:r w:rsidR="00B246AF" w:rsidRPr="00B246A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7,7</w:t>
      </w:r>
      <w:r w:rsidR="00B246AF" w:rsidRPr="00E1782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</w:t>
      </w:r>
      <w:r w:rsidR="00B56764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points</w:t>
      </w:r>
      <w:r w:rsidR="00B56764" w:rsidRPr="00E1782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un trimestre auparavant </w:t>
      </w:r>
      <w:r w:rsidR="00B56764" w:rsidRPr="00A96BC6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et </w:t>
      </w:r>
      <w:r w:rsidR="00B246AF" w:rsidRPr="00E1782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8,3</w:t>
      </w:r>
      <w:r w:rsidR="00B246AF" w:rsidRPr="00BB28FE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</w:t>
      </w:r>
      <w:r w:rsidR="00B56764" w:rsidRPr="00E1782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points</w:t>
      </w:r>
      <w:r w:rsidR="00375898" w:rsidRPr="00E1782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</w:t>
      </w:r>
      <w:r w:rsidR="00B56764" w:rsidRPr="00E1782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un an auparavant.</w:t>
      </w:r>
    </w:p>
    <w:p w:rsidR="004A1AC9" w:rsidRPr="00E1782F" w:rsidRDefault="004A1AC9" w:rsidP="00AD0F13">
      <w:pPr>
        <w:pStyle w:val="Paragraphedeliste"/>
        <w:spacing w:before="240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</w:pPr>
    </w:p>
    <w:p w:rsidR="00980990" w:rsidRDefault="001A4A45" w:rsidP="0067164A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Graphique 5 : Perception de </w:t>
      </w:r>
      <w:r w:rsidR="0067164A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la</w:t>
      </w: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situation financière</w:t>
      </w:r>
      <w:r w:rsidR="0067164A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des ménages</w:t>
      </w:r>
      <w:r w:rsidR="00250C4C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</w:t>
      </w: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(soldes d'opinions) </w:t>
      </w:r>
    </w:p>
    <w:p w:rsidR="004D3F5F" w:rsidRDefault="004D3F5F" w:rsidP="00BA7EA7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2D64F5" w:rsidRPr="002D64F5" w:rsidRDefault="004D3F5F" w:rsidP="002D64F5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4D3F5F"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w:drawing>
          <wp:inline distT="0" distB="0" distL="0" distR="0">
            <wp:extent cx="6505520" cy="3768918"/>
            <wp:effectExtent l="19050" t="0" r="9580" b="2982"/>
            <wp:docPr id="7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E7898" w:rsidRPr="00BA7EA7" w:rsidRDefault="003E7898" w:rsidP="00BA7EA7">
      <w:pPr>
        <w:widowControl/>
        <w:tabs>
          <w:tab w:val="left" w:pos="709"/>
        </w:tabs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Source : HCP, Enquête permanente de conjoncture auprès des ménages</w:t>
      </w:r>
    </w:p>
    <w:p w:rsidR="00BA7EA7" w:rsidRDefault="00BA7EA7" w:rsidP="00BA7EA7">
      <w:pPr>
        <w:widowControl/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49217B" w:rsidRDefault="0049217B" w:rsidP="00BA7EA7">
      <w:pPr>
        <w:widowControl/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49217B" w:rsidRDefault="0049217B" w:rsidP="00BA7EA7">
      <w:pPr>
        <w:widowControl/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9632D4" w:rsidRDefault="009632D4" w:rsidP="00BA7EA7">
      <w:pPr>
        <w:widowControl/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0E21A1" w:rsidRPr="00BA7EA7" w:rsidRDefault="000E21A1" w:rsidP="00BA7EA7">
      <w:pPr>
        <w:pStyle w:val="Paragraphedeliste"/>
        <w:numPr>
          <w:ilvl w:val="0"/>
          <w:numId w:val="9"/>
        </w:numPr>
        <w:ind w:left="284" w:hanging="284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 xml:space="preserve">Evolution d’autres indicateurs </w:t>
      </w:r>
      <w:r w:rsidR="005D5DB2" w:rsidRPr="00BA7EA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trimestriels </w:t>
      </w:r>
      <w:r w:rsidR="00D75C4F" w:rsidRPr="00BA7EA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de la conjoncture</w:t>
      </w:r>
    </w:p>
    <w:p w:rsidR="00345EE0" w:rsidRPr="00BA7EA7" w:rsidRDefault="00D52D57" w:rsidP="00BA7EA7">
      <w:pPr>
        <w:widowControl/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rtl/>
          <w:lang w:bidi="ar-MA"/>
        </w:rPr>
      </w:pP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L’enquête fournit également des données trimestrielles sur l</w:t>
      </w:r>
      <w:r w:rsidR="001F7D34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 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perception des ménages relatives à d’autres aspects des conditions de vie. Il s’agit en particulier de la </w:t>
      </w:r>
      <w:r w:rsidR="001F7D34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capacité des ménages à épargner et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de </w:t>
      </w:r>
      <w:r w:rsidR="001F7D34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l’évolution des prix des produits alimentaires</w:t>
      </w:r>
      <w:r w:rsidR="0071373B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. </w:t>
      </w:r>
    </w:p>
    <w:p w:rsidR="00BA7EA7" w:rsidRPr="00BA7EA7" w:rsidRDefault="00BA7EA7" w:rsidP="00BA7EA7">
      <w:pPr>
        <w:widowControl/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4F6DE8" w:rsidRPr="0067164A" w:rsidRDefault="004F6DE8" w:rsidP="0067164A">
      <w:pPr>
        <w:pStyle w:val="Paragraphedeliste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716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Capacité future à épargner : perceptions toujours pessimistes</w:t>
      </w:r>
    </w:p>
    <w:p w:rsidR="00D30078" w:rsidRPr="00912930" w:rsidRDefault="00AE5641" w:rsidP="00A64528">
      <w:pPr>
        <w:widowControl/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rtl/>
        </w:rPr>
      </w:pPr>
      <w:r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Au </w:t>
      </w:r>
      <w:r w:rsidR="00D55501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premier trimestre</w:t>
      </w:r>
      <w:r w:rsidR="00BF6A79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707360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de</w:t>
      </w:r>
      <w:r w:rsidR="00DA1780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9A7AC5">
        <w:rPr>
          <w:rFonts w:asciiTheme="majorBidi" w:hAnsiTheme="majorBidi" w:cstheme="majorBidi"/>
          <w:color w:val="000000" w:themeColor="text1"/>
          <w:sz w:val="26"/>
          <w:szCs w:val="26"/>
        </w:rPr>
        <w:t>2023</w:t>
      </w:r>
      <w:r w:rsidR="00D72CF7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912930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7159FC" w:rsidRPr="00E1782F">
        <w:rPr>
          <w:rFonts w:asciiTheme="majorBidi" w:hAnsiTheme="majorBidi" w:cstheme="majorBidi"/>
          <w:color w:val="000000" w:themeColor="text1"/>
          <w:sz w:val="26"/>
          <w:szCs w:val="26"/>
        </w:rPr>
        <w:t>12,0</w:t>
      </w:r>
      <w:r w:rsidR="00932455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%</w:t>
      </w:r>
      <w:r w:rsidR="00912930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256C03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contre </w:t>
      </w:r>
      <w:r w:rsidR="007159FC" w:rsidRPr="00E1782F">
        <w:rPr>
          <w:rFonts w:asciiTheme="majorBidi" w:hAnsiTheme="majorBidi" w:cstheme="majorBidi"/>
          <w:color w:val="000000" w:themeColor="text1"/>
          <w:sz w:val="26"/>
          <w:szCs w:val="26"/>
        </w:rPr>
        <w:t>88,</w:t>
      </w:r>
      <w:r w:rsidR="00A64528">
        <w:rPr>
          <w:rFonts w:asciiTheme="majorBidi" w:hAnsiTheme="majorBidi" w:cstheme="majorBidi"/>
          <w:color w:val="000000" w:themeColor="text1"/>
          <w:sz w:val="26"/>
          <w:szCs w:val="26"/>
        </w:rPr>
        <w:t>0</w:t>
      </w:r>
      <w:r w:rsidR="00256C03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%</w:t>
      </w:r>
      <w:r w:rsidR="00962AD8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 xml:space="preserve"> </w:t>
      </w:r>
      <w:r w:rsidR="00DE048F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des ménages</w:t>
      </w:r>
      <w:r w:rsidR="00912930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4153FC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s’attendent à </w:t>
      </w:r>
      <w:r w:rsidR="00511C57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épargner au cours des 12 prochains </w:t>
      </w:r>
      <w:r w:rsidR="0005706F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mois</w:t>
      </w:r>
      <w:r w:rsidR="00507FF6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  <w:r w:rsidR="004153FC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Le </w:t>
      </w:r>
      <w:r w:rsidR="00EA79FB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solde d’opinion</w:t>
      </w:r>
      <w:r w:rsidR="00B14A37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relatif à cet indicateur </w:t>
      </w:r>
      <w:r w:rsidR="00626FDF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est resté négatif, à </w:t>
      </w:r>
      <w:r w:rsidR="00626FDF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moins </w:t>
      </w:r>
      <w:r w:rsidR="004015FB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76,</w:t>
      </w:r>
      <w:r w:rsidR="00E75627" w:rsidRPr="00A64528">
        <w:rPr>
          <w:rFonts w:asciiTheme="majorBidi" w:hAnsiTheme="majorBidi" w:cstheme="majorBidi"/>
          <w:color w:val="000000" w:themeColor="text1"/>
          <w:sz w:val="26"/>
          <w:szCs w:val="26"/>
        </w:rPr>
        <w:t>0</w:t>
      </w:r>
      <w:r w:rsidR="004015FB" w:rsidRPr="00E1782F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626FDF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points</w:t>
      </w:r>
      <w:r w:rsidR="00A01B7C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au lieu de</w:t>
      </w:r>
      <w:r w:rsidR="00912930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A01B7C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moins</w:t>
      </w:r>
      <w:r w:rsidR="00075E65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4015FB" w:rsidRPr="004015FB">
        <w:rPr>
          <w:rFonts w:asciiTheme="majorBidi" w:hAnsiTheme="majorBidi" w:cstheme="majorBidi"/>
          <w:color w:val="000000" w:themeColor="text1"/>
          <w:sz w:val="26"/>
          <w:szCs w:val="26"/>
        </w:rPr>
        <w:t>77,7</w:t>
      </w:r>
      <w:r w:rsidR="004015FB" w:rsidRPr="00E1782F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A01B7C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points au trimestre </w:t>
      </w:r>
      <w:r w:rsidR="00B36B99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précédent</w:t>
      </w:r>
      <w:r w:rsidR="00A01B7C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CA6DED">
        <w:rPr>
          <w:rFonts w:asciiTheme="majorBidi" w:hAnsiTheme="majorBidi" w:cstheme="majorBidi"/>
          <w:color w:val="000000" w:themeColor="text1"/>
          <w:sz w:val="26"/>
          <w:szCs w:val="26"/>
        </w:rPr>
        <w:t>et</w:t>
      </w:r>
      <w:r w:rsidR="00075E65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075E65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moins </w:t>
      </w:r>
      <w:r w:rsidR="004015FB" w:rsidRPr="00E1782F">
        <w:rPr>
          <w:rFonts w:asciiTheme="majorBidi" w:hAnsiTheme="majorBidi" w:cstheme="majorBidi"/>
          <w:color w:val="000000" w:themeColor="text1"/>
          <w:sz w:val="26"/>
          <w:szCs w:val="26"/>
        </w:rPr>
        <w:t>72,2</w:t>
      </w:r>
      <w:r w:rsidR="004015FB" w:rsidRPr="00BB28FE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912930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au</w:t>
      </w:r>
      <w:r w:rsidR="00EC4A64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A01B7C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même trimestre de l’année passée</w:t>
      </w:r>
      <w:r w:rsidR="00626FDF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</w:p>
    <w:p w:rsidR="00E04B1F" w:rsidRPr="00D30207" w:rsidRDefault="00E04B1F" w:rsidP="0067164A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020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Ressenti d’une </w:t>
      </w:r>
      <w:r w:rsidR="006716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forte </w:t>
      </w:r>
      <w:r w:rsidRPr="00D3020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augmentation des prix des produits alimentaires </w:t>
      </w:r>
    </w:p>
    <w:p w:rsidR="002D64F5" w:rsidRDefault="00CE443B" w:rsidP="00E75627">
      <w:pPr>
        <w:spacing w:before="24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Au </w:t>
      </w:r>
      <w:r w:rsidR="00D55501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premier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D55501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trimestre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707360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de</w:t>
      </w:r>
      <w:r w:rsidR="00DA1780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9A7AC5">
        <w:rPr>
          <w:rFonts w:asciiTheme="majorBidi" w:hAnsiTheme="majorBidi" w:cstheme="majorBidi"/>
          <w:color w:val="000000" w:themeColor="text1"/>
          <w:sz w:val="26"/>
          <w:szCs w:val="26"/>
        </w:rPr>
        <w:t>2023</w:t>
      </w:r>
      <w:r w:rsidR="00985AB3" w:rsidRPr="00E75627">
        <w:rPr>
          <w:rFonts w:ascii="Times New Roman" w:hAnsi="Times New Roman" w:cs="Times New Roman"/>
          <w:color w:val="000000" w:themeColor="text1"/>
        </w:rPr>
        <w:t xml:space="preserve">, </w:t>
      </w:r>
      <w:r w:rsidR="00E04B1F" w:rsidRPr="00E75627">
        <w:rPr>
          <w:rFonts w:ascii="Times New Roman" w:hAnsi="Times New Roman" w:cs="Times New Roman"/>
          <w:color w:val="000000" w:themeColor="text1"/>
        </w:rPr>
        <w:t xml:space="preserve">la </w:t>
      </w:r>
      <w:r w:rsidR="00E75627" w:rsidRPr="00E75627">
        <w:rPr>
          <w:rFonts w:ascii="Times New Roman" w:hAnsi="Times New Roman" w:cs="Times New Roman"/>
          <w:color w:val="000000" w:themeColor="text1"/>
        </w:rPr>
        <w:t>quasi-</w:t>
      </w:r>
      <w:r w:rsidR="00E04B1F" w:rsidRPr="00E75627">
        <w:rPr>
          <w:rFonts w:ascii="Times New Roman" w:hAnsi="Times New Roman" w:cs="Times New Roman"/>
          <w:color w:val="000000" w:themeColor="text1"/>
        </w:rPr>
        <w:t>totalité</w:t>
      </w:r>
      <w:r w:rsidR="00E04B1F" w:rsidRPr="00A1150A">
        <w:rPr>
          <w:rFonts w:ascii="Times New Roman" w:hAnsi="Times New Roman" w:cs="Times New Roman"/>
          <w:color w:val="000000" w:themeColor="text1"/>
        </w:rPr>
        <w:t xml:space="preserve"> des ménages (98,</w:t>
      </w:r>
      <w:r w:rsidR="00E04B1F">
        <w:rPr>
          <w:rFonts w:ascii="Times New Roman" w:hAnsi="Times New Roman" w:cs="Times New Roman"/>
          <w:color w:val="000000" w:themeColor="text1"/>
        </w:rPr>
        <w:t>7</w:t>
      </w:r>
      <w:r w:rsidR="00E04B1F" w:rsidRPr="00A1150A">
        <w:rPr>
          <w:rFonts w:ascii="Times New Roman" w:hAnsi="Times New Roman" w:cs="Times New Roman"/>
          <w:color w:val="000000" w:themeColor="text1"/>
        </w:rPr>
        <w:t>%)</w:t>
      </w:r>
      <w:r w:rsidR="00E75627">
        <w:rPr>
          <w:rFonts w:ascii="Times New Roman" w:hAnsi="Times New Roman" w:cs="Times New Roman"/>
          <w:color w:val="000000" w:themeColor="text1"/>
        </w:rPr>
        <w:t xml:space="preserve"> </w:t>
      </w:r>
      <w:r w:rsidR="005F72D8" w:rsidRPr="00E75627">
        <w:rPr>
          <w:rFonts w:ascii="Times New Roman" w:hAnsi="Times New Roman" w:cs="Times New Roman"/>
          <w:color w:val="000000" w:themeColor="text1"/>
        </w:rPr>
        <w:t>déclarent</w:t>
      </w:r>
      <w:r w:rsidR="008A49DB" w:rsidRPr="00E75627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E75627">
        <w:rPr>
          <w:rFonts w:ascii="Times New Roman" w:hAnsi="Times New Roman" w:cs="Times New Roman"/>
          <w:color w:val="000000" w:themeColor="text1"/>
        </w:rPr>
        <w:t>que les prix des produits</w:t>
      </w:r>
      <w:r w:rsidR="00A644C5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alimentaires ont augmenté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A013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au cours des </w:t>
      </w:r>
      <w:r w:rsidR="00E009EE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12 derniers mois</w:t>
      </w:r>
      <w:r w:rsidR="00D77F2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. </w:t>
      </w:r>
      <w:r w:rsidR="00EA79F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Le solde d’opinion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540BE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est </w:t>
      </w:r>
      <w:r w:rsidR="00807B58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ainsi </w:t>
      </w:r>
      <w:r w:rsidR="004153FC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resté </w:t>
      </w:r>
      <w:r w:rsidR="00540BE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négatif, </w:t>
      </w:r>
      <w:r w:rsidR="00EA79F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à moins </w:t>
      </w:r>
      <w:r w:rsidR="00951CA9" w:rsidRPr="00951CA9">
        <w:rPr>
          <w:rFonts w:asciiTheme="majorBidi" w:hAnsiTheme="majorBidi" w:cstheme="majorBidi"/>
          <w:color w:val="000000" w:themeColor="text1"/>
          <w:sz w:val="26"/>
          <w:szCs w:val="26"/>
        </w:rPr>
        <w:t>98,7</w:t>
      </w:r>
      <w:r w:rsidR="00951CA9" w:rsidRPr="0082773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A79F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points, après avoir été </w:t>
      </w:r>
      <w:r w:rsidR="00B633E3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de</w:t>
      </w:r>
      <w:r w:rsidR="00EA79F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moins </w:t>
      </w:r>
      <w:r w:rsidR="00951CA9" w:rsidRPr="00951CA9">
        <w:rPr>
          <w:rFonts w:asciiTheme="majorBidi" w:hAnsiTheme="majorBidi" w:cstheme="majorBidi"/>
          <w:color w:val="000000" w:themeColor="text1"/>
          <w:sz w:val="26"/>
          <w:szCs w:val="26"/>
        </w:rPr>
        <w:t>98,8</w:t>
      </w:r>
      <w:r w:rsidR="00951CA9" w:rsidRPr="0082773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A79F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points 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un trimestre auparavant </w:t>
      </w:r>
      <w:r w:rsidR="00EA79F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et </w:t>
      </w:r>
      <w:r w:rsidR="00146EDA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moins </w:t>
      </w:r>
      <w:r w:rsidR="00951CA9" w:rsidRPr="00827732">
        <w:rPr>
          <w:rFonts w:asciiTheme="majorBidi" w:hAnsiTheme="majorBidi" w:cstheme="majorBidi"/>
          <w:color w:val="000000" w:themeColor="text1"/>
          <w:sz w:val="26"/>
          <w:szCs w:val="26"/>
        </w:rPr>
        <w:t>97,9</w:t>
      </w:r>
      <w:r w:rsidR="00951CA9" w:rsidRPr="00BB28FE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A79F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points une année auparavant.</w:t>
      </w:r>
    </w:p>
    <w:p w:rsidR="00DF62C2" w:rsidRDefault="004153FC" w:rsidP="00E75627">
      <w:pPr>
        <w:spacing w:before="24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Au cours des 12 prochains mois, </w:t>
      </w:r>
      <w:r w:rsidR="00B633E3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l</w:t>
      </w:r>
      <w:r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es prix </w:t>
      </w:r>
      <w:r w:rsidR="00B633E3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des produits alimentaires </w:t>
      </w:r>
      <w:r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devraient continuer à augmenter selon </w:t>
      </w:r>
      <w:r w:rsidR="00827732" w:rsidRPr="00827732">
        <w:rPr>
          <w:rFonts w:asciiTheme="majorBidi" w:hAnsiTheme="majorBidi" w:cstheme="majorBidi"/>
          <w:color w:val="000000" w:themeColor="text1"/>
          <w:sz w:val="26"/>
          <w:szCs w:val="26"/>
        </w:rPr>
        <w:t>74,5</w:t>
      </w:r>
      <w:r w:rsidR="00F77135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%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2A7E5D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des ménages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0A6135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contre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827732" w:rsidRPr="00827732">
        <w:rPr>
          <w:rFonts w:asciiTheme="majorBidi" w:hAnsiTheme="majorBidi" w:cstheme="majorBidi"/>
          <w:color w:val="000000" w:themeColor="text1"/>
          <w:sz w:val="26"/>
          <w:szCs w:val="26"/>
        </w:rPr>
        <w:t>4,7</w:t>
      </w:r>
      <w:r w:rsidR="006E2B29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%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0A6135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seulement qui </w:t>
      </w:r>
      <w:r w:rsidR="006E2B29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s’attendent à leur baisse. </w:t>
      </w:r>
      <w:r w:rsidR="00540BE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L</w:t>
      </w:r>
      <w:r w:rsidR="00376AC0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 </w:t>
      </w:r>
      <w:r w:rsidR="00EA013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solde d’opinion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2A1529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est </w:t>
      </w:r>
      <w:r w:rsidR="00807B58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ainsi </w:t>
      </w:r>
      <w:r w:rsidR="002A1529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resté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2A1529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négatif, </w:t>
      </w:r>
      <w:r w:rsidR="00580F2D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se situant </w:t>
      </w:r>
      <w:r w:rsidR="002A1529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à</w:t>
      </w:r>
      <w:r w:rsidR="00EA79F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moins </w:t>
      </w:r>
      <w:r w:rsidR="00951CA9" w:rsidRPr="00951CA9">
        <w:rPr>
          <w:rFonts w:asciiTheme="majorBidi" w:hAnsiTheme="majorBidi" w:cstheme="majorBidi"/>
          <w:color w:val="000000" w:themeColor="text1"/>
          <w:sz w:val="26"/>
          <w:szCs w:val="26"/>
        </w:rPr>
        <w:t>69,8</w:t>
      </w:r>
      <w:r w:rsidR="00951CA9" w:rsidRPr="0082773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511BC9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points</w:t>
      </w:r>
      <w:r w:rsidR="00E7562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contre </w:t>
      </w:r>
      <w:r w:rsidR="00540BE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moins </w:t>
      </w:r>
      <w:r w:rsidR="00951CA9" w:rsidRPr="00951CA9">
        <w:rPr>
          <w:rFonts w:asciiTheme="majorBidi" w:hAnsiTheme="majorBidi" w:cstheme="majorBidi"/>
          <w:color w:val="000000" w:themeColor="text1"/>
          <w:sz w:val="26"/>
          <w:szCs w:val="26"/>
        </w:rPr>
        <w:t>71,8</w:t>
      </w:r>
      <w:r w:rsidR="00951CA9" w:rsidRPr="0082773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540BE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points enregistré</w:t>
      </w:r>
      <w:r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s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1790A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un trimestre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FA52FF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auparavant</w:t>
      </w:r>
      <w:r w:rsidR="00CB5DC1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et moins </w:t>
      </w:r>
      <w:r w:rsidR="00951CA9" w:rsidRPr="00827732">
        <w:rPr>
          <w:rFonts w:asciiTheme="majorBidi" w:hAnsiTheme="majorBidi" w:cstheme="majorBidi"/>
          <w:color w:val="000000" w:themeColor="text1"/>
          <w:sz w:val="26"/>
          <w:szCs w:val="26"/>
        </w:rPr>
        <w:t>74,1</w:t>
      </w:r>
      <w:r w:rsidR="00951CA9" w:rsidRPr="00BB28FE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CB5DC1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points une année</w:t>
      </w:r>
      <w:r w:rsidR="00E7562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auparavant. </w:t>
      </w:r>
      <w:r w:rsidR="00CB5DC1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</w:p>
    <w:p w:rsidR="00527651" w:rsidRDefault="00912930" w:rsidP="0067164A">
      <w:pPr>
        <w:spacing w:before="24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Graphique 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6</w:t>
      </w: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 :</w:t>
      </w:r>
      <w:r w:rsidRPr="0091293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912930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Perception </w:t>
      </w:r>
      <w:r w:rsidR="0067164A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du niveau </w:t>
      </w:r>
      <w:r w:rsidRPr="00912930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des prix des produits alimentaires  (soldes d'opinions) </w:t>
      </w:r>
    </w:p>
    <w:p w:rsidR="00980990" w:rsidRDefault="00F47656" w:rsidP="00912930">
      <w:pPr>
        <w:spacing w:before="24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F47656"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w:drawing>
          <wp:inline distT="0" distB="0" distL="0" distR="0">
            <wp:extent cx="6695054" cy="2934031"/>
            <wp:effectExtent l="19050" t="0" r="10546" b="0"/>
            <wp:docPr id="10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E7898" w:rsidRPr="00912930" w:rsidRDefault="003E7898" w:rsidP="00912930">
      <w:pPr>
        <w:widowControl/>
        <w:autoSpaceDE/>
        <w:autoSpaceDN/>
        <w:adjustRightInd/>
        <w:spacing w:before="100" w:after="240" w:line="276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912930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Source : HCP, Enquête permanente de conjoncture auprès des ménages</w:t>
      </w:r>
    </w:p>
    <w:p w:rsidR="00B67B3D" w:rsidRPr="00BA7EA7" w:rsidRDefault="00B67B3D" w:rsidP="00BA7EA7">
      <w:pPr>
        <w:tabs>
          <w:tab w:val="left" w:pos="9214"/>
        </w:tabs>
        <w:spacing w:line="276" w:lineRule="auto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3A0725" w:rsidRPr="00BA7EA7" w:rsidRDefault="00C72318" w:rsidP="00BA7EA7">
      <w:pPr>
        <w:spacing w:line="276" w:lineRule="auto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lastRenderedPageBreak/>
        <w:t>Ci-joint  les détails des différents indicateurs et un rappel des principaux concepts.</w:t>
      </w:r>
    </w:p>
    <w:tbl>
      <w:tblPr>
        <w:tblpPr w:leftFromText="141" w:rightFromText="141" w:vertAnchor="text" w:horzAnchor="margin" w:tblpY="289"/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0"/>
      </w:tblGrid>
      <w:tr w:rsidR="003A0725" w:rsidRPr="00BA7EA7" w:rsidTr="00287AFB">
        <w:trPr>
          <w:trHeight w:val="8046"/>
        </w:trPr>
        <w:tc>
          <w:tcPr>
            <w:tcW w:w="9910" w:type="dxa"/>
          </w:tcPr>
          <w:p w:rsidR="000013E4" w:rsidRPr="00BA7EA7" w:rsidRDefault="000013E4" w:rsidP="00BA7EA7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</w:p>
          <w:p w:rsidR="00C51B7C" w:rsidRPr="00BA7EA7" w:rsidRDefault="00C51B7C" w:rsidP="00BA7EA7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Les évolutions des composantes de l’ICM et des autres indicateurs de l’enquête, illustrées dans les graphiques, sont exprimées en termes de soldes d'opinions</w:t>
            </w:r>
          </w:p>
          <w:p w:rsidR="000013E4" w:rsidRPr="00BA7EA7" w:rsidRDefault="000013E4" w:rsidP="00BA7EA7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3A0725" w:rsidRPr="00BA7EA7" w:rsidRDefault="003A0725" w:rsidP="00BA7EA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br w:type="page"/>
              <w:t xml:space="preserve"> Rappelons</w:t>
            </w:r>
            <w:r w:rsidR="00C51B7C"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, par ailleurs, </w:t>
            </w: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que :</w:t>
            </w:r>
          </w:p>
          <w:p w:rsidR="003A0725" w:rsidRPr="00BA7EA7" w:rsidRDefault="003A0725" w:rsidP="00BA7EA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les questions abordées sont qualitatives à 3 modalités (amélioratio</w:t>
            </w:r>
            <w:r w:rsidR="00D72CF7"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n, stagnation et</w:t>
            </w: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détérioration). Les  évolutions se réfèrent à une période de 12 mois. Les résultats sont présentés sous forme  de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3A0725" w:rsidRPr="00BA7EA7" w:rsidRDefault="003A0725" w:rsidP="00BA7EA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3A0725" w:rsidRPr="00BA7EA7" w:rsidRDefault="003A0725" w:rsidP="00BA7EA7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évolution  passée du niveau de vie ;</w:t>
            </w:r>
          </w:p>
          <w:p w:rsidR="003A0725" w:rsidRPr="00BA7EA7" w:rsidRDefault="003A0725" w:rsidP="00BA7EA7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perspective d'évolution du niveau de vie ;</w:t>
            </w:r>
          </w:p>
          <w:p w:rsidR="003A0725" w:rsidRPr="00BA7EA7" w:rsidRDefault="003A0725" w:rsidP="00BA7EA7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perspective d'évolution du nombre de chômeurs ;</w:t>
            </w:r>
          </w:p>
          <w:p w:rsidR="003A0725" w:rsidRPr="00BA7EA7" w:rsidRDefault="003A0725" w:rsidP="00BA7EA7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opportunité d'achat de biens durables;</w:t>
            </w:r>
          </w:p>
          <w:p w:rsidR="003A0725" w:rsidRPr="00BA7EA7" w:rsidRDefault="003A0725" w:rsidP="00BA7EA7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situation financière actuelle des ménages ;</w:t>
            </w:r>
          </w:p>
          <w:p w:rsidR="003A0725" w:rsidRPr="00BA7EA7" w:rsidRDefault="003A0725" w:rsidP="00BA7EA7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évolution  passée de la situation financière des ménages ;</w:t>
            </w:r>
          </w:p>
          <w:p w:rsidR="003A0725" w:rsidRPr="00BA7EA7" w:rsidRDefault="003A0725" w:rsidP="00BA7EA7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évolution  future de la situation financière des ménages.</w:t>
            </w:r>
          </w:p>
          <w:p w:rsidR="003A0725" w:rsidRPr="00BA7EA7" w:rsidRDefault="003A0725" w:rsidP="00BA7EA7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L’ICM est la  moyenne arithmétique simple des  soldes des 7 indicateurs, augmentée de 100, sa valeur varie ainsi de 0 à 200.</w:t>
            </w:r>
          </w:p>
          <w:p w:rsidR="003A0725" w:rsidRPr="00BA7EA7" w:rsidRDefault="003A0725" w:rsidP="00BC7C3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Des tests statistiques de Fisher sur la série de l’indice de confiance des ménages</w:t>
            </w:r>
            <w:r w:rsidR="00B67B3D"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durant</w:t>
            </w: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la période allant de 2008 à </w:t>
            </w:r>
            <w:r w:rsidR="00BC7C39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2019</w:t>
            </w: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, ont confirmé l’absence des variations saisonnières stables et mobiles.</w:t>
            </w:r>
          </w:p>
          <w:p w:rsidR="003A0725" w:rsidRPr="00BA7EA7" w:rsidRDefault="003A0725" w:rsidP="00BA7EA7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Pour plus d’informations sur les aspects méthodologiques de cette enquête, consulter le site web du HCP au  </w:t>
            </w:r>
            <w:hyperlink r:id="rId14" w:history="1">
              <w:r w:rsidRPr="00BA7EA7">
                <w:rPr>
                  <w:rStyle w:val="Lienhypertexte"/>
                  <w:rFonts w:asciiTheme="majorBidi" w:hAnsiTheme="majorBidi" w:cstheme="majorBidi"/>
                  <w:color w:val="000000" w:themeColor="text1"/>
                  <w:sz w:val="26"/>
                  <w:szCs w:val="26"/>
                </w:rPr>
                <w:t>www.hcp.ma</w:t>
              </w:r>
            </w:hyperlink>
          </w:p>
        </w:tc>
      </w:tr>
    </w:tbl>
    <w:p w:rsidR="001F5970" w:rsidRPr="00BA7EA7" w:rsidRDefault="001F5970" w:rsidP="00BA7EA7">
      <w:pPr>
        <w:spacing w:line="276" w:lineRule="auto"/>
        <w:rPr>
          <w:rFonts w:asciiTheme="majorBidi" w:hAnsiTheme="majorBidi" w:cstheme="majorBidi"/>
          <w:sz w:val="26"/>
          <w:szCs w:val="26"/>
        </w:rPr>
      </w:pPr>
    </w:p>
    <w:p w:rsidR="001F5970" w:rsidRPr="00BA7EA7" w:rsidRDefault="001F5970" w:rsidP="00BA7EA7">
      <w:pPr>
        <w:spacing w:line="276" w:lineRule="auto"/>
        <w:ind w:left="-142"/>
        <w:rPr>
          <w:rFonts w:asciiTheme="majorBidi" w:hAnsiTheme="majorBidi" w:cstheme="majorBidi"/>
          <w:b/>
          <w:color w:val="000000" w:themeColor="text1"/>
          <w:sz w:val="26"/>
          <w:szCs w:val="26"/>
        </w:rPr>
        <w:sectPr w:rsidR="001F5970" w:rsidRPr="00BA7EA7" w:rsidSect="005B1014">
          <w:footerReference w:type="default" r:id="rId15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4A69BD" w:rsidRDefault="00F80338" w:rsidP="00F1342A">
      <w:pPr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450B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Evolution</w:t>
      </w:r>
      <w:r w:rsidR="005D5B33" w:rsidRPr="007450B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de l’I</w:t>
      </w:r>
      <w:r w:rsidR="00C35BF2" w:rsidRPr="007450B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ndice de </w:t>
      </w:r>
      <w:r w:rsidR="005D5B33" w:rsidRPr="007450B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</w:t>
      </w:r>
      <w:r w:rsidR="00C35BF2" w:rsidRPr="007450B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onfiance des </w:t>
      </w:r>
      <w:r w:rsidR="005D5B33" w:rsidRPr="007450B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</w:t>
      </w:r>
      <w:r w:rsidR="00C35BF2" w:rsidRPr="007450B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énages (ICM) </w:t>
      </w:r>
      <w:r w:rsidR="005D5B33" w:rsidRPr="007450B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et de ses composantes</w:t>
      </w:r>
    </w:p>
    <w:tbl>
      <w:tblPr>
        <w:tblW w:w="508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841"/>
        <w:gridCol w:w="560"/>
        <w:gridCol w:w="560"/>
        <w:gridCol w:w="557"/>
        <w:gridCol w:w="557"/>
        <w:gridCol w:w="557"/>
        <w:gridCol w:w="557"/>
        <w:gridCol w:w="557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607"/>
      </w:tblGrid>
      <w:tr w:rsidR="004A69BD" w:rsidRPr="00700B00" w:rsidTr="00F1342A">
        <w:trPr>
          <w:trHeight w:val="312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2A" w:rsidRDefault="00F1342A" w:rsidP="00223A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A69BD" w:rsidRPr="00700B00" w:rsidRDefault="004A69BD" w:rsidP="00223A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T1/17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T2/17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T3/17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T4/17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T1/18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T2/18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T3/18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T4/18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T1/19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T2/19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T3/19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T4/19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T1/20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T2/20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T3/20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T4/20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T1/21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T2/21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T3/21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T4/21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T1/22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T2/22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T3/22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T4/22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F64A96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64A9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T1/23</w:t>
            </w:r>
          </w:p>
        </w:tc>
      </w:tr>
      <w:tr w:rsidR="004A69BD" w:rsidRPr="00700B00" w:rsidTr="00F1342A">
        <w:trPr>
          <w:trHeight w:val="312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Indice de Confiance des Ménages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78,2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85,8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85,5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85,9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87,3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87,3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82,5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79,8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79,1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74,9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74,8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77,8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75,7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65,6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60,6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61,2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68,3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63,0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65,5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61,2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53,7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50,1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47,4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46,6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46,3</w:t>
            </w:r>
          </w:p>
        </w:tc>
      </w:tr>
      <w:tr w:rsidR="004A69BD" w:rsidRPr="00700B00" w:rsidTr="00F1342A">
        <w:trPr>
          <w:trHeight w:val="56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Perspective d'évolution du nombre de chômeur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-64,9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-54,3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-59,9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-58,5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-54,5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-61,7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-65,2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-70,0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-75,6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-76,9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-71,8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-71,6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-70,8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-75,2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-82,0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-78,3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-62,2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-69,8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-78,3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-77,6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-82,8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-81,1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-83,5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-79,6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-81,4</w:t>
            </w:r>
          </w:p>
        </w:tc>
      </w:tr>
      <w:tr w:rsidR="004A69BD" w:rsidRPr="00700B00" w:rsidTr="00F1342A">
        <w:trPr>
          <w:trHeight w:val="56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 passée du niveau de vie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-12,0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-5,4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-9,5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-13,3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-15,0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-25,4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-20,2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-20,0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-19,8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-24,8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-35,6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-46,6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-50,5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-50,8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-41,5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-55,2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-66,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-73,0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-74,6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-78,0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-81,5</w:t>
            </w:r>
          </w:p>
        </w:tc>
      </w:tr>
      <w:tr w:rsidR="004A69BD" w:rsidRPr="00700B00" w:rsidTr="00F1342A">
        <w:trPr>
          <w:trHeight w:val="56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Perspective d'évolution du niveau de vie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11,1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10,5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11,5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16,6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15,0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11,9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-11,4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-17,4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-17,4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13,2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9,3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-1,4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-21,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-34,3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-41,6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-43,0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-38,8</w:t>
            </w:r>
          </w:p>
        </w:tc>
      </w:tr>
      <w:tr w:rsidR="004A69BD" w:rsidRPr="00700B00" w:rsidTr="00F1342A">
        <w:trPr>
          <w:trHeight w:val="312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Opportunité d'achat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-28,2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-31,5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-25,6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-27,2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-25,8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-30,2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-36,8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-36,3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-41,4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-37,7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-29,2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-32,6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-68,0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-63,5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-61,2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-61,6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-65,6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-62,0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-62,8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-66,7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-69,1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-74,0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A64528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r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-70,3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A64528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r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-69,8</w:t>
            </w:r>
          </w:p>
        </w:tc>
      </w:tr>
      <w:tr w:rsidR="004A69BD" w:rsidRPr="00700B00" w:rsidTr="00F1342A">
        <w:trPr>
          <w:trHeight w:val="56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Situation financière actuelle des ménages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-27,8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-25,3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-22,6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-24,4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-25,2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-24,1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-29,7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-28,4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-28,9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-30,8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-29,5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-26,4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-27,7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-30,0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-31,5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-29,1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-34,4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-38,0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-36,4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-40,4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-43,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-42,9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-40,9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A64528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r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-42,1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A64528" w:rsidRDefault="004A69BD" w:rsidP="00A6452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r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-42,</w:t>
            </w:r>
            <w:r w:rsidR="00A64528"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0</w:t>
            </w:r>
          </w:p>
        </w:tc>
      </w:tr>
      <w:tr w:rsidR="004A69BD" w:rsidRPr="00700B00" w:rsidTr="00F1342A">
        <w:trPr>
          <w:trHeight w:val="84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 passée de la situation financière des ménages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-26,8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-16,6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-14,5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-16,7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-18,1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-15,2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-18,2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-20,7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-21,2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-24,2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-26,0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-22,1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-22,9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-27,0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-34,0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-39,9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-47,4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-50,0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-48,0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-49,0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-50,9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-48,7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-47,7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A64528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r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-53,0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A64528" w:rsidRDefault="004A69BD" w:rsidP="00A6452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r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-57,</w:t>
            </w:r>
            <w:r w:rsidR="00A64528"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2</w:t>
            </w:r>
          </w:p>
        </w:tc>
      </w:tr>
      <w:tr w:rsidR="004A69BD" w:rsidRPr="00700B00" w:rsidTr="00F1342A">
        <w:trPr>
          <w:trHeight w:val="56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 future de la situation financière des ménages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13,4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22,1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19,6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19,2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25,9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28,1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18,2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19,1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20,7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18,3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12,8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8,5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-4,6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-11,9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21,2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14,8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15,1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15,1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8,3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-0,1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-5,9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A64528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r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-7,7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A64528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r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-5,2</w:t>
            </w:r>
          </w:p>
        </w:tc>
      </w:tr>
      <w:tr w:rsidR="004A69BD" w:rsidRPr="00A64528" w:rsidTr="00F1342A">
        <w:trPr>
          <w:trHeight w:val="31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9BD" w:rsidRPr="00A64528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45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Autres soldes</w:t>
            </w:r>
          </w:p>
        </w:tc>
      </w:tr>
      <w:tr w:rsidR="004A69BD" w:rsidRPr="00700B00" w:rsidTr="00F1342A">
        <w:trPr>
          <w:trHeight w:val="56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future des prix des produits alimentaires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-77,7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-74,5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-74,0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-79,6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-82,9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-84,0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-82,1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-86,6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-87,5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-86,5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-83,3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-82,2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-82,6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-69,0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-68,1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-64,6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-60,2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-67,6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-70,9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-76,3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-74,1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-74,3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-73,6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A64528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r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-71,8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A64528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r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-69,8</w:t>
            </w:r>
          </w:p>
        </w:tc>
      </w:tr>
      <w:tr w:rsidR="004A69BD" w:rsidRPr="00700B00" w:rsidTr="00F1342A">
        <w:trPr>
          <w:trHeight w:val="56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 passée des prix des produits alimentaires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-86,8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-86,4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-82,8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-88,5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-86,7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-88,2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-88,1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-90,3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-88,1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-88,9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-83,7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-85,1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-82,8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-67,6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-75,1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-74,7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-74,0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-86,8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-86,9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-95,9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-97,9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-99,1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-99,1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A64528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r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-98,8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A64528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r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-98,7</w:t>
            </w:r>
          </w:p>
        </w:tc>
      </w:tr>
      <w:tr w:rsidR="004A69BD" w:rsidRPr="00700B00" w:rsidTr="00F1342A">
        <w:trPr>
          <w:trHeight w:val="738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Capacité à épargner des ménages dans les mois à venir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-64,1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-59,1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-55,7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-58,6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-54,5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-57,9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-64,6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-63,0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-62,9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-66,6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-64,4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-64,5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-65,8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-70,4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-75,1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-65,8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-60,8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-67,2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-70,4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-69,5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-72,2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-77,3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700B00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00B00">
              <w:rPr>
                <w:rFonts w:ascii="Calibri" w:hAnsi="Calibri" w:cs="Calibri"/>
                <w:color w:val="000000"/>
                <w:sz w:val="17"/>
                <w:szCs w:val="17"/>
              </w:rPr>
              <w:t>-78,0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A64528" w:rsidRDefault="004A69BD" w:rsidP="00223A3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r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-77,7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BD" w:rsidRPr="00A64528" w:rsidRDefault="004A69BD" w:rsidP="00BD23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r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-76,</w:t>
            </w:r>
            <w:r w:rsidR="00BD23C9" w:rsidRPr="00A6452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0</w:t>
            </w:r>
          </w:p>
        </w:tc>
      </w:tr>
    </w:tbl>
    <w:p w:rsidR="004A69BD" w:rsidRDefault="004A69BD" w:rsidP="00F1342A">
      <w:pPr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sectPr w:rsidR="004A69BD" w:rsidSect="00A7149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4CD" w:rsidRDefault="004034CD" w:rsidP="00460705">
      <w:r>
        <w:separator/>
      </w:r>
    </w:p>
  </w:endnote>
  <w:endnote w:type="continuationSeparator" w:id="0">
    <w:p w:rsidR="004034CD" w:rsidRDefault="004034CD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132658"/>
      <w:docPartObj>
        <w:docPartGallery w:val="Page Numbers (Bottom of Page)"/>
        <w:docPartUnique/>
      </w:docPartObj>
    </w:sdtPr>
    <w:sdtContent>
      <w:p w:rsidR="00D91048" w:rsidRDefault="00355519">
        <w:pPr>
          <w:pStyle w:val="Pieddepage"/>
          <w:jc w:val="center"/>
        </w:pPr>
        <w:fldSimple w:instr=" PAGE   \* MERGEFORMAT ">
          <w:r w:rsidR="00475530">
            <w:rPr>
              <w:noProof/>
            </w:rPr>
            <w:t>1</w:t>
          </w:r>
        </w:fldSimple>
      </w:p>
    </w:sdtContent>
  </w:sdt>
  <w:p w:rsidR="00D91048" w:rsidRDefault="00D9104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4CD" w:rsidRDefault="004034CD" w:rsidP="00460705">
      <w:r>
        <w:separator/>
      </w:r>
    </w:p>
  </w:footnote>
  <w:footnote w:type="continuationSeparator" w:id="0">
    <w:p w:rsidR="004034CD" w:rsidRDefault="004034CD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827"/>
    <w:multiLevelType w:val="hybridMultilevel"/>
    <w:tmpl w:val="651C7EFE"/>
    <w:lvl w:ilvl="0" w:tplc="B100CA1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056781"/>
    <w:multiLevelType w:val="hybridMultilevel"/>
    <w:tmpl w:val="784EAA80"/>
    <w:lvl w:ilvl="0" w:tplc="6DD295CC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432E"/>
    <w:multiLevelType w:val="hybridMultilevel"/>
    <w:tmpl w:val="0CEE6D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32AC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32A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51664"/>
    <w:multiLevelType w:val="hybridMultilevel"/>
    <w:tmpl w:val="23060486"/>
    <w:lvl w:ilvl="0" w:tplc="20AE1A2A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C54CD3"/>
    <w:multiLevelType w:val="hybridMultilevel"/>
    <w:tmpl w:val="0EF0794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C3212"/>
    <w:multiLevelType w:val="hybridMultilevel"/>
    <w:tmpl w:val="DAFCAAC4"/>
    <w:lvl w:ilvl="0" w:tplc="04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45C66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D7E0F"/>
    <w:multiLevelType w:val="hybridMultilevel"/>
    <w:tmpl w:val="575CB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D297B"/>
    <w:multiLevelType w:val="hybridMultilevel"/>
    <w:tmpl w:val="054A5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57841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F3FE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D7D01"/>
    <w:multiLevelType w:val="hybridMultilevel"/>
    <w:tmpl w:val="0E2043F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11"/>
  </w:num>
  <w:num w:numId="6">
    <w:abstractNumId w:val="13"/>
  </w:num>
  <w:num w:numId="7">
    <w:abstractNumId w:val="0"/>
  </w:num>
  <w:num w:numId="8">
    <w:abstractNumId w:val="9"/>
  </w:num>
  <w:num w:numId="9">
    <w:abstractNumId w:val="18"/>
  </w:num>
  <w:num w:numId="10">
    <w:abstractNumId w:val="8"/>
  </w:num>
  <w:num w:numId="11">
    <w:abstractNumId w:val="20"/>
  </w:num>
  <w:num w:numId="12">
    <w:abstractNumId w:val="1"/>
  </w:num>
  <w:num w:numId="13">
    <w:abstractNumId w:val="19"/>
  </w:num>
  <w:num w:numId="14">
    <w:abstractNumId w:val="10"/>
  </w:num>
  <w:num w:numId="15">
    <w:abstractNumId w:val="6"/>
  </w:num>
  <w:num w:numId="16">
    <w:abstractNumId w:val="3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704"/>
    <w:rsid w:val="000013E4"/>
    <w:rsid w:val="00001624"/>
    <w:rsid w:val="000016A1"/>
    <w:rsid w:val="000023E0"/>
    <w:rsid w:val="00002B11"/>
    <w:rsid w:val="00002F9B"/>
    <w:rsid w:val="00003F54"/>
    <w:rsid w:val="00004B1E"/>
    <w:rsid w:val="00005381"/>
    <w:rsid w:val="000060F8"/>
    <w:rsid w:val="000069AE"/>
    <w:rsid w:val="0000713A"/>
    <w:rsid w:val="00007426"/>
    <w:rsid w:val="000100F3"/>
    <w:rsid w:val="00011A0E"/>
    <w:rsid w:val="00011BC4"/>
    <w:rsid w:val="00011F4E"/>
    <w:rsid w:val="00012970"/>
    <w:rsid w:val="00012F82"/>
    <w:rsid w:val="00013016"/>
    <w:rsid w:val="00013329"/>
    <w:rsid w:val="00014530"/>
    <w:rsid w:val="00014940"/>
    <w:rsid w:val="00014F59"/>
    <w:rsid w:val="00015112"/>
    <w:rsid w:val="000151DD"/>
    <w:rsid w:val="00015EF3"/>
    <w:rsid w:val="00016F90"/>
    <w:rsid w:val="0001722E"/>
    <w:rsid w:val="000174FE"/>
    <w:rsid w:val="00017526"/>
    <w:rsid w:val="0001754D"/>
    <w:rsid w:val="000213FC"/>
    <w:rsid w:val="00022644"/>
    <w:rsid w:val="00023DE5"/>
    <w:rsid w:val="00024686"/>
    <w:rsid w:val="00024B04"/>
    <w:rsid w:val="0002532B"/>
    <w:rsid w:val="00025CE4"/>
    <w:rsid w:val="00025F15"/>
    <w:rsid w:val="000265CF"/>
    <w:rsid w:val="00027300"/>
    <w:rsid w:val="00027461"/>
    <w:rsid w:val="000274C4"/>
    <w:rsid w:val="000315FD"/>
    <w:rsid w:val="00031CFB"/>
    <w:rsid w:val="000324B4"/>
    <w:rsid w:val="00032619"/>
    <w:rsid w:val="00032AF9"/>
    <w:rsid w:val="00032B79"/>
    <w:rsid w:val="00032ECD"/>
    <w:rsid w:val="00034F42"/>
    <w:rsid w:val="00035053"/>
    <w:rsid w:val="00035393"/>
    <w:rsid w:val="000356C1"/>
    <w:rsid w:val="00035819"/>
    <w:rsid w:val="000360E1"/>
    <w:rsid w:val="000364EF"/>
    <w:rsid w:val="00036F7C"/>
    <w:rsid w:val="0003703D"/>
    <w:rsid w:val="000370B6"/>
    <w:rsid w:val="00037ABF"/>
    <w:rsid w:val="00041428"/>
    <w:rsid w:val="0004211E"/>
    <w:rsid w:val="00042157"/>
    <w:rsid w:val="00043430"/>
    <w:rsid w:val="00043B70"/>
    <w:rsid w:val="0004437F"/>
    <w:rsid w:val="00044E75"/>
    <w:rsid w:val="000451AC"/>
    <w:rsid w:val="00045674"/>
    <w:rsid w:val="00046C56"/>
    <w:rsid w:val="00046EB3"/>
    <w:rsid w:val="00047148"/>
    <w:rsid w:val="00047B2B"/>
    <w:rsid w:val="00050132"/>
    <w:rsid w:val="00050145"/>
    <w:rsid w:val="00050460"/>
    <w:rsid w:val="00051534"/>
    <w:rsid w:val="000518A6"/>
    <w:rsid w:val="00051A04"/>
    <w:rsid w:val="00051B80"/>
    <w:rsid w:val="00052C8E"/>
    <w:rsid w:val="0005319E"/>
    <w:rsid w:val="0005351F"/>
    <w:rsid w:val="0005355A"/>
    <w:rsid w:val="0005413E"/>
    <w:rsid w:val="00055B18"/>
    <w:rsid w:val="0005628D"/>
    <w:rsid w:val="000569E9"/>
    <w:rsid w:val="00056F4A"/>
    <w:rsid w:val="0005706F"/>
    <w:rsid w:val="00057262"/>
    <w:rsid w:val="00057BC7"/>
    <w:rsid w:val="00057E1A"/>
    <w:rsid w:val="00061CA4"/>
    <w:rsid w:val="00062779"/>
    <w:rsid w:val="00063B1B"/>
    <w:rsid w:val="00063B3F"/>
    <w:rsid w:val="00064021"/>
    <w:rsid w:val="000646B0"/>
    <w:rsid w:val="000656CB"/>
    <w:rsid w:val="00065DD7"/>
    <w:rsid w:val="00066ADF"/>
    <w:rsid w:val="00066E22"/>
    <w:rsid w:val="00067347"/>
    <w:rsid w:val="00067D35"/>
    <w:rsid w:val="00070565"/>
    <w:rsid w:val="000706EE"/>
    <w:rsid w:val="000712A9"/>
    <w:rsid w:val="000718BD"/>
    <w:rsid w:val="000720FD"/>
    <w:rsid w:val="00072708"/>
    <w:rsid w:val="00072AB7"/>
    <w:rsid w:val="00072CF2"/>
    <w:rsid w:val="00072EEA"/>
    <w:rsid w:val="00072F7C"/>
    <w:rsid w:val="00073079"/>
    <w:rsid w:val="00073C23"/>
    <w:rsid w:val="000748D8"/>
    <w:rsid w:val="000749D1"/>
    <w:rsid w:val="000753A8"/>
    <w:rsid w:val="000756A1"/>
    <w:rsid w:val="00075E65"/>
    <w:rsid w:val="00076938"/>
    <w:rsid w:val="00076F92"/>
    <w:rsid w:val="000779C2"/>
    <w:rsid w:val="00077CAA"/>
    <w:rsid w:val="00081434"/>
    <w:rsid w:val="00081E5A"/>
    <w:rsid w:val="0008224D"/>
    <w:rsid w:val="00082D2E"/>
    <w:rsid w:val="000836A6"/>
    <w:rsid w:val="000838BF"/>
    <w:rsid w:val="000839B9"/>
    <w:rsid w:val="0008574A"/>
    <w:rsid w:val="00086CD2"/>
    <w:rsid w:val="000877E9"/>
    <w:rsid w:val="0008783E"/>
    <w:rsid w:val="00087DA2"/>
    <w:rsid w:val="000909E5"/>
    <w:rsid w:val="00090FCF"/>
    <w:rsid w:val="00090FEC"/>
    <w:rsid w:val="00091D64"/>
    <w:rsid w:val="00091E28"/>
    <w:rsid w:val="00091FB9"/>
    <w:rsid w:val="00092DFB"/>
    <w:rsid w:val="00093A83"/>
    <w:rsid w:val="00093D84"/>
    <w:rsid w:val="00094BEF"/>
    <w:rsid w:val="00097300"/>
    <w:rsid w:val="00097799"/>
    <w:rsid w:val="0009797C"/>
    <w:rsid w:val="00097D75"/>
    <w:rsid w:val="000A0177"/>
    <w:rsid w:val="000A07A7"/>
    <w:rsid w:val="000A0881"/>
    <w:rsid w:val="000A11C5"/>
    <w:rsid w:val="000A14AD"/>
    <w:rsid w:val="000A158A"/>
    <w:rsid w:val="000A18FB"/>
    <w:rsid w:val="000A1DEA"/>
    <w:rsid w:val="000A20DC"/>
    <w:rsid w:val="000A26E7"/>
    <w:rsid w:val="000A27F7"/>
    <w:rsid w:val="000A2DA9"/>
    <w:rsid w:val="000A33DF"/>
    <w:rsid w:val="000A40C3"/>
    <w:rsid w:val="000A5682"/>
    <w:rsid w:val="000A5C5F"/>
    <w:rsid w:val="000A5F4A"/>
    <w:rsid w:val="000A6135"/>
    <w:rsid w:val="000A62F9"/>
    <w:rsid w:val="000A7E83"/>
    <w:rsid w:val="000B0844"/>
    <w:rsid w:val="000B09BA"/>
    <w:rsid w:val="000B0E7A"/>
    <w:rsid w:val="000B1487"/>
    <w:rsid w:val="000B16D1"/>
    <w:rsid w:val="000B2067"/>
    <w:rsid w:val="000B2FFE"/>
    <w:rsid w:val="000B34E3"/>
    <w:rsid w:val="000B4FE0"/>
    <w:rsid w:val="000B552C"/>
    <w:rsid w:val="000B62B1"/>
    <w:rsid w:val="000C0C01"/>
    <w:rsid w:val="000C1464"/>
    <w:rsid w:val="000C2CA9"/>
    <w:rsid w:val="000C3718"/>
    <w:rsid w:val="000C39F9"/>
    <w:rsid w:val="000C439F"/>
    <w:rsid w:val="000C4C0E"/>
    <w:rsid w:val="000C56EA"/>
    <w:rsid w:val="000C689C"/>
    <w:rsid w:val="000C7F17"/>
    <w:rsid w:val="000D1CF5"/>
    <w:rsid w:val="000D24FA"/>
    <w:rsid w:val="000D2586"/>
    <w:rsid w:val="000D2E52"/>
    <w:rsid w:val="000D341B"/>
    <w:rsid w:val="000D367A"/>
    <w:rsid w:val="000D3B30"/>
    <w:rsid w:val="000D4077"/>
    <w:rsid w:val="000D4920"/>
    <w:rsid w:val="000D54E1"/>
    <w:rsid w:val="000D5638"/>
    <w:rsid w:val="000D5AB2"/>
    <w:rsid w:val="000D5B0A"/>
    <w:rsid w:val="000D5CEB"/>
    <w:rsid w:val="000E0128"/>
    <w:rsid w:val="000E030A"/>
    <w:rsid w:val="000E10E0"/>
    <w:rsid w:val="000E1534"/>
    <w:rsid w:val="000E17D9"/>
    <w:rsid w:val="000E1BEE"/>
    <w:rsid w:val="000E20BC"/>
    <w:rsid w:val="000E21A1"/>
    <w:rsid w:val="000E3747"/>
    <w:rsid w:val="000E4DC7"/>
    <w:rsid w:val="000E5EA9"/>
    <w:rsid w:val="000E6EB3"/>
    <w:rsid w:val="000E71C8"/>
    <w:rsid w:val="000F0919"/>
    <w:rsid w:val="000F0DB1"/>
    <w:rsid w:val="000F184A"/>
    <w:rsid w:val="000F2945"/>
    <w:rsid w:val="000F2B60"/>
    <w:rsid w:val="000F2E6E"/>
    <w:rsid w:val="000F5A2E"/>
    <w:rsid w:val="000F62E1"/>
    <w:rsid w:val="000F641A"/>
    <w:rsid w:val="000F6CE8"/>
    <w:rsid w:val="000F70E8"/>
    <w:rsid w:val="000F74C5"/>
    <w:rsid w:val="000F7670"/>
    <w:rsid w:val="000F7A57"/>
    <w:rsid w:val="000F7C4F"/>
    <w:rsid w:val="00100026"/>
    <w:rsid w:val="0010025C"/>
    <w:rsid w:val="00101249"/>
    <w:rsid w:val="00101DA7"/>
    <w:rsid w:val="0010296B"/>
    <w:rsid w:val="00102B5C"/>
    <w:rsid w:val="001037B3"/>
    <w:rsid w:val="00104221"/>
    <w:rsid w:val="001042CE"/>
    <w:rsid w:val="00104438"/>
    <w:rsid w:val="00104463"/>
    <w:rsid w:val="00104CAC"/>
    <w:rsid w:val="00104D05"/>
    <w:rsid w:val="001052BE"/>
    <w:rsid w:val="001052EC"/>
    <w:rsid w:val="00105320"/>
    <w:rsid w:val="00105B72"/>
    <w:rsid w:val="00106C84"/>
    <w:rsid w:val="00106E19"/>
    <w:rsid w:val="00106EC0"/>
    <w:rsid w:val="00106FA4"/>
    <w:rsid w:val="00107245"/>
    <w:rsid w:val="00107534"/>
    <w:rsid w:val="00107E17"/>
    <w:rsid w:val="00107F1E"/>
    <w:rsid w:val="001103D0"/>
    <w:rsid w:val="00110B90"/>
    <w:rsid w:val="00110BE5"/>
    <w:rsid w:val="00111470"/>
    <w:rsid w:val="001116C8"/>
    <w:rsid w:val="00111FC4"/>
    <w:rsid w:val="00113273"/>
    <w:rsid w:val="001133D2"/>
    <w:rsid w:val="00113767"/>
    <w:rsid w:val="00114063"/>
    <w:rsid w:val="001143FE"/>
    <w:rsid w:val="0011495F"/>
    <w:rsid w:val="00115D48"/>
    <w:rsid w:val="001161C4"/>
    <w:rsid w:val="00116945"/>
    <w:rsid w:val="0011726A"/>
    <w:rsid w:val="001174FE"/>
    <w:rsid w:val="00117A2F"/>
    <w:rsid w:val="00117F82"/>
    <w:rsid w:val="00120997"/>
    <w:rsid w:val="00121180"/>
    <w:rsid w:val="00121CCC"/>
    <w:rsid w:val="001222E7"/>
    <w:rsid w:val="00122941"/>
    <w:rsid w:val="00123E79"/>
    <w:rsid w:val="00124002"/>
    <w:rsid w:val="001242C0"/>
    <w:rsid w:val="00124772"/>
    <w:rsid w:val="00124827"/>
    <w:rsid w:val="00124FE0"/>
    <w:rsid w:val="00125161"/>
    <w:rsid w:val="001254E5"/>
    <w:rsid w:val="00125543"/>
    <w:rsid w:val="00126B26"/>
    <w:rsid w:val="00126CC0"/>
    <w:rsid w:val="00126E55"/>
    <w:rsid w:val="0012794C"/>
    <w:rsid w:val="00127D67"/>
    <w:rsid w:val="00131E2D"/>
    <w:rsid w:val="001328D0"/>
    <w:rsid w:val="00133286"/>
    <w:rsid w:val="0013347C"/>
    <w:rsid w:val="001335BA"/>
    <w:rsid w:val="00133687"/>
    <w:rsid w:val="00133860"/>
    <w:rsid w:val="0013463D"/>
    <w:rsid w:val="001347D2"/>
    <w:rsid w:val="00135445"/>
    <w:rsid w:val="00135D83"/>
    <w:rsid w:val="0013654E"/>
    <w:rsid w:val="00137D7D"/>
    <w:rsid w:val="001404A9"/>
    <w:rsid w:val="001414F3"/>
    <w:rsid w:val="001424D2"/>
    <w:rsid w:val="0014379B"/>
    <w:rsid w:val="001438AB"/>
    <w:rsid w:val="0014398F"/>
    <w:rsid w:val="00143A5A"/>
    <w:rsid w:val="00144320"/>
    <w:rsid w:val="00145956"/>
    <w:rsid w:val="001467F7"/>
    <w:rsid w:val="00146EDA"/>
    <w:rsid w:val="0014733D"/>
    <w:rsid w:val="00150681"/>
    <w:rsid w:val="00151AE6"/>
    <w:rsid w:val="00151C70"/>
    <w:rsid w:val="0015212E"/>
    <w:rsid w:val="001523D7"/>
    <w:rsid w:val="00152D59"/>
    <w:rsid w:val="00153ECF"/>
    <w:rsid w:val="00154298"/>
    <w:rsid w:val="00154339"/>
    <w:rsid w:val="001545AE"/>
    <w:rsid w:val="00154E44"/>
    <w:rsid w:val="00156587"/>
    <w:rsid w:val="0015763C"/>
    <w:rsid w:val="00157CA9"/>
    <w:rsid w:val="0016005A"/>
    <w:rsid w:val="00160141"/>
    <w:rsid w:val="00160994"/>
    <w:rsid w:val="00161429"/>
    <w:rsid w:val="00161772"/>
    <w:rsid w:val="00161C4B"/>
    <w:rsid w:val="00161D6D"/>
    <w:rsid w:val="00162062"/>
    <w:rsid w:val="001638CE"/>
    <w:rsid w:val="00163D93"/>
    <w:rsid w:val="0016405E"/>
    <w:rsid w:val="001643DF"/>
    <w:rsid w:val="00164881"/>
    <w:rsid w:val="001648E6"/>
    <w:rsid w:val="00164979"/>
    <w:rsid w:val="00165671"/>
    <w:rsid w:val="0016596E"/>
    <w:rsid w:val="001672BD"/>
    <w:rsid w:val="0016780D"/>
    <w:rsid w:val="00172005"/>
    <w:rsid w:val="00172D27"/>
    <w:rsid w:val="00172F47"/>
    <w:rsid w:val="00173781"/>
    <w:rsid w:val="00174115"/>
    <w:rsid w:val="00174542"/>
    <w:rsid w:val="00174553"/>
    <w:rsid w:val="001748E9"/>
    <w:rsid w:val="0017495A"/>
    <w:rsid w:val="0017568F"/>
    <w:rsid w:val="001757C5"/>
    <w:rsid w:val="001760CB"/>
    <w:rsid w:val="00181B02"/>
    <w:rsid w:val="00181B72"/>
    <w:rsid w:val="001829B0"/>
    <w:rsid w:val="00182E1E"/>
    <w:rsid w:val="00184023"/>
    <w:rsid w:val="00184134"/>
    <w:rsid w:val="00184250"/>
    <w:rsid w:val="00185207"/>
    <w:rsid w:val="00185ABC"/>
    <w:rsid w:val="001864E5"/>
    <w:rsid w:val="00186530"/>
    <w:rsid w:val="001871C4"/>
    <w:rsid w:val="00187A5C"/>
    <w:rsid w:val="00187EB7"/>
    <w:rsid w:val="00190672"/>
    <w:rsid w:val="00191E08"/>
    <w:rsid w:val="00191F62"/>
    <w:rsid w:val="001930B7"/>
    <w:rsid w:val="00193B35"/>
    <w:rsid w:val="00193B4D"/>
    <w:rsid w:val="00193E60"/>
    <w:rsid w:val="0019435A"/>
    <w:rsid w:val="0019492E"/>
    <w:rsid w:val="001956DC"/>
    <w:rsid w:val="00195D2E"/>
    <w:rsid w:val="001960E9"/>
    <w:rsid w:val="001968E2"/>
    <w:rsid w:val="00196B6B"/>
    <w:rsid w:val="00196D8E"/>
    <w:rsid w:val="00196DF3"/>
    <w:rsid w:val="001975D4"/>
    <w:rsid w:val="00197D9A"/>
    <w:rsid w:val="00197F64"/>
    <w:rsid w:val="001A0310"/>
    <w:rsid w:val="001A048A"/>
    <w:rsid w:val="001A0F65"/>
    <w:rsid w:val="001A2204"/>
    <w:rsid w:val="001A288D"/>
    <w:rsid w:val="001A292A"/>
    <w:rsid w:val="001A384F"/>
    <w:rsid w:val="001A4203"/>
    <w:rsid w:val="001A4A45"/>
    <w:rsid w:val="001A4BB7"/>
    <w:rsid w:val="001A55DD"/>
    <w:rsid w:val="001A6084"/>
    <w:rsid w:val="001A62A1"/>
    <w:rsid w:val="001A648B"/>
    <w:rsid w:val="001A69DD"/>
    <w:rsid w:val="001A6BB6"/>
    <w:rsid w:val="001A7746"/>
    <w:rsid w:val="001B03D3"/>
    <w:rsid w:val="001B06F9"/>
    <w:rsid w:val="001B0AB6"/>
    <w:rsid w:val="001B1130"/>
    <w:rsid w:val="001B1C9F"/>
    <w:rsid w:val="001B1E0E"/>
    <w:rsid w:val="001B20D5"/>
    <w:rsid w:val="001B2334"/>
    <w:rsid w:val="001B3593"/>
    <w:rsid w:val="001B35E9"/>
    <w:rsid w:val="001B3707"/>
    <w:rsid w:val="001B3CB2"/>
    <w:rsid w:val="001B50A1"/>
    <w:rsid w:val="001B561B"/>
    <w:rsid w:val="001B5B96"/>
    <w:rsid w:val="001B5F02"/>
    <w:rsid w:val="001B69A3"/>
    <w:rsid w:val="001B7322"/>
    <w:rsid w:val="001B765A"/>
    <w:rsid w:val="001B7854"/>
    <w:rsid w:val="001C0839"/>
    <w:rsid w:val="001C14A6"/>
    <w:rsid w:val="001C251F"/>
    <w:rsid w:val="001C4759"/>
    <w:rsid w:val="001C4D54"/>
    <w:rsid w:val="001C5656"/>
    <w:rsid w:val="001C5AA4"/>
    <w:rsid w:val="001C67D4"/>
    <w:rsid w:val="001C6846"/>
    <w:rsid w:val="001C6883"/>
    <w:rsid w:val="001D0008"/>
    <w:rsid w:val="001D02E1"/>
    <w:rsid w:val="001D0C73"/>
    <w:rsid w:val="001D17AC"/>
    <w:rsid w:val="001D2665"/>
    <w:rsid w:val="001D28DC"/>
    <w:rsid w:val="001D2B80"/>
    <w:rsid w:val="001D2D35"/>
    <w:rsid w:val="001D2E4E"/>
    <w:rsid w:val="001D3A1D"/>
    <w:rsid w:val="001D49E8"/>
    <w:rsid w:val="001D5548"/>
    <w:rsid w:val="001D55A9"/>
    <w:rsid w:val="001D58BD"/>
    <w:rsid w:val="001D684C"/>
    <w:rsid w:val="001D709D"/>
    <w:rsid w:val="001E0A9C"/>
    <w:rsid w:val="001E0D0B"/>
    <w:rsid w:val="001E1149"/>
    <w:rsid w:val="001E1901"/>
    <w:rsid w:val="001E36D5"/>
    <w:rsid w:val="001E42CC"/>
    <w:rsid w:val="001E4F55"/>
    <w:rsid w:val="001E5372"/>
    <w:rsid w:val="001E5697"/>
    <w:rsid w:val="001E6198"/>
    <w:rsid w:val="001E78BD"/>
    <w:rsid w:val="001F00F0"/>
    <w:rsid w:val="001F04DE"/>
    <w:rsid w:val="001F062E"/>
    <w:rsid w:val="001F0ABF"/>
    <w:rsid w:val="001F14B0"/>
    <w:rsid w:val="001F20AF"/>
    <w:rsid w:val="001F2626"/>
    <w:rsid w:val="001F321B"/>
    <w:rsid w:val="001F3646"/>
    <w:rsid w:val="001F3E68"/>
    <w:rsid w:val="001F4A3E"/>
    <w:rsid w:val="001F4E50"/>
    <w:rsid w:val="001F4FE4"/>
    <w:rsid w:val="001F5722"/>
    <w:rsid w:val="001F5970"/>
    <w:rsid w:val="001F59E2"/>
    <w:rsid w:val="001F5D34"/>
    <w:rsid w:val="001F626D"/>
    <w:rsid w:val="001F66E3"/>
    <w:rsid w:val="001F6A20"/>
    <w:rsid w:val="001F6A9C"/>
    <w:rsid w:val="001F70B6"/>
    <w:rsid w:val="001F739C"/>
    <w:rsid w:val="001F7711"/>
    <w:rsid w:val="001F7D34"/>
    <w:rsid w:val="00200755"/>
    <w:rsid w:val="002021DE"/>
    <w:rsid w:val="002041E9"/>
    <w:rsid w:val="00204574"/>
    <w:rsid w:val="0020508E"/>
    <w:rsid w:val="00206A7F"/>
    <w:rsid w:val="0020711A"/>
    <w:rsid w:val="00207730"/>
    <w:rsid w:val="0021180E"/>
    <w:rsid w:val="0021213E"/>
    <w:rsid w:val="00212223"/>
    <w:rsid w:val="002125D5"/>
    <w:rsid w:val="00212714"/>
    <w:rsid w:val="00212E56"/>
    <w:rsid w:val="00213786"/>
    <w:rsid w:val="00213EC2"/>
    <w:rsid w:val="00214439"/>
    <w:rsid w:val="00214D50"/>
    <w:rsid w:val="002163AF"/>
    <w:rsid w:val="002164DC"/>
    <w:rsid w:val="002166B3"/>
    <w:rsid w:val="00216E7C"/>
    <w:rsid w:val="00217298"/>
    <w:rsid w:val="00217334"/>
    <w:rsid w:val="00221FC5"/>
    <w:rsid w:val="00222682"/>
    <w:rsid w:val="002226A1"/>
    <w:rsid w:val="00222815"/>
    <w:rsid w:val="00222831"/>
    <w:rsid w:val="00223178"/>
    <w:rsid w:val="0022318C"/>
    <w:rsid w:val="00223808"/>
    <w:rsid w:val="0022467F"/>
    <w:rsid w:val="00225685"/>
    <w:rsid w:val="00226A52"/>
    <w:rsid w:val="00226BE3"/>
    <w:rsid w:val="00226CEA"/>
    <w:rsid w:val="00227B1B"/>
    <w:rsid w:val="0023094A"/>
    <w:rsid w:val="00232556"/>
    <w:rsid w:val="00232AF5"/>
    <w:rsid w:val="00233531"/>
    <w:rsid w:val="00234907"/>
    <w:rsid w:val="00235C3E"/>
    <w:rsid w:val="002364B4"/>
    <w:rsid w:val="0023661B"/>
    <w:rsid w:val="00236927"/>
    <w:rsid w:val="002375C4"/>
    <w:rsid w:val="0024028E"/>
    <w:rsid w:val="00241A46"/>
    <w:rsid w:val="002431B9"/>
    <w:rsid w:val="002436BE"/>
    <w:rsid w:val="00243AE1"/>
    <w:rsid w:val="00245732"/>
    <w:rsid w:val="00245913"/>
    <w:rsid w:val="00245992"/>
    <w:rsid w:val="00246518"/>
    <w:rsid w:val="0024734D"/>
    <w:rsid w:val="002478EF"/>
    <w:rsid w:val="00247A3B"/>
    <w:rsid w:val="002502C2"/>
    <w:rsid w:val="00250C4C"/>
    <w:rsid w:val="00251ABE"/>
    <w:rsid w:val="0025208F"/>
    <w:rsid w:val="0025259C"/>
    <w:rsid w:val="00252BB9"/>
    <w:rsid w:val="0025312C"/>
    <w:rsid w:val="00253166"/>
    <w:rsid w:val="002534E9"/>
    <w:rsid w:val="00253D9F"/>
    <w:rsid w:val="00254965"/>
    <w:rsid w:val="00254CC9"/>
    <w:rsid w:val="00254D8A"/>
    <w:rsid w:val="00255396"/>
    <w:rsid w:val="00256232"/>
    <w:rsid w:val="00256A6D"/>
    <w:rsid w:val="00256C03"/>
    <w:rsid w:val="00256F31"/>
    <w:rsid w:val="00256FBC"/>
    <w:rsid w:val="00257385"/>
    <w:rsid w:val="00260173"/>
    <w:rsid w:val="00260D98"/>
    <w:rsid w:val="002613C1"/>
    <w:rsid w:val="002613F5"/>
    <w:rsid w:val="0026141F"/>
    <w:rsid w:val="00261ED7"/>
    <w:rsid w:val="002620C4"/>
    <w:rsid w:val="00262122"/>
    <w:rsid w:val="00262237"/>
    <w:rsid w:val="0026337D"/>
    <w:rsid w:val="002634E1"/>
    <w:rsid w:val="002636A0"/>
    <w:rsid w:val="00263D54"/>
    <w:rsid w:val="0026440A"/>
    <w:rsid w:val="00264457"/>
    <w:rsid w:val="002651D0"/>
    <w:rsid w:val="00265566"/>
    <w:rsid w:val="00265CFD"/>
    <w:rsid w:val="00265F28"/>
    <w:rsid w:val="00266110"/>
    <w:rsid w:val="00266330"/>
    <w:rsid w:val="00266633"/>
    <w:rsid w:val="002671FD"/>
    <w:rsid w:val="00267202"/>
    <w:rsid w:val="00267298"/>
    <w:rsid w:val="002672A0"/>
    <w:rsid w:val="0026748C"/>
    <w:rsid w:val="00267B6E"/>
    <w:rsid w:val="00267DAE"/>
    <w:rsid w:val="00270823"/>
    <w:rsid w:val="00270AD9"/>
    <w:rsid w:val="00270B31"/>
    <w:rsid w:val="00271743"/>
    <w:rsid w:val="00271D22"/>
    <w:rsid w:val="0027263B"/>
    <w:rsid w:val="00272727"/>
    <w:rsid w:val="00272D28"/>
    <w:rsid w:val="00274477"/>
    <w:rsid w:val="0027471B"/>
    <w:rsid w:val="002751C2"/>
    <w:rsid w:val="00275256"/>
    <w:rsid w:val="00276077"/>
    <w:rsid w:val="002775FC"/>
    <w:rsid w:val="00280072"/>
    <w:rsid w:val="0028098C"/>
    <w:rsid w:val="00281D6D"/>
    <w:rsid w:val="002821C5"/>
    <w:rsid w:val="0028239A"/>
    <w:rsid w:val="00282A92"/>
    <w:rsid w:val="002836F5"/>
    <w:rsid w:val="00283A6B"/>
    <w:rsid w:val="00283FD0"/>
    <w:rsid w:val="0028485A"/>
    <w:rsid w:val="0028651B"/>
    <w:rsid w:val="00287AFB"/>
    <w:rsid w:val="00287EC1"/>
    <w:rsid w:val="00290113"/>
    <w:rsid w:val="002904C7"/>
    <w:rsid w:val="002915B7"/>
    <w:rsid w:val="00291C4B"/>
    <w:rsid w:val="00292082"/>
    <w:rsid w:val="0029227A"/>
    <w:rsid w:val="00292381"/>
    <w:rsid w:val="00292CDC"/>
    <w:rsid w:val="00293863"/>
    <w:rsid w:val="002941A3"/>
    <w:rsid w:val="00295A6D"/>
    <w:rsid w:val="00295DF0"/>
    <w:rsid w:val="00296645"/>
    <w:rsid w:val="0029668B"/>
    <w:rsid w:val="00296E08"/>
    <w:rsid w:val="00297250"/>
    <w:rsid w:val="00297C0B"/>
    <w:rsid w:val="002A0DFB"/>
    <w:rsid w:val="002A0E3C"/>
    <w:rsid w:val="002A1005"/>
    <w:rsid w:val="002A1529"/>
    <w:rsid w:val="002A1584"/>
    <w:rsid w:val="002A18ED"/>
    <w:rsid w:val="002A1C56"/>
    <w:rsid w:val="002A1D28"/>
    <w:rsid w:val="002A1FD6"/>
    <w:rsid w:val="002A22AF"/>
    <w:rsid w:val="002A29D2"/>
    <w:rsid w:val="002A2E36"/>
    <w:rsid w:val="002A321D"/>
    <w:rsid w:val="002A36CF"/>
    <w:rsid w:val="002A4737"/>
    <w:rsid w:val="002A53E5"/>
    <w:rsid w:val="002A5852"/>
    <w:rsid w:val="002A5928"/>
    <w:rsid w:val="002A5CD8"/>
    <w:rsid w:val="002A62C3"/>
    <w:rsid w:val="002A7486"/>
    <w:rsid w:val="002A766A"/>
    <w:rsid w:val="002A7C02"/>
    <w:rsid w:val="002A7C36"/>
    <w:rsid w:val="002A7E1E"/>
    <w:rsid w:val="002A7E5D"/>
    <w:rsid w:val="002B0B7B"/>
    <w:rsid w:val="002B10FB"/>
    <w:rsid w:val="002B15A7"/>
    <w:rsid w:val="002B15E6"/>
    <w:rsid w:val="002B2652"/>
    <w:rsid w:val="002B2EC5"/>
    <w:rsid w:val="002B3D5B"/>
    <w:rsid w:val="002B43BB"/>
    <w:rsid w:val="002B4B64"/>
    <w:rsid w:val="002B51C3"/>
    <w:rsid w:val="002B7130"/>
    <w:rsid w:val="002B74FD"/>
    <w:rsid w:val="002B7509"/>
    <w:rsid w:val="002B799E"/>
    <w:rsid w:val="002B79DC"/>
    <w:rsid w:val="002B7C12"/>
    <w:rsid w:val="002B7F41"/>
    <w:rsid w:val="002C03DA"/>
    <w:rsid w:val="002C0743"/>
    <w:rsid w:val="002C0BC4"/>
    <w:rsid w:val="002C0E6A"/>
    <w:rsid w:val="002C10D7"/>
    <w:rsid w:val="002C18A0"/>
    <w:rsid w:val="002C1D2E"/>
    <w:rsid w:val="002C211A"/>
    <w:rsid w:val="002C2298"/>
    <w:rsid w:val="002C26D4"/>
    <w:rsid w:val="002C2BED"/>
    <w:rsid w:val="002C3101"/>
    <w:rsid w:val="002C366D"/>
    <w:rsid w:val="002C5954"/>
    <w:rsid w:val="002C5F58"/>
    <w:rsid w:val="002C6A1C"/>
    <w:rsid w:val="002C768B"/>
    <w:rsid w:val="002C79A8"/>
    <w:rsid w:val="002C7EF2"/>
    <w:rsid w:val="002D112B"/>
    <w:rsid w:val="002D2100"/>
    <w:rsid w:val="002D260C"/>
    <w:rsid w:val="002D2970"/>
    <w:rsid w:val="002D3518"/>
    <w:rsid w:val="002D3C52"/>
    <w:rsid w:val="002D3E22"/>
    <w:rsid w:val="002D54C7"/>
    <w:rsid w:val="002D56C5"/>
    <w:rsid w:val="002D5AAA"/>
    <w:rsid w:val="002D5F99"/>
    <w:rsid w:val="002D64F5"/>
    <w:rsid w:val="002D6616"/>
    <w:rsid w:val="002D6FC3"/>
    <w:rsid w:val="002D79AA"/>
    <w:rsid w:val="002E02C4"/>
    <w:rsid w:val="002E0AD7"/>
    <w:rsid w:val="002E1871"/>
    <w:rsid w:val="002E238A"/>
    <w:rsid w:val="002E3AEC"/>
    <w:rsid w:val="002E3CF2"/>
    <w:rsid w:val="002E5787"/>
    <w:rsid w:val="002E5849"/>
    <w:rsid w:val="002E5ABF"/>
    <w:rsid w:val="002E5BEC"/>
    <w:rsid w:val="002E69E2"/>
    <w:rsid w:val="002E6F5B"/>
    <w:rsid w:val="002E6FFA"/>
    <w:rsid w:val="002E710F"/>
    <w:rsid w:val="002E7320"/>
    <w:rsid w:val="002E78A3"/>
    <w:rsid w:val="002F08CD"/>
    <w:rsid w:val="002F1287"/>
    <w:rsid w:val="002F142C"/>
    <w:rsid w:val="002F15A8"/>
    <w:rsid w:val="002F1D60"/>
    <w:rsid w:val="002F3EA6"/>
    <w:rsid w:val="002F566C"/>
    <w:rsid w:val="002F56E4"/>
    <w:rsid w:val="002F5CBB"/>
    <w:rsid w:val="002F5E45"/>
    <w:rsid w:val="002F5E6A"/>
    <w:rsid w:val="002F61B2"/>
    <w:rsid w:val="002F68CD"/>
    <w:rsid w:val="002F6AEC"/>
    <w:rsid w:val="002F7AAE"/>
    <w:rsid w:val="0030061A"/>
    <w:rsid w:val="00300726"/>
    <w:rsid w:val="00301913"/>
    <w:rsid w:val="0030196C"/>
    <w:rsid w:val="00301C04"/>
    <w:rsid w:val="00302717"/>
    <w:rsid w:val="003043BE"/>
    <w:rsid w:val="00304900"/>
    <w:rsid w:val="00304BFF"/>
    <w:rsid w:val="00305983"/>
    <w:rsid w:val="00306F45"/>
    <w:rsid w:val="00307232"/>
    <w:rsid w:val="00307E20"/>
    <w:rsid w:val="00311292"/>
    <w:rsid w:val="0031260C"/>
    <w:rsid w:val="00312C75"/>
    <w:rsid w:val="00312DA6"/>
    <w:rsid w:val="00312EAF"/>
    <w:rsid w:val="00313590"/>
    <w:rsid w:val="00313C10"/>
    <w:rsid w:val="00313E26"/>
    <w:rsid w:val="00314363"/>
    <w:rsid w:val="00314E25"/>
    <w:rsid w:val="00315331"/>
    <w:rsid w:val="00315FDD"/>
    <w:rsid w:val="003203B5"/>
    <w:rsid w:val="00320A30"/>
    <w:rsid w:val="00321109"/>
    <w:rsid w:val="00322586"/>
    <w:rsid w:val="0032273E"/>
    <w:rsid w:val="0032393A"/>
    <w:rsid w:val="00323DD3"/>
    <w:rsid w:val="00324379"/>
    <w:rsid w:val="003243FF"/>
    <w:rsid w:val="0032457C"/>
    <w:rsid w:val="0032474D"/>
    <w:rsid w:val="003249B9"/>
    <w:rsid w:val="00325F2B"/>
    <w:rsid w:val="00326439"/>
    <w:rsid w:val="0032654E"/>
    <w:rsid w:val="00326669"/>
    <w:rsid w:val="003266B8"/>
    <w:rsid w:val="00326909"/>
    <w:rsid w:val="00326988"/>
    <w:rsid w:val="00326D4A"/>
    <w:rsid w:val="00326F79"/>
    <w:rsid w:val="00327D2D"/>
    <w:rsid w:val="0033159D"/>
    <w:rsid w:val="0033192D"/>
    <w:rsid w:val="00331A80"/>
    <w:rsid w:val="003325C2"/>
    <w:rsid w:val="00333CD8"/>
    <w:rsid w:val="00335081"/>
    <w:rsid w:val="00335AA7"/>
    <w:rsid w:val="00337515"/>
    <w:rsid w:val="00337BE3"/>
    <w:rsid w:val="003407DA"/>
    <w:rsid w:val="00342196"/>
    <w:rsid w:val="003423DE"/>
    <w:rsid w:val="00342D0A"/>
    <w:rsid w:val="00343199"/>
    <w:rsid w:val="00344737"/>
    <w:rsid w:val="00345C8E"/>
    <w:rsid w:val="00345EE0"/>
    <w:rsid w:val="00346706"/>
    <w:rsid w:val="00346987"/>
    <w:rsid w:val="0035142B"/>
    <w:rsid w:val="003514ED"/>
    <w:rsid w:val="0035179E"/>
    <w:rsid w:val="00351C1F"/>
    <w:rsid w:val="00351E1C"/>
    <w:rsid w:val="00352106"/>
    <w:rsid w:val="0035217E"/>
    <w:rsid w:val="003525DA"/>
    <w:rsid w:val="00352758"/>
    <w:rsid w:val="00352D33"/>
    <w:rsid w:val="00353CB2"/>
    <w:rsid w:val="003541C4"/>
    <w:rsid w:val="00354A18"/>
    <w:rsid w:val="00354E92"/>
    <w:rsid w:val="003550EA"/>
    <w:rsid w:val="00355519"/>
    <w:rsid w:val="003559FA"/>
    <w:rsid w:val="00355D56"/>
    <w:rsid w:val="00357B74"/>
    <w:rsid w:val="00360176"/>
    <w:rsid w:val="00360556"/>
    <w:rsid w:val="00360720"/>
    <w:rsid w:val="0036132C"/>
    <w:rsid w:val="00362325"/>
    <w:rsid w:val="00362A0D"/>
    <w:rsid w:val="0036400D"/>
    <w:rsid w:val="003658EF"/>
    <w:rsid w:val="00365FDC"/>
    <w:rsid w:val="003661DE"/>
    <w:rsid w:val="003670AA"/>
    <w:rsid w:val="00367BF2"/>
    <w:rsid w:val="00370A60"/>
    <w:rsid w:val="00370B08"/>
    <w:rsid w:val="003713F9"/>
    <w:rsid w:val="00371621"/>
    <w:rsid w:val="003719C4"/>
    <w:rsid w:val="00371D19"/>
    <w:rsid w:val="003724EE"/>
    <w:rsid w:val="00373C93"/>
    <w:rsid w:val="00374E6D"/>
    <w:rsid w:val="00375898"/>
    <w:rsid w:val="0037636A"/>
    <w:rsid w:val="00376AC0"/>
    <w:rsid w:val="00377971"/>
    <w:rsid w:val="003803FA"/>
    <w:rsid w:val="00380461"/>
    <w:rsid w:val="003812CC"/>
    <w:rsid w:val="00381490"/>
    <w:rsid w:val="00381936"/>
    <w:rsid w:val="003827AF"/>
    <w:rsid w:val="00383179"/>
    <w:rsid w:val="00384704"/>
    <w:rsid w:val="0038490E"/>
    <w:rsid w:val="003849A2"/>
    <w:rsid w:val="00385E59"/>
    <w:rsid w:val="003863F6"/>
    <w:rsid w:val="00386E22"/>
    <w:rsid w:val="00387270"/>
    <w:rsid w:val="00390465"/>
    <w:rsid w:val="0039097A"/>
    <w:rsid w:val="00391350"/>
    <w:rsid w:val="003917E1"/>
    <w:rsid w:val="00393479"/>
    <w:rsid w:val="003937BF"/>
    <w:rsid w:val="003938B0"/>
    <w:rsid w:val="00394384"/>
    <w:rsid w:val="003945C0"/>
    <w:rsid w:val="00394F5D"/>
    <w:rsid w:val="00395232"/>
    <w:rsid w:val="003953F7"/>
    <w:rsid w:val="003960C1"/>
    <w:rsid w:val="003972B5"/>
    <w:rsid w:val="003A0725"/>
    <w:rsid w:val="003A0E00"/>
    <w:rsid w:val="003A1290"/>
    <w:rsid w:val="003A18CF"/>
    <w:rsid w:val="003A3105"/>
    <w:rsid w:val="003A32A5"/>
    <w:rsid w:val="003A35D3"/>
    <w:rsid w:val="003A3FB3"/>
    <w:rsid w:val="003A3FCF"/>
    <w:rsid w:val="003A4987"/>
    <w:rsid w:val="003A4FD0"/>
    <w:rsid w:val="003A50A2"/>
    <w:rsid w:val="003A5110"/>
    <w:rsid w:val="003A5245"/>
    <w:rsid w:val="003A52E9"/>
    <w:rsid w:val="003A5304"/>
    <w:rsid w:val="003A5AEB"/>
    <w:rsid w:val="003A60E0"/>
    <w:rsid w:val="003A6EC4"/>
    <w:rsid w:val="003A70BA"/>
    <w:rsid w:val="003A7ECC"/>
    <w:rsid w:val="003B092A"/>
    <w:rsid w:val="003B0AF2"/>
    <w:rsid w:val="003B0B34"/>
    <w:rsid w:val="003B0EDF"/>
    <w:rsid w:val="003B12AD"/>
    <w:rsid w:val="003B220F"/>
    <w:rsid w:val="003B27AF"/>
    <w:rsid w:val="003B330D"/>
    <w:rsid w:val="003B3593"/>
    <w:rsid w:val="003B3AA3"/>
    <w:rsid w:val="003B3D78"/>
    <w:rsid w:val="003B478B"/>
    <w:rsid w:val="003B570F"/>
    <w:rsid w:val="003B6387"/>
    <w:rsid w:val="003B6E43"/>
    <w:rsid w:val="003B7237"/>
    <w:rsid w:val="003C096D"/>
    <w:rsid w:val="003C0E95"/>
    <w:rsid w:val="003C1028"/>
    <w:rsid w:val="003C1653"/>
    <w:rsid w:val="003C205E"/>
    <w:rsid w:val="003C2158"/>
    <w:rsid w:val="003C2208"/>
    <w:rsid w:val="003C2388"/>
    <w:rsid w:val="003C2924"/>
    <w:rsid w:val="003C2D1C"/>
    <w:rsid w:val="003C2DFE"/>
    <w:rsid w:val="003C3114"/>
    <w:rsid w:val="003C4254"/>
    <w:rsid w:val="003C4632"/>
    <w:rsid w:val="003C4945"/>
    <w:rsid w:val="003C50AE"/>
    <w:rsid w:val="003C6260"/>
    <w:rsid w:val="003C6758"/>
    <w:rsid w:val="003C79A0"/>
    <w:rsid w:val="003D0B54"/>
    <w:rsid w:val="003D25F5"/>
    <w:rsid w:val="003D27CC"/>
    <w:rsid w:val="003D435F"/>
    <w:rsid w:val="003D43D3"/>
    <w:rsid w:val="003D554F"/>
    <w:rsid w:val="003D5D63"/>
    <w:rsid w:val="003D6A47"/>
    <w:rsid w:val="003D6DF2"/>
    <w:rsid w:val="003D703A"/>
    <w:rsid w:val="003D7146"/>
    <w:rsid w:val="003D748A"/>
    <w:rsid w:val="003D76D8"/>
    <w:rsid w:val="003D7D3E"/>
    <w:rsid w:val="003E04DE"/>
    <w:rsid w:val="003E0E01"/>
    <w:rsid w:val="003E0E9C"/>
    <w:rsid w:val="003E1044"/>
    <w:rsid w:val="003E168D"/>
    <w:rsid w:val="003E1CA9"/>
    <w:rsid w:val="003E1E55"/>
    <w:rsid w:val="003E22C4"/>
    <w:rsid w:val="003E3A1D"/>
    <w:rsid w:val="003E470E"/>
    <w:rsid w:val="003E4DD3"/>
    <w:rsid w:val="003E657B"/>
    <w:rsid w:val="003E7065"/>
    <w:rsid w:val="003E7485"/>
    <w:rsid w:val="003E7507"/>
    <w:rsid w:val="003E7898"/>
    <w:rsid w:val="003E7CE2"/>
    <w:rsid w:val="003F0597"/>
    <w:rsid w:val="003F107C"/>
    <w:rsid w:val="003F18F7"/>
    <w:rsid w:val="003F1E9D"/>
    <w:rsid w:val="003F362B"/>
    <w:rsid w:val="003F3656"/>
    <w:rsid w:val="003F3B02"/>
    <w:rsid w:val="003F3BF4"/>
    <w:rsid w:val="003F3FAF"/>
    <w:rsid w:val="003F670D"/>
    <w:rsid w:val="003F7B32"/>
    <w:rsid w:val="00400110"/>
    <w:rsid w:val="00400526"/>
    <w:rsid w:val="00400983"/>
    <w:rsid w:val="004015FB"/>
    <w:rsid w:val="00401990"/>
    <w:rsid w:val="004034CD"/>
    <w:rsid w:val="00403ED5"/>
    <w:rsid w:val="0040459B"/>
    <w:rsid w:val="00404C21"/>
    <w:rsid w:val="00405294"/>
    <w:rsid w:val="004054B1"/>
    <w:rsid w:val="00405940"/>
    <w:rsid w:val="00405B58"/>
    <w:rsid w:val="00406A51"/>
    <w:rsid w:val="004074DD"/>
    <w:rsid w:val="00407696"/>
    <w:rsid w:val="004105E0"/>
    <w:rsid w:val="0041160A"/>
    <w:rsid w:val="00411F68"/>
    <w:rsid w:val="00412740"/>
    <w:rsid w:val="004134EC"/>
    <w:rsid w:val="00413F4D"/>
    <w:rsid w:val="0041457A"/>
    <w:rsid w:val="004153FC"/>
    <w:rsid w:val="004158F0"/>
    <w:rsid w:val="00416547"/>
    <w:rsid w:val="004166F7"/>
    <w:rsid w:val="00416870"/>
    <w:rsid w:val="00417308"/>
    <w:rsid w:val="0041772A"/>
    <w:rsid w:val="0041779B"/>
    <w:rsid w:val="0042017B"/>
    <w:rsid w:val="004208F0"/>
    <w:rsid w:val="00420913"/>
    <w:rsid w:val="00420B43"/>
    <w:rsid w:val="00420D3C"/>
    <w:rsid w:val="004211F6"/>
    <w:rsid w:val="00421A81"/>
    <w:rsid w:val="00422883"/>
    <w:rsid w:val="00422ACC"/>
    <w:rsid w:val="0042416B"/>
    <w:rsid w:val="00424BD9"/>
    <w:rsid w:val="00424E25"/>
    <w:rsid w:val="0042529A"/>
    <w:rsid w:val="00425D46"/>
    <w:rsid w:val="00426845"/>
    <w:rsid w:val="00427219"/>
    <w:rsid w:val="004274C1"/>
    <w:rsid w:val="00427977"/>
    <w:rsid w:val="00427B82"/>
    <w:rsid w:val="00430234"/>
    <w:rsid w:val="00431767"/>
    <w:rsid w:val="00431E4B"/>
    <w:rsid w:val="0043207F"/>
    <w:rsid w:val="0043296A"/>
    <w:rsid w:val="00433CB2"/>
    <w:rsid w:val="00434700"/>
    <w:rsid w:val="00434E44"/>
    <w:rsid w:val="00434E64"/>
    <w:rsid w:val="00435604"/>
    <w:rsid w:val="00435631"/>
    <w:rsid w:val="00435C79"/>
    <w:rsid w:val="004367EF"/>
    <w:rsid w:val="0043688A"/>
    <w:rsid w:val="00436F71"/>
    <w:rsid w:val="0043785F"/>
    <w:rsid w:val="00437CA2"/>
    <w:rsid w:val="004409C3"/>
    <w:rsid w:val="00440B2D"/>
    <w:rsid w:val="00440D16"/>
    <w:rsid w:val="004414D4"/>
    <w:rsid w:val="004421AE"/>
    <w:rsid w:val="004421E3"/>
    <w:rsid w:val="004425F2"/>
    <w:rsid w:val="004430BB"/>
    <w:rsid w:val="0044331B"/>
    <w:rsid w:val="00443831"/>
    <w:rsid w:val="004442BE"/>
    <w:rsid w:val="00444D14"/>
    <w:rsid w:val="00445B5E"/>
    <w:rsid w:val="004468AE"/>
    <w:rsid w:val="00446911"/>
    <w:rsid w:val="00446EA3"/>
    <w:rsid w:val="00450343"/>
    <w:rsid w:val="00450950"/>
    <w:rsid w:val="00450EFF"/>
    <w:rsid w:val="00451043"/>
    <w:rsid w:val="00451104"/>
    <w:rsid w:val="00451534"/>
    <w:rsid w:val="00452F6C"/>
    <w:rsid w:val="004535E1"/>
    <w:rsid w:val="00454144"/>
    <w:rsid w:val="0045422F"/>
    <w:rsid w:val="0045433C"/>
    <w:rsid w:val="0045471C"/>
    <w:rsid w:val="0045473B"/>
    <w:rsid w:val="00457115"/>
    <w:rsid w:val="00460705"/>
    <w:rsid w:val="00460A24"/>
    <w:rsid w:val="00460BC9"/>
    <w:rsid w:val="0046151F"/>
    <w:rsid w:val="00462AA7"/>
    <w:rsid w:val="00463AB6"/>
    <w:rsid w:val="00464052"/>
    <w:rsid w:val="00464102"/>
    <w:rsid w:val="00465799"/>
    <w:rsid w:val="0046586B"/>
    <w:rsid w:val="004660F5"/>
    <w:rsid w:val="0046675F"/>
    <w:rsid w:val="004674F7"/>
    <w:rsid w:val="00470219"/>
    <w:rsid w:val="00470256"/>
    <w:rsid w:val="004704F9"/>
    <w:rsid w:val="00470847"/>
    <w:rsid w:val="004708C0"/>
    <w:rsid w:val="00471039"/>
    <w:rsid w:val="00471447"/>
    <w:rsid w:val="00471B70"/>
    <w:rsid w:val="00471D1D"/>
    <w:rsid w:val="00471D33"/>
    <w:rsid w:val="0047220A"/>
    <w:rsid w:val="004726C0"/>
    <w:rsid w:val="0047271F"/>
    <w:rsid w:val="004728D6"/>
    <w:rsid w:val="00472EDA"/>
    <w:rsid w:val="004732C6"/>
    <w:rsid w:val="00473ED5"/>
    <w:rsid w:val="004744E1"/>
    <w:rsid w:val="00474682"/>
    <w:rsid w:val="00475530"/>
    <w:rsid w:val="004758DE"/>
    <w:rsid w:val="00475AE3"/>
    <w:rsid w:val="00475F4B"/>
    <w:rsid w:val="004769C3"/>
    <w:rsid w:val="00477159"/>
    <w:rsid w:val="00477B88"/>
    <w:rsid w:val="00480253"/>
    <w:rsid w:val="004805D6"/>
    <w:rsid w:val="00480B8A"/>
    <w:rsid w:val="00481C22"/>
    <w:rsid w:val="004825A3"/>
    <w:rsid w:val="00482DFE"/>
    <w:rsid w:val="004834BC"/>
    <w:rsid w:val="00484AD3"/>
    <w:rsid w:val="004851EA"/>
    <w:rsid w:val="0048573D"/>
    <w:rsid w:val="00485A63"/>
    <w:rsid w:val="00486746"/>
    <w:rsid w:val="004868DB"/>
    <w:rsid w:val="00486BF3"/>
    <w:rsid w:val="004872D2"/>
    <w:rsid w:val="00487AE4"/>
    <w:rsid w:val="00490B11"/>
    <w:rsid w:val="00490E21"/>
    <w:rsid w:val="00491AFA"/>
    <w:rsid w:val="00491B25"/>
    <w:rsid w:val="00491FB6"/>
    <w:rsid w:val="0049217B"/>
    <w:rsid w:val="004931A3"/>
    <w:rsid w:val="0049326A"/>
    <w:rsid w:val="00493412"/>
    <w:rsid w:val="00493C3D"/>
    <w:rsid w:val="00495348"/>
    <w:rsid w:val="0049640D"/>
    <w:rsid w:val="00497168"/>
    <w:rsid w:val="004972DE"/>
    <w:rsid w:val="004972E4"/>
    <w:rsid w:val="00497732"/>
    <w:rsid w:val="00497984"/>
    <w:rsid w:val="00497C57"/>
    <w:rsid w:val="00497D4F"/>
    <w:rsid w:val="004A02DC"/>
    <w:rsid w:val="004A0C09"/>
    <w:rsid w:val="004A126D"/>
    <w:rsid w:val="004A1AC9"/>
    <w:rsid w:val="004A2333"/>
    <w:rsid w:val="004A29E4"/>
    <w:rsid w:val="004A32F1"/>
    <w:rsid w:val="004A33E9"/>
    <w:rsid w:val="004A371F"/>
    <w:rsid w:val="004A3EA6"/>
    <w:rsid w:val="004A3ECA"/>
    <w:rsid w:val="004A478D"/>
    <w:rsid w:val="004A4BF6"/>
    <w:rsid w:val="004A5001"/>
    <w:rsid w:val="004A590B"/>
    <w:rsid w:val="004A5D5B"/>
    <w:rsid w:val="004A69AD"/>
    <w:rsid w:val="004A69BD"/>
    <w:rsid w:val="004A6D0D"/>
    <w:rsid w:val="004B04C6"/>
    <w:rsid w:val="004B08D3"/>
    <w:rsid w:val="004B1613"/>
    <w:rsid w:val="004B2572"/>
    <w:rsid w:val="004B2685"/>
    <w:rsid w:val="004B35F7"/>
    <w:rsid w:val="004B3D4B"/>
    <w:rsid w:val="004B3E3D"/>
    <w:rsid w:val="004B4273"/>
    <w:rsid w:val="004B4E32"/>
    <w:rsid w:val="004B5321"/>
    <w:rsid w:val="004B5383"/>
    <w:rsid w:val="004B64B5"/>
    <w:rsid w:val="004B7076"/>
    <w:rsid w:val="004B74AF"/>
    <w:rsid w:val="004C049D"/>
    <w:rsid w:val="004C202B"/>
    <w:rsid w:val="004C26B8"/>
    <w:rsid w:val="004C26D2"/>
    <w:rsid w:val="004C4444"/>
    <w:rsid w:val="004C4CB2"/>
    <w:rsid w:val="004C4D5D"/>
    <w:rsid w:val="004C4EED"/>
    <w:rsid w:val="004C5924"/>
    <w:rsid w:val="004C5F79"/>
    <w:rsid w:val="004C612A"/>
    <w:rsid w:val="004C637F"/>
    <w:rsid w:val="004C722F"/>
    <w:rsid w:val="004C7237"/>
    <w:rsid w:val="004D03FA"/>
    <w:rsid w:val="004D07E5"/>
    <w:rsid w:val="004D14A8"/>
    <w:rsid w:val="004D2992"/>
    <w:rsid w:val="004D2BAF"/>
    <w:rsid w:val="004D2C10"/>
    <w:rsid w:val="004D3202"/>
    <w:rsid w:val="004D3F5F"/>
    <w:rsid w:val="004D469E"/>
    <w:rsid w:val="004D4741"/>
    <w:rsid w:val="004D48A5"/>
    <w:rsid w:val="004D4B44"/>
    <w:rsid w:val="004D4E20"/>
    <w:rsid w:val="004D6730"/>
    <w:rsid w:val="004D7FEA"/>
    <w:rsid w:val="004E0C6B"/>
    <w:rsid w:val="004E0D06"/>
    <w:rsid w:val="004E183B"/>
    <w:rsid w:val="004E1C62"/>
    <w:rsid w:val="004E2497"/>
    <w:rsid w:val="004E24BC"/>
    <w:rsid w:val="004E2DFB"/>
    <w:rsid w:val="004E3363"/>
    <w:rsid w:val="004E3D51"/>
    <w:rsid w:val="004E3F63"/>
    <w:rsid w:val="004E4F5A"/>
    <w:rsid w:val="004E5131"/>
    <w:rsid w:val="004E5520"/>
    <w:rsid w:val="004E55BA"/>
    <w:rsid w:val="004E565E"/>
    <w:rsid w:val="004E67DD"/>
    <w:rsid w:val="004E7840"/>
    <w:rsid w:val="004E791A"/>
    <w:rsid w:val="004F07EF"/>
    <w:rsid w:val="004F0AE6"/>
    <w:rsid w:val="004F0C24"/>
    <w:rsid w:val="004F16D1"/>
    <w:rsid w:val="004F18F6"/>
    <w:rsid w:val="004F1AD1"/>
    <w:rsid w:val="004F344E"/>
    <w:rsid w:val="004F370D"/>
    <w:rsid w:val="004F3CFC"/>
    <w:rsid w:val="004F4A05"/>
    <w:rsid w:val="004F52B4"/>
    <w:rsid w:val="004F59BE"/>
    <w:rsid w:val="004F5D8B"/>
    <w:rsid w:val="004F63DF"/>
    <w:rsid w:val="004F6CAB"/>
    <w:rsid w:val="004F6DE8"/>
    <w:rsid w:val="004F7887"/>
    <w:rsid w:val="004F79B7"/>
    <w:rsid w:val="005008CC"/>
    <w:rsid w:val="005010D2"/>
    <w:rsid w:val="005016B0"/>
    <w:rsid w:val="00501D0E"/>
    <w:rsid w:val="0050202E"/>
    <w:rsid w:val="00502774"/>
    <w:rsid w:val="00503B05"/>
    <w:rsid w:val="00503DFC"/>
    <w:rsid w:val="00503F34"/>
    <w:rsid w:val="005041F1"/>
    <w:rsid w:val="00504901"/>
    <w:rsid w:val="00504C1B"/>
    <w:rsid w:val="005063ED"/>
    <w:rsid w:val="0050642C"/>
    <w:rsid w:val="00506B0A"/>
    <w:rsid w:val="00506B3B"/>
    <w:rsid w:val="00506BF3"/>
    <w:rsid w:val="00506E8E"/>
    <w:rsid w:val="00507250"/>
    <w:rsid w:val="005076C2"/>
    <w:rsid w:val="00507FF6"/>
    <w:rsid w:val="00510671"/>
    <w:rsid w:val="00510B87"/>
    <w:rsid w:val="00511346"/>
    <w:rsid w:val="00511BC9"/>
    <w:rsid w:val="00511C57"/>
    <w:rsid w:val="0051274C"/>
    <w:rsid w:val="005128B6"/>
    <w:rsid w:val="00512E54"/>
    <w:rsid w:val="00513932"/>
    <w:rsid w:val="00513F5E"/>
    <w:rsid w:val="00514271"/>
    <w:rsid w:val="005148A3"/>
    <w:rsid w:val="00514F62"/>
    <w:rsid w:val="00515560"/>
    <w:rsid w:val="00516548"/>
    <w:rsid w:val="00517831"/>
    <w:rsid w:val="005216FD"/>
    <w:rsid w:val="00522232"/>
    <w:rsid w:val="00522383"/>
    <w:rsid w:val="005228C3"/>
    <w:rsid w:val="0052315E"/>
    <w:rsid w:val="005231BF"/>
    <w:rsid w:val="005234AF"/>
    <w:rsid w:val="00525787"/>
    <w:rsid w:val="00525DF4"/>
    <w:rsid w:val="0052705D"/>
    <w:rsid w:val="005270A5"/>
    <w:rsid w:val="005271CF"/>
    <w:rsid w:val="00527651"/>
    <w:rsid w:val="00530D42"/>
    <w:rsid w:val="00530E86"/>
    <w:rsid w:val="00530E90"/>
    <w:rsid w:val="00531247"/>
    <w:rsid w:val="005314AC"/>
    <w:rsid w:val="00531A41"/>
    <w:rsid w:val="005325CC"/>
    <w:rsid w:val="005335C3"/>
    <w:rsid w:val="005346FE"/>
    <w:rsid w:val="00534965"/>
    <w:rsid w:val="00534CB4"/>
    <w:rsid w:val="00534ECB"/>
    <w:rsid w:val="005358B4"/>
    <w:rsid w:val="0054064D"/>
    <w:rsid w:val="005406FD"/>
    <w:rsid w:val="0054089B"/>
    <w:rsid w:val="00540AC5"/>
    <w:rsid w:val="00540BE7"/>
    <w:rsid w:val="005426C2"/>
    <w:rsid w:val="005429BE"/>
    <w:rsid w:val="00542A11"/>
    <w:rsid w:val="00545A36"/>
    <w:rsid w:val="00546559"/>
    <w:rsid w:val="005465E0"/>
    <w:rsid w:val="005467EB"/>
    <w:rsid w:val="00546AA5"/>
    <w:rsid w:val="00547601"/>
    <w:rsid w:val="00547BA0"/>
    <w:rsid w:val="0055015D"/>
    <w:rsid w:val="0055058D"/>
    <w:rsid w:val="00550895"/>
    <w:rsid w:val="00551FFF"/>
    <w:rsid w:val="00553EB0"/>
    <w:rsid w:val="0055426F"/>
    <w:rsid w:val="00554678"/>
    <w:rsid w:val="00555222"/>
    <w:rsid w:val="00557809"/>
    <w:rsid w:val="00557C85"/>
    <w:rsid w:val="00560C19"/>
    <w:rsid w:val="00560ED1"/>
    <w:rsid w:val="00561B7D"/>
    <w:rsid w:val="00562D36"/>
    <w:rsid w:val="00562E23"/>
    <w:rsid w:val="00563170"/>
    <w:rsid w:val="00564F63"/>
    <w:rsid w:val="00565E32"/>
    <w:rsid w:val="005665B1"/>
    <w:rsid w:val="0056722B"/>
    <w:rsid w:val="00567C21"/>
    <w:rsid w:val="00567CDC"/>
    <w:rsid w:val="00570837"/>
    <w:rsid w:val="00570BDD"/>
    <w:rsid w:val="00572558"/>
    <w:rsid w:val="00573060"/>
    <w:rsid w:val="00573821"/>
    <w:rsid w:val="0057388C"/>
    <w:rsid w:val="00573CDB"/>
    <w:rsid w:val="00574019"/>
    <w:rsid w:val="0057413F"/>
    <w:rsid w:val="00574A2F"/>
    <w:rsid w:val="00575E3A"/>
    <w:rsid w:val="0057657D"/>
    <w:rsid w:val="00576614"/>
    <w:rsid w:val="005768F3"/>
    <w:rsid w:val="00576E52"/>
    <w:rsid w:val="005776D2"/>
    <w:rsid w:val="00577957"/>
    <w:rsid w:val="00577C14"/>
    <w:rsid w:val="00580123"/>
    <w:rsid w:val="005802BF"/>
    <w:rsid w:val="0058095C"/>
    <w:rsid w:val="00580F2D"/>
    <w:rsid w:val="00581039"/>
    <w:rsid w:val="005814AC"/>
    <w:rsid w:val="00581D56"/>
    <w:rsid w:val="00581E19"/>
    <w:rsid w:val="00582246"/>
    <w:rsid w:val="00582436"/>
    <w:rsid w:val="0058309C"/>
    <w:rsid w:val="00584093"/>
    <w:rsid w:val="0058425B"/>
    <w:rsid w:val="00584758"/>
    <w:rsid w:val="00585AB6"/>
    <w:rsid w:val="00585AD7"/>
    <w:rsid w:val="00585C38"/>
    <w:rsid w:val="00585D17"/>
    <w:rsid w:val="00586018"/>
    <w:rsid w:val="00586FA1"/>
    <w:rsid w:val="0058707E"/>
    <w:rsid w:val="005879B7"/>
    <w:rsid w:val="005926A9"/>
    <w:rsid w:val="005926FE"/>
    <w:rsid w:val="00593133"/>
    <w:rsid w:val="00593A64"/>
    <w:rsid w:val="00593B3D"/>
    <w:rsid w:val="00593E9F"/>
    <w:rsid w:val="00593F1C"/>
    <w:rsid w:val="00594585"/>
    <w:rsid w:val="0059507E"/>
    <w:rsid w:val="005950FE"/>
    <w:rsid w:val="00596CE0"/>
    <w:rsid w:val="00597509"/>
    <w:rsid w:val="00597CC7"/>
    <w:rsid w:val="005A0745"/>
    <w:rsid w:val="005A23B8"/>
    <w:rsid w:val="005A27B6"/>
    <w:rsid w:val="005A2E34"/>
    <w:rsid w:val="005A3212"/>
    <w:rsid w:val="005A3289"/>
    <w:rsid w:val="005A36A6"/>
    <w:rsid w:val="005A4372"/>
    <w:rsid w:val="005A4BB0"/>
    <w:rsid w:val="005A5697"/>
    <w:rsid w:val="005A5FB6"/>
    <w:rsid w:val="005A60A1"/>
    <w:rsid w:val="005A6369"/>
    <w:rsid w:val="005A6B2B"/>
    <w:rsid w:val="005A6F1D"/>
    <w:rsid w:val="005A79A8"/>
    <w:rsid w:val="005A7C0B"/>
    <w:rsid w:val="005A7EB7"/>
    <w:rsid w:val="005B02B8"/>
    <w:rsid w:val="005B02E3"/>
    <w:rsid w:val="005B09C4"/>
    <w:rsid w:val="005B0A27"/>
    <w:rsid w:val="005B1014"/>
    <w:rsid w:val="005B1521"/>
    <w:rsid w:val="005B325E"/>
    <w:rsid w:val="005B33EC"/>
    <w:rsid w:val="005B445D"/>
    <w:rsid w:val="005B5097"/>
    <w:rsid w:val="005B6768"/>
    <w:rsid w:val="005B6912"/>
    <w:rsid w:val="005B6C42"/>
    <w:rsid w:val="005B6FD5"/>
    <w:rsid w:val="005B71BC"/>
    <w:rsid w:val="005B77A5"/>
    <w:rsid w:val="005C01F5"/>
    <w:rsid w:val="005C029D"/>
    <w:rsid w:val="005C1110"/>
    <w:rsid w:val="005C1739"/>
    <w:rsid w:val="005C2B41"/>
    <w:rsid w:val="005C2EDD"/>
    <w:rsid w:val="005C331A"/>
    <w:rsid w:val="005C33EA"/>
    <w:rsid w:val="005C3832"/>
    <w:rsid w:val="005C41EB"/>
    <w:rsid w:val="005C473B"/>
    <w:rsid w:val="005C595F"/>
    <w:rsid w:val="005C5BF2"/>
    <w:rsid w:val="005C68C9"/>
    <w:rsid w:val="005D0118"/>
    <w:rsid w:val="005D02B0"/>
    <w:rsid w:val="005D0483"/>
    <w:rsid w:val="005D0680"/>
    <w:rsid w:val="005D07D9"/>
    <w:rsid w:val="005D0F3E"/>
    <w:rsid w:val="005D1941"/>
    <w:rsid w:val="005D1BE9"/>
    <w:rsid w:val="005D238E"/>
    <w:rsid w:val="005D2895"/>
    <w:rsid w:val="005D3956"/>
    <w:rsid w:val="005D3CAB"/>
    <w:rsid w:val="005D3E5E"/>
    <w:rsid w:val="005D3EA9"/>
    <w:rsid w:val="005D44DC"/>
    <w:rsid w:val="005D466C"/>
    <w:rsid w:val="005D5B33"/>
    <w:rsid w:val="005D5DB2"/>
    <w:rsid w:val="005D63D7"/>
    <w:rsid w:val="005D6464"/>
    <w:rsid w:val="005D6C02"/>
    <w:rsid w:val="005D6FB7"/>
    <w:rsid w:val="005D733B"/>
    <w:rsid w:val="005D7830"/>
    <w:rsid w:val="005D7D69"/>
    <w:rsid w:val="005D7E3C"/>
    <w:rsid w:val="005E05A8"/>
    <w:rsid w:val="005E180C"/>
    <w:rsid w:val="005E1D4B"/>
    <w:rsid w:val="005E2168"/>
    <w:rsid w:val="005E22C7"/>
    <w:rsid w:val="005E2815"/>
    <w:rsid w:val="005E2EB3"/>
    <w:rsid w:val="005E3E9B"/>
    <w:rsid w:val="005E400D"/>
    <w:rsid w:val="005E4FD6"/>
    <w:rsid w:val="005E5415"/>
    <w:rsid w:val="005E59F9"/>
    <w:rsid w:val="005E5D06"/>
    <w:rsid w:val="005E5EBF"/>
    <w:rsid w:val="005E6632"/>
    <w:rsid w:val="005F01B6"/>
    <w:rsid w:val="005F0D2E"/>
    <w:rsid w:val="005F1F0E"/>
    <w:rsid w:val="005F1FC0"/>
    <w:rsid w:val="005F2467"/>
    <w:rsid w:val="005F2E1B"/>
    <w:rsid w:val="005F3BED"/>
    <w:rsid w:val="005F3E46"/>
    <w:rsid w:val="005F3E4D"/>
    <w:rsid w:val="005F4616"/>
    <w:rsid w:val="005F5357"/>
    <w:rsid w:val="005F5404"/>
    <w:rsid w:val="005F72D8"/>
    <w:rsid w:val="00600D77"/>
    <w:rsid w:val="00600D95"/>
    <w:rsid w:val="006013E0"/>
    <w:rsid w:val="006031AF"/>
    <w:rsid w:val="006041E2"/>
    <w:rsid w:val="006066F1"/>
    <w:rsid w:val="00606A68"/>
    <w:rsid w:val="00607796"/>
    <w:rsid w:val="006078F5"/>
    <w:rsid w:val="0061222E"/>
    <w:rsid w:val="006137C3"/>
    <w:rsid w:val="00613A81"/>
    <w:rsid w:val="00613B5D"/>
    <w:rsid w:val="00615041"/>
    <w:rsid w:val="0061649F"/>
    <w:rsid w:val="00616BA1"/>
    <w:rsid w:val="006170EF"/>
    <w:rsid w:val="00617A67"/>
    <w:rsid w:val="00617BEB"/>
    <w:rsid w:val="00621856"/>
    <w:rsid w:val="006224E7"/>
    <w:rsid w:val="00622CF0"/>
    <w:rsid w:val="00623440"/>
    <w:rsid w:val="00623925"/>
    <w:rsid w:val="006240DA"/>
    <w:rsid w:val="00624689"/>
    <w:rsid w:val="00624CE0"/>
    <w:rsid w:val="00624EBB"/>
    <w:rsid w:val="00625499"/>
    <w:rsid w:val="00626C37"/>
    <w:rsid w:val="00626FDF"/>
    <w:rsid w:val="00627948"/>
    <w:rsid w:val="006279EF"/>
    <w:rsid w:val="00627C24"/>
    <w:rsid w:val="0063078B"/>
    <w:rsid w:val="00630D99"/>
    <w:rsid w:val="0063159E"/>
    <w:rsid w:val="00631648"/>
    <w:rsid w:val="006318E1"/>
    <w:rsid w:val="00631A6E"/>
    <w:rsid w:val="006332C7"/>
    <w:rsid w:val="00633518"/>
    <w:rsid w:val="00633DBA"/>
    <w:rsid w:val="00633F5E"/>
    <w:rsid w:val="00634247"/>
    <w:rsid w:val="0063428A"/>
    <w:rsid w:val="00634856"/>
    <w:rsid w:val="00634C05"/>
    <w:rsid w:val="00635858"/>
    <w:rsid w:val="00635BAA"/>
    <w:rsid w:val="00636540"/>
    <w:rsid w:val="00636DBD"/>
    <w:rsid w:val="00636E2D"/>
    <w:rsid w:val="00637056"/>
    <w:rsid w:val="0064120B"/>
    <w:rsid w:val="00641433"/>
    <w:rsid w:val="00641937"/>
    <w:rsid w:val="00642021"/>
    <w:rsid w:val="0064218D"/>
    <w:rsid w:val="00642A99"/>
    <w:rsid w:val="00642FBC"/>
    <w:rsid w:val="0064322F"/>
    <w:rsid w:val="00644E45"/>
    <w:rsid w:val="00645377"/>
    <w:rsid w:val="0064643D"/>
    <w:rsid w:val="00646954"/>
    <w:rsid w:val="006473DB"/>
    <w:rsid w:val="0064773C"/>
    <w:rsid w:val="00647784"/>
    <w:rsid w:val="00647BE8"/>
    <w:rsid w:val="0065045C"/>
    <w:rsid w:val="00651154"/>
    <w:rsid w:val="006514F8"/>
    <w:rsid w:val="00651A47"/>
    <w:rsid w:val="00652533"/>
    <w:rsid w:val="00652BA1"/>
    <w:rsid w:val="0065300A"/>
    <w:rsid w:val="0065327D"/>
    <w:rsid w:val="00653B2B"/>
    <w:rsid w:val="00653B79"/>
    <w:rsid w:val="00654BBD"/>
    <w:rsid w:val="006550AF"/>
    <w:rsid w:val="006551E0"/>
    <w:rsid w:val="006559CC"/>
    <w:rsid w:val="00655B47"/>
    <w:rsid w:val="00655B8C"/>
    <w:rsid w:val="006575AC"/>
    <w:rsid w:val="00657C7C"/>
    <w:rsid w:val="00657DDA"/>
    <w:rsid w:val="0066023F"/>
    <w:rsid w:val="0066027B"/>
    <w:rsid w:val="00660442"/>
    <w:rsid w:val="00660A7D"/>
    <w:rsid w:val="0066108F"/>
    <w:rsid w:val="00661441"/>
    <w:rsid w:val="0066175C"/>
    <w:rsid w:val="006617C3"/>
    <w:rsid w:val="00661962"/>
    <w:rsid w:val="00661A4E"/>
    <w:rsid w:val="006620AD"/>
    <w:rsid w:val="00663397"/>
    <w:rsid w:val="00663FAD"/>
    <w:rsid w:val="006656A6"/>
    <w:rsid w:val="00665ECF"/>
    <w:rsid w:val="0066619E"/>
    <w:rsid w:val="00667089"/>
    <w:rsid w:val="0067164A"/>
    <w:rsid w:val="00671777"/>
    <w:rsid w:val="006717A3"/>
    <w:rsid w:val="00671ECF"/>
    <w:rsid w:val="00672383"/>
    <w:rsid w:val="0067261D"/>
    <w:rsid w:val="006727AC"/>
    <w:rsid w:val="00672A2B"/>
    <w:rsid w:val="00672FEF"/>
    <w:rsid w:val="0067484C"/>
    <w:rsid w:val="00674884"/>
    <w:rsid w:val="00675156"/>
    <w:rsid w:val="006754A3"/>
    <w:rsid w:val="0067782A"/>
    <w:rsid w:val="0068033A"/>
    <w:rsid w:val="00680AAE"/>
    <w:rsid w:val="0068173C"/>
    <w:rsid w:val="006817AF"/>
    <w:rsid w:val="006820FF"/>
    <w:rsid w:val="00682184"/>
    <w:rsid w:val="006821CC"/>
    <w:rsid w:val="0068256D"/>
    <w:rsid w:val="00682795"/>
    <w:rsid w:val="00683592"/>
    <w:rsid w:val="006836AA"/>
    <w:rsid w:val="00683796"/>
    <w:rsid w:val="00684C07"/>
    <w:rsid w:val="0068542B"/>
    <w:rsid w:val="00685467"/>
    <w:rsid w:val="00685E82"/>
    <w:rsid w:val="006864D5"/>
    <w:rsid w:val="00686596"/>
    <w:rsid w:val="00686868"/>
    <w:rsid w:val="00686CA3"/>
    <w:rsid w:val="00687097"/>
    <w:rsid w:val="00687307"/>
    <w:rsid w:val="0069013E"/>
    <w:rsid w:val="006905FD"/>
    <w:rsid w:val="00690E47"/>
    <w:rsid w:val="00691370"/>
    <w:rsid w:val="0069195E"/>
    <w:rsid w:val="00691E3B"/>
    <w:rsid w:val="00692444"/>
    <w:rsid w:val="00693383"/>
    <w:rsid w:val="006934E4"/>
    <w:rsid w:val="00693D6C"/>
    <w:rsid w:val="006945C1"/>
    <w:rsid w:val="006946EF"/>
    <w:rsid w:val="00695A2C"/>
    <w:rsid w:val="00696BA6"/>
    <w:rsid w:val="006975A9"/>
    <w:rsid w:val="006975E3"/>
    <w:rsid w:val="0069760B"/>
    <w:rsid w:val="00697882"/>
    <w:rsid w:val="0069792B"/>
    <w:rsid w:val="00697B51"/>
    <w:rsid w:val="00697E8F"/>
    <w:rsid w:val="006A0433"/>
    <w:rsid w:val="006A0757"/>
    <w:rsid w:val="006A08BD"/>
    <w:rsid w:val="006A0913"/>
    <w:rsid w:val="006A0BB6"/>
    <w:rsid w:val="006A0CA6"/>
    <w:rsid w:val="006A1512"/>
    <w:rsid w:val="006A18F3"/>
    <w:rsid w:val="006A1ECF"/>
    <w:rsid w:val="006A230B"/>
    <w:rsid w:val="006A351A"/>
    <w:rsid w:val="006A3B5A"/>
    <w:rsid w:val="006A411A"/>
    <w:rsid w:val="006A552D"/>
    <w:rsid w:val="006A5708"/>
    <w:rsid w:val="006A5A1C"/>
    <w:rsid w:val="006A6B2C"/>
    <w:rsid w:val="006A6D52"/>
    <w:rsid w:val="006A77FC"/>
    <w:rsid w:val="006A7BD0"/>
    <w:rsid w:val="006B0266"/>
    <w:rsid w:val="006B11E8"/>
    <w:rsid w:val="006B12D2"/>
    <w:rsid w:val="006B14FF"/>
    <w:rsid w:val="006B1FC1"/>
    <w:rsid w:val="006B2086"/>
    <w:rsid w:val="006B2CA2"/>
    <w:rsid w:val="006B3C2A"/>
    <w:rsid w:val="006B695F"/>
    <w:rsid w:val="006B6E07"/>
    <w:rsid w:val="006B6E0B"/>
    <w:rsid w:val="006B780E"/>
    <w:rsid w:val="006B7ED4"/>
    <w:rsid w:val="006C0202"/>
    <w:rsid w:val="006C0438"/>
    <w:rsid w:val="006C0465"/>
    <w:rsid w:val="006C0877"/>
    <w:rsid w:val="006C09E5"/>
    <w:rsid w:val="006C0CD4"/>
    <w:rsid w:val="006C1139"/>
    <w:rsid w:val="006C15C1"/>
    <w:rsid w:val="006C15D0"/>
    <w:rsid w:val="006C1649"/>
    <w:rsid w:val="006C1ABB"/>
    <w:rsid w:val="006C2082"/>
    <w:rsid w:val="006C2BF9"/>
    <w:rsid w:val="006C2CF5"/>
    <w:rsid w:val="006C31B7"/>
    <w:rsid w:val="006C39DF"/>
    <w:rsid w:val="006C3B01"/>
    <w:rsid w:val="006C434A"/>
    <w:rsid w:val="006C4C14"/>
    <w:rsid w:val="006C60A7"/>
    <w:rsid w:val="006C6BFF"/>
    <w:rsid w:val="006C7006"/>
    <w:rsid w:val="006C770A"/>
    <w:rsid w:val="006C7D09"/>
    <w:rsid w:val="006D0BD2"/>
    <w:rsid w:val="006D0C10"/>
    <w:rsid w:val="006D0E54"/>
    <w:rsid w:val="006D23F8"/>
    <w:rsid w:val="006D2675"/>
    <w:rsid w:val="006D3119"/>
    <w:rsid w:val="006D50CD"/>
    <w:rsid w:val="006D5C60"/>
    <w:rsid w:val="006D63AB"/>
    <w:rsid w:val="006D68DC"/>
    <w:rsid w:val="006D7C72"/>
    <w:rsid w:val="006E004B"/>
    <w:rsid w:val="006E1197"/>
    <w:rsid w:val="006E15E3"/>
    <w:rsid w:val="006E17ED"/>
    <w:rsid w:val="006E2B29"/>
    <w:rsid w:val="006E2BE2"/>
    <w:rsid w:val="006E2F48"/>
    <w:rsid w:val="006E3028"/>
    <w:rsid w:val="006E3061"/>
    <w:rsid w:val="006E3C78"/>
    <w:rsid w:val="006E3F95"/>
    <w:rsid w:val="006E4152"/>
    <w:rsid w:val="006E51CE"/>
    <w:rsid w:val="006E54CD"/>
    <w:rsid w:val="006E6238"/>
    <w:rsid w:val="006E738B"/>
    <w:rsid w:val="006E743A"/>
    <w:rsid w:val="006E7C49"/>
    <w:rsid w:val="006E7EE4"/>
    <w:rsid w:val="006F0457"/>
    <w:rsid w:val="006F0688"/>
    <w:rsid w:val="006F0D13"/>
    <w:rsid w:val="006F0E4F"/>
    <w:rsid w:val="006F193E"/>
    <w:rsid w:val="006F1D72"/>
    <w:rsid w:val="006F2C8F"/>
    <w:rsid w:val="006F2F4D"/>
    <w:rsid w:val="006F2FA8"/>
    <w:rsid w:val="006F304C"/>
    <w:rsid w:val="006F31BB"/>
    <w:rsid w:val="006F3583"/>
    <w:rsid w:val="006F3EDF"/>
    <w:rsid w:val="006F62E6"/>
    <w:rsid w:val="006F6A79"/>
    <w:rsid w:val="006F794A"/>
    <w:rsid w:val="006F7D06"/>
    <w:rsid w:val="0070068D"/>
    <w:rsid w:val="00700954"/>
    <w:rsid w:val="00700B00"/>
    <w:rsid w:val="007034D0"/>
    <w:rsid w:val="00705643"/>
    <w:rsid w:val="00705867"/>
    <w:rsid w:val="00705BCE"/>
    <w:rsid w:val="007067B6"/>
    <w:rsid w:val="00706F3D"/>
    <w:rsid w:val="00707120"/>
    <w:rsid w:val="00707360"/>
    <w:rsid w:val="00707602"/>
    <w:rsid w:val="007101B4"/>
    <w:rsid w:val="00710424"/>
    <w:rsid w:val="00710591"/>
    <w:rsid w:val="00710D71"/>
    <w:rsid w:val="007114B7"/>
    <w:rsid w:val="007119A5"/>
    <w:rsid w:val="00711ED0"/>
    <w:rsid w:val="007122EA"/>
    <w:rsid w:val="007125AF"/>
    <w:rsid w:val="00712B97"/>
    <w:rsid w:val="0071373B"/>
    <w:rsid w:val="007137CC"/>
    <w:rsid w:val="00714273"/>
    <w:rsid w:val="007143DA"/>
    <w:rsid w:val="00714B40"/>
    <w:rsid w:val="00714E60"/>
    <w:rsid w:val="007159FC"/>
    <w:rsid w:val="00715DF7"/>
    <w:rsid w:val="00715FBB"/>
    <w:rsid w:val="00716AC6"/>
    <w:rsid w:val="00716E1D"/>
    <w:rsid w:val="00717305"/>
    <w:rsid w:val="00717A01"/>
    <w:rsid w:val="00720767"/>
    <w:rsid w:val="0072177C"/>
    <w:rsid w:val="00721B0F"/>
    <w:rsid w:val="00722189"/>
    <w:rsid w:val="007224D0"/>
    <w:rsid w:val="00722F6F"/>
    <w:rsid w:val="00723405"/>
    <w:rsid w:val="00723882"/>
    <w:rsid w:val="007241BC"/>
    <w:rsid w:val="00724CEF"/>
    <w:rsid w:val="00724E91"/>
    <w:rsid w:val="00725C97"/>
    <w:rsid w:val="0072706F"/>
    <w:rsid w:val="00727137"/>
    <w:rsid w:val="00727A17"/>
    <w:rsid w:val="00727BBA"/>
    <w:rsid w:val="007325A2"/>
    <w:rsid w:val="00732857"/>
    <w:rsid w:val="007328CF"/>
    <w:rsid w:val="00732D99"/>
    <w:rsid w:val="0073492C"/>
    <w:rsid w:val="00735048"/>
    <w:rsid w:val="007351D8"/>
    <w:rsid w:val="00735526"/>
    <w:rsid w:val="007355D2"/>
    <w:rsid w:val="007360D9"/>
    <w:rsid w:val="00736399"/>
    <w:rsid w:val="00736E1B"/>
    <w:rsid w:val="00740BD9"/>
    <w:rsid w:val="00741BD7"/>
    <w:rsid w:val="00741C47"/>
    <w:rsid w:val="00742AC3"/>
    <w:rsid w:val="00742C5C"/>
    <w:rsid w:val="00743347"/>
    <w:rsid w:val="00743842"/>
    <w:rsid w:val="00743C10"/>
    <w:rsid w:val="00744469"/>
    <w:rsid w:val="00744E00"/>
    <w:rsid w:val="007450B8"/>
    <w:rsid w:val="00745108"/>
    <w:rsid w:val="00745483"/>
    <w:rsid w:val="00745AD8"/>
    <w:rsid w:val="00745DC4"/>
    <w:rsid w:val="0074699A"/>
    <w:rsid w:val="00750029"/>
    <w:rsid w:val="00750300"/>
    <w:rsid w:val="007516A5"/>
    <w:rsid w:val="00751780"/>
    <w:rsid w:val="00751949"/>
    <w:rsid w:val="00751D5F"/>
    <w:rsid w:val="007539E9"/>
    <w:rsid w:val="00753AB7"/>
    <w:rsid w:val="00754325"/>
    <w:rsid w:val="00754E50"/>
    <w:rsid w:val="0075581F"/>
    <w:rsid w:val="00756238"/>
    <w:rsid w:val="0075742A"/>
    <w:rsid w:val="00760577"/>
    <w:rsid w:val="00760F13"/>
    <w:rsid w:val="00761915"/>
    <w:rsid w:val="00761A82"/>
    <w:rsid w:val="00761D08"/>
    <w:rsid w:val="00762239"/>
    <w:rsid w:val="0076296C"/>
    <w:rsid w:val="00763124"/>
    <w:rsid w:val="00763B79"/>
    <w:rsid w:val="007645FF"/>
    <w:rsid w:val="00765A34"/>
    <w:rsid w:val="00765CE4"/>
    <w:rsid w:val="00766BC9"/>
    <w:rsid w:val="00766FB9"/>
    <w:rsid w:val="0076762A"/>
    <w:rsid w:val="0076780C"/>
    <w:rsid w:val="00767C96"/>
    <w:rsid w:val="00770188"/>
    <w:rsid w:val="00771DB9"/>
    <w:rsid w:val="007724D5"/>
    <w:rsid w:val="00772D6A"/>
    <w:rsid w:val="00773421"/>
    <w:rsid w:val="00773FE4"/>
    <w:rsid w:val="007745FE"/>
    <w:rsid w:val="00774BE8"/>
    <w:rsid w:val="00774E22"/>
    <w:rsid w:val="00775997"/>
    <w:rsid w:val="0077630F"/>
    <w:rsid w:val="00776ACD"/>
    <w:rsid w:val="00777AFE"/>
    <w:rsid w:val="00777F87"/>
    <w:rsid w:val="00780E61"/>
    <w:rsid w:val="00781B40"/>
    <w:rsid w:val="00781DEE"/>
    <w:rsid w:val="00782F93"/>
    <w:rsid w:val="00783280"/>
    <w:rsid w:val="0078348A"/>
    <w:rsid w:val="0078439E"/>
    <w:rsid w:val="00784FCF"/>
    <w:rsid w:val="0078567D"/>
    <w:rsid w:val="00786307"/>
    <w:rsid w:val="007909B3"/>
    <w:rsid w:val="007926D5"/>
    <w:rsid w:val="007933DD"/>
    <w:rsid w:val="007937C5"/>
    <w:rsid w:val="007942AD"/>
    <w:rsid w:val="00795F00"/>
    <w:rsid w:val="00796363"/>
    <w:rsid w:val="00796BF0"/>
    <w:rsid w:val="00797719"/>
    <w:rsid w:val="00797C38"/>
    <w:rsid w:val="007A00D5"/>
    <w:rsid w:val="007A02DF"/>
    <w:rsid w:val="007A0429"/>
    <w:rsid w:val="007A0E66"/>
    <w:rsid w:val="007A106F"/>
    <w:rsid w:val="007A2498"/>
    <w:rsid w:val="007A24BB"/>
    <w:rsid w:val="007A29D4"/>
    <w:rsid w:val="007A3C20"/>
    <w:rsid w:val="007A4238"/>
    <w:rsid w:val="007A430C"/>
    <w:rsid w:val="007A5BDE"/>
    <w:rsid w:val="007A7334"/>
    <w:rsid w:val="007B062B"/>
    <w:rsid w:val="007B1D47"/>
    <w:rsid w:val="007B1E4F"/>
    <w:rsid w:val="007B2888"/>
    <w:rsid w:val="007B2E46"/>
    <w:rsid w:val="007B348B"/>
    <w:rsid w:val="007B3B43"/>
    <w:rsid w:val="007B4778"/>
    <w:rsid w:val="007B48BA"/>
    <w:rsid w:val="007B4A01"/>
    <w:rsid w:val="007B4AFC"/>
    <w:rsid w:val="007B4F7A"/>
    <w:rsid w:val="007B5150"/>
    <w:rsid w:val="007B601C"/>
    <w:rsid w:val="007B6A7F"/>
    <w:rsid w:val="007B7908"/>
    <w:rsid w:val="007B7955"/>
    <w:rsid w:val="007C11F4"/>
    <w:rsid w:val="007C17FC"/>
    <w:rsid w:val="007C2155"/>
    <w:rsid w:val="007C2C4A"/>
    <w:rsid w:val="007C2DEA"/>
    <w:rsid w:val="007C32BD"/>
    <w:rsid w:val="007C33B5"/>
    <w:rsid w:val="007C34A5"/>
    <w:rsid w:val="007C4CD5"/>
    <w:rsid w:val="007C52B7"/>
    <w:rsid w:val="007C5542"/>
    <w:rsid w:val="007C58E4"/>
    <w:rsid w:val="007C5C1F"/>
    <w:rsid w:val="007C5EDE"/>
    <w:rsid w:val="007C61F7"/>
    <w:rsid w:val="007C6E99"/>
    <w:rsid w:val="007C7142"/>
    <w:rsid w:val="007C7AFB"/>
    <w:rsid w:val="007D01A0"/>
    <w:rsid w:val="007D04AD"/>
    <w:rsid w:val="007D0603"/>
    <w:rsid w:val="007D0A9F"/>
    <w:rsid w:val="007D0D66"/>
    <w:rsid w:val="007D1A82"/>
    <w:rsid w:val="007D25AD"/>
    <w:rsid w:val="007D2A65"/>
    <w:rsid w:val="007D40C4"/>
    <w:rsid w:val="007D41E2"/>
    <w:rsid w:val="007D4ED5"/>
    <w:rsid w:val="007D6641"/>
    <w:rsid w:val="007D6E62"/>
    <w:rsid w:val="007D7195"/>
    <w:rsid w:val="007D7349"/>
    <w:rsid w:val="007D76C4"/>
    <w:rsid w:val="007D78F4"/>
    <w:rsid w:val="007D7EEF"/>
    <w:rsid w:val="007D7FDE"/>
    <w:rsid w:val="007E05B5"/>
    <w:rsid w:val="007E06E3"/>
    <w:rsid w:val="007E0752"/>
    <w:rsid w:val="007E08B4"/>
    <w:rsid w:val="007E0AC6"/>
    <w:rsid w:val="007E0D7B"/>
    <w:rsid w:val="007E16E6"/>
    <w:rsid w:val="007E32BD"/>
    <w:rsid w:val="007E656C"/>
    <w:rsid w:val="007E6919"/>
    <w:rsid w:val="007E79BB"/>
    <w:rsid w:val="007F09E0"/>
    <w:rsid w:val="007F0EBD"/>
    <w:rsid w:val="007F1437"/>
    <w:rsid w:val="007F2CA7"/>
    <w:rsid w:val="007F2FA3"/>
    <w:rsid w:val="007F312E"/>
    <w:rsid w:val="007F31D9"/>
    <w:rsid w:val="007F353D"/>
    <w:rsid w:val="007F3847"/>
    <w:rsid w:val="007F3890"/>
    <w:rsid w:val="007F3975"/>
    <w:rsid w:val="007F4106"/>
    <w:rsid w:val="007F5D85"/>
    <w:rsid w:val="007F5E32"/>
    <w:rsid w:val="007F664B"/>
    <w:rsid w:val="007F722E"/>
    <w:rsid w:val="007F7693"/>
    <w:rsid w:val="008004F5"/>
    <w:rsid w:val="00800D8F"/>
    <w:rsid w:val="00801868"/>
    <w:rsid w:val="00801956"/>
    <w:rsid w:val="00802183"/>
    <w:rsid w:val="00802A9E"/>
    <w:rsid w:val="00802F87"/>
    <w:rsid w:val="00803155"/>
    <w:rsid w:val="00803A06"/>
    <w:rsid w:val="00806401"/>
    <w:rsid w:val="008073E6"/>
    <w:rsid w:val="00807B58"/>
    <w:rsid w:val="00811BB0"/>
    <w:rsid w:val="00811DBB"/>
    <w:rsid w:val="00812210"/>
    <w:rsid w:val="0081223B"/>
    <w:rsid w:val="00812C84"/>
    <w:rsid w:val="00813336"/>
    <w:rsid w:val="00815AFF"/>
    <w:rsid w:val="00816354"/>
    <w:rsid w:val="00816666"/>
    <w:rsid w:val="00817EBC"/>
    <w:rsid w:val="0082003B"/>
    <w:rsid w:val="00820C60"/>
    <w:rsid w:val="00820E63"/>
    <w:rsid w:val="00821160"/>
    <w:rsid w:val="0082184D"/>
    <w:rsid w:val="00821983"/>
    <w:rsid w:val="0082199A"/>
    <w:rsid w:val="00822DD6"/>
    <w:rsid w:val="00822F6F"/>
    <w:rsid w:val="00823DE5"/>
    <w:rsid w:val="00823EFA"/>
    <w:rsid w:val="008246A6"/>
    <w:rsid w:val="00824C0F"/>
    <w:rsid w:val="00825C9C"/>
    <w:rsid w:val="00825F06"/>
    <w:rsid w:val="0082604B"/>
    <w:rsid w:val="0082614F"/>
    <w:rsid w:val="0082622E"/>
    <w:rsid w:val="0082661B"/>
    <w:rsid w:val="00826B58"/>
    <w:rsid w:val="00826D44"/>
    <w:rsid w:val="00827634"/>
    <w:rsid w:val="00827732"/>
    <w:rsid w:val="00827916"/>
    <w:rsid w:val="00827C0D"/>
    <w:rsid w:val="00827DC9"/>
    <w:rsid w:val="00827DE2"/>
    <w:rsid w:val="0083042C"/>
    <w:rsid w:val="0083058B"/>
    <w:rsid w:val="0083125D"/>
    <w:rsid w:val="0083186B"/>
    <w:rsid w:val="0083221A"/>
    <w:rsid w:val="008325C4"/>
    <w:rsid w:val="008325DA"/>
    <w:rsid w:val="00832D5A"/>
    <w:rsid w:val="00833A0C"/>
    <w:rsid w:val="00833A84"/>
    <w:rsid w:val="008344F7"/>
    <w:rsid w:val="008346FB"/>
    <w:rsid w:val="00834762"/>
    <w:rsid w:val="00834825"/>
    <w:rsid w:val="00834D94"/>
    <w:rsid w:val="0083547E"/>
    <w:rsid w:val="00835688"/>
    <w:rsid w:val="00835BBC"/>
    <w:rsid w:val="00837999"/>
    <w:rsid w:val="008379F4"/>
    <w:rsid w:val="008400A3"/>
    <w:rsid w:val="0084029C"/>
    <w:rsid w:val="008407EE"/>
    <w:rsid w:val="00842AB8"/>
    <w:rsid w:val="0084366E"/>
    <w:rsid w:val="0084390C"/>
    <w:rsid w:val="00843B31"/>
    <w:rsid w:val="00844A9A"/>
    <w:rsid w:val="00844D2C"/>
    <w:rsid w:val="00845B57"/>
    <w:rsid w:val="00845E27"/>
    <w:rsid w:val="00846510"/>
    <w:rsid w:val="008473C5"/>
    <w:rsid w:val="008504B5"/>
    <w:rsid w:val="00851B6E"/>
    <w:rsid w:val="00851DBD"/>
    <w:rsid w:val="00851ED1"/>
    <w:rsid w:val="00852392"/>
    <w:rsid w:val="008528CB"/>
    <w:rsid w:val="00853079"/>
    <w:rsid w:val="008533E4"/>
    <w:rsid w:val="00853CBC"/>
    <w:rsid w:val="00855149"/>
    <w:rsid w:val="008557C6"/>
    <w:rsid w:val="00856033"/>
    <w:rsid w:val="008577BA"/>
    <w:rsid w:val="00857F10"/>
    <w:rsid w:val="008607BD"/>
    <w:rsid w:val="00860A63"/>
    <w:rsid w:val="00860E74"/>
    <w:rsid w:val="00860E86"/>
    <w:rsid w:val="00862AF0"/>
    <w:rsid w:val="0086425D"/>
    <w:rsid w:val="00864620"/>
    <w:rsid w:val="00865A29"/>
    <w:rsid w:val="008660BF"/>
    <w:rsid w:val="00866C9F"/>
    <w:rsid w:val="008671A5"/>
    <w:rsid w:val="008674D7"/>
    <w:rsid w:val="00867752"/>
    <w:rsid w:val="008704DD"/>
    <w:rsid w:val="008735A9"/>
    <w:rsid w:val="0087389D"/>
    <w:rsid w:val="0087393D"/>
    <w:rsid w:val="00874428"/>
    <w:rsid w:val="00874D53"/>
    <w:rsid w:val="008750A7"/>
    <w:rsid w:val="00876C88"/>
    <w:rsid w:val="008770F6"/>
    <w:rsid w:val="008771D1"/>
    <w:rsid w:val="00877221"/>
    <w:rsid w:val="0088145B"/>
    <w:rsid w:val="00881FD0"/>
    <w:rsid w:val="008824D7"/>
    <w:rsid w:val="00882754"/>
    <w:rsid w:val="008840E8"/>
    <w:rsid w:val="00884A19"/>
    <w:rsid w:val="00884DDB"/>
    <w:rsid w:val="0088505E"/>
    <w:rsid w:val="0088514D"/>
    <w:rsid w:val="00885A0C"/>
    <w:rsid w:val="00886365"/>
    <w:rsid w:val="00886A05"/>
    <w:rsid w:val="008870BF"/>
    <w:rsid w:val="0088731E"/>
    <w:rsid w:val="00887488"/>
    <w:rsid w:val="00887F4C"/>
    <w:rsid w:val="00890C24"/>
    <w:rsid w:val="00892A7A"/>
    <w:rsid w:val="00892D30"/>
    <w:rsid w:val="00892EE4"/>
    <w:rsid w:val="008931AC"/>
    <w:rsid w:val="00893809"/>
    <w:rsid w:val="00893925"/>
    <w:rsid w:val="00893EDA"/>
    <w:rsid w:val="008941B1"/>
    <w:rsid w:val="00894425"/>
    <w:rsid w:val="008944F4"/>
    <w:rsid w:val="00894BC8"/>
    <w:rsid w:val="00895293"/>
    <w:rsid w:val="00895E43"/>
    <w:rsid w:val="00895FC6"/>
    <w:rsid w:val="0089607C"/>
    <w:rsid w:val="00896312"/>
    <w:rsid w:val="00896515"/>
    <w:rsid w:val="00897342"/>
    <w:rsid w:val="008A0C9C"/>
    <w:rsid w:val="008A184F"/>
    <w:rsid w:val="008A1CBA"/>
    <w:rsid w:val="008A1F00"/>
    <w:rsid w:val="008A22C8"/>
    <w:rsid w:val="008A2B76"/>
    <w:rsid w:val="008A3AF4"/>
    <w:rsid w:val="008A448E"/>
    <w:rsid w:val="008A49DB"/>
    <w:rsid w:val="008A4DF1"/>
    <w:rsid w:val="008A6651"/>
    <w:rsid w:val="008A6CD6"/>
    <w:rsid w:val="008B0864"/>
    <w:rsid w:val="008B1424"/>
    <w:rsid w:val="008B1F2A"/>
    <w:rsid w:val="008B44A6"/>
    <w:rsid w:val="008B4A63"/>
    <w:rsid w:val="008B4AC5"/>
    <w:rsid w:val="008B4BB5"/>
    <w:rsid w:val="008B4FD3"/>
    <w:rsid w:val="008B50A5"/>
    <w:rsid w:val="008B57B9"/>
    <w:rsid w:val="008B595A"/>
    <w:rsid w:val="008B6246"/>
    <w:rsid w:val="008B629D"/>
    <w:rsid w:val="008B725E"/>
    <w:rsid w:val="008B79DF"/>
    <w:rsid w:val="008C02D0"/>
    <w:rsid w:val="008C0A72"/>
    <w:rsid w:val="008C154C"/>
    <w:rsid w:val="008C1716"/>
    <w:rsid w:val="008C2130"/>
    <w:rsid w:val="008C2800"/>
    <w:rsid w:val="008C2EDB"/>
    <w:rsid w:val="008C3CBE"/>
    <w:rsid w:val="008C4B42"/>
    <w:rsid w:val="008C7124"/>
    <w:rsid w:val="008C7E44"/>
    <w:rsid w:val="008C7EB7"/>
    <w:rsid w:val="008D14A9"/>
    <w:rsid w:val="008D15AB"/>
    <w:rsid w:val="008D19E3"/>
    <w:rsid w:val="008D1AAF"/>
    <w:rsid w:val="008D24DB"/>
    <w:rsid w:val="008D27B7"/>
    <w:rsid w:val="008D2E6F"/>
    <w:rsid w:val="008D31F4"/>
    <w:rsid w:val="008D37EC"/>
    <w:rsid w:val="008D3806"/>
    <w:rsid w:val="008D3987"/>
    <w:rsid w:val="008D449D"/>
    <w:rsid w:val="008D44AA"/>
    <w:rsid w:val="008D45C1"/>
    <w:rsid w:val="008D4C14"/>
    <w:rsid w:val="008D51E7"/>
    <w:rsid w:val="008D56B0"/>
    <w:rsid w:val="008D72E0"/>
    <w:rsid w:val="008D7771"/>
    <w:rsid w:val="008D7E8B"/>
    <w:rsid w:val="008E0A82"/>
    <w:rsid w:val="008E1D55"/>
    <w:rsid w:val="008E2245"/>
    <w:rsid w:val="008E2CA1"/>
    <w:rsid w:val="008E2FF5"/>
    <w:rsid w:val="008E3E7B"/>
    <w:rsid w:val="008E570B"/>
    <w:rsid w:val="008E6069"/>
    <w:rsid w:val="008E6F7E"/>
    <w:rsid w:val="008E7C4D"/>
    <w:rsid w:val="008E7F17"/>
    <w:rsid w:val="008F01C0"/>
    <w:rsid w:val="008F16DE"/>
    <w:rsid w:val="008F1A4F"/>
    <w:rsid w:val="008F271B"/>
    <w:rsid w:val="008F2722"/>
    <w:rsid w:val="008F33D5"/>
    <w:rsid w:val="008F3C1D"/>
    <w:rsid w:val="008F448C"/>
    <w:rsid w:val="008F4F52"/>
    <w:rsid w:val="008F569E"/>
    <w:rsid w:val="008F617D"/>
    <w:rsid w:val="008F649D"/>
    <w:rsid w:val="008F6A9C"/>
    <w:rsid w:val="008F7AF7"/>
    <w:rsid w:val="008F7FE5"/>
    <w:rsid w:val="00900152"/>
    <w:rsid w:val="009003A0"/>
    <w:rsid w:val="00901E11"/>
    <w:rsid w:val="00902061"/>
    <w:rsid w:val="009020FD"/>
    <w:rsid w:val="00902516"/>
    <w:rsid w:val="00902EFF"/>
    <w:rsid w:val="0090394D"/>
    <w:rsid w:val="00904143"/>
    <w:rsid w:val="00904392"/>
    <w:rsid w:val="00905625"/>
    <w:rsid w:val="00905DCF"/>
    <w:rsid w:val="009062E4"/>
    <w:rsid w:val="0090637D"/>
    <w:rsid w:val="00906611"/>
    <w:rsid w:val="00907253"/>
    <w:rsid w:val="0090769B"/>
    <w:rsid w:val="00907B6A"/>
    <w:rsid w:val="0091058F"/>
    <w:rsid w:val="009108B8"/>
    <w:rsid w:val="00910B8F"/>
    <w:rsid w:val="0091145D"/>
    <w:rsid w:val="00911F1B"/>
    <w:rsid w:val="00912426"/>
    <w:rsid w:val="00912704"/>
    <w:rsid w:val="00912930"/>
    <w:rsid w:val="00912A95"/>
    <w:rsid w:val="009130EC"/>
    <w:rsid w:val="009137E2"/>
    <w:rsid w:val="00913D87"/>
    <w:rsid w:val="009141A8"/>
    <w:rsid w:val="00915686"/>
    <w:rsid w:val="00916F2D"/>
    <w:rsid w:val="00917757"/>
    <w:rsid w:val="00917D1F"/>
    <w:rsid w:val="00920825"/>
    <w:rsid w:val="009208FB"/>
    <w:rsid w:val="00921080"/>
    <w:rsid w:val="00921B19"/>
    <w:rsid w:val="00922514"/>
    <w:rsid w:val="009228E3"/>
    <w:rsid w:val="00922AF0"/>
    <w:rsid w:val="009251D3"/>
    <w:rsid w:val="00925A8C"/>
    <w:rsid w:val="00925C4D"/>
    <w:rsid w:val="0092631F"/>
    <w:rsid w:val="009264DD"/>
    <w:rsid w:val="009264E7"/>
    <w:rsid w:val="0092695A"/>
    <w:rsid w:val="00926B60"/>
    <w:rsid w:val="0092700E"/>
    <w:rsid w:val="00927831"/>
    <w:rsid w:val="00927ECD"/>
    <w:rsid w:val="0093047E"/>
    <w:rsid w:val="00930FD8"/>
    <w:rsid w:val="009314EC"/>
    <w:rsid w:val="009323ED"/>
    <w:rsid w:val="00932455"/>
    <w:rsid w:val="009326A8"/>
    <w:rsid w:val="009341B4"/>
    <w:rsid w:val="009342AC"/>
    <w:rsid w:val="00935CCF"/>
    <w:rsid w:val="009367D0"/>
    <w:rsid w:val="00937628"/>
    <w:rsid w:val="009407CD"/>
    <w:rsid w:val="00941491"/>
    <w:rsid w:val="00941528"/>
    <w:rsid w:val="00941F71"/>
    <w:rsid w:val="00943520"/>
    <w:rsid w:val="0094372F"/>
    <w:rsid w:val="00943EDF"/>
    <w:rsid w:val="0094475D"/>
    <w:rsid w:val="00945AD3"/>
    <w:rsid w:val="0094604B"/>
    <w:rsid w:val="00946866"/>
    <w:rsid w:val="00947733"/>
    <w:rsid w:val="00947A4C"/>
    <w:rsid w:val="00950395"/>
    <w:rsid w:val="0095040C"/>
    <w:rsid w:val="009508D9"/>
    <w:rsid w:val="00950B72"/>
    <w:rsid w:val="00950CC4"/>
    <w:rsid w:val="009514A1"/>
    <w:rsid w:val="00951B74"/>
    <w:rsid w:val="00951CA9"/>
    <w:rsid w:val="009526BA"/>
    <w:rsid w:val="0095365D"/>
    <w:rsid w:val="00953D66"/>
    <w:rsid w:val="00954235"/>
    <w:rsid w:val="00954470"/>
    <w:rsid w:val="00954471"/>
    <w:rsid w:val="00954845"/>
    <w:rsid w:val="009559E4"/>
    <w:rsid w:val="00955B9E"/>
    <w:rsid w:val="00955C8A"/>
    <w:rsid w:val="009563BB"/>
    <w:rsid w:val="00956640"/>
    <w:rsid w:val="00957271"/>
    <w:rsid w:val="009576E4"/>
    <w:rsid w:val="00957813"/>
    <w:rsid w:val="00957A04"/>
    <w:rsid w:val="00957E37"/>
    <w:rsid w:val="00957FC4"/>
    <w:rsid w:val="009603D0"/>
    <w:rsid w:val="00960BF0"/>
    <w:rsid w:val="00960F97"/>
    <w:rsid w:val="0096153B"/>
    <w:rsid w:val="00961623"/>
    <w:rsid w:val="00962AD8"/>
    <w:rsid w:val="009632D4"/>
    <w:rsid w:val="009637A0"/>
    <w:rsid w:val="0096486F"/>
    <w:rsid w:val="00965AF2"/>
    <w:rsid w:val="00966D00"/>
    <w:rsid w:val="009716F2"/>
    <w:rsid w:val="009727C5"/>
    <w:rsid w:val="00972F22"/>
    <w:rsid w:val="009734BD"/>
    <w:rsid w:val="00975C25"/>
    <w:rsid w:val="00975C85"/>
    <w:rsid w:val="009766A1"/>
    <w:rsid w:val="00976C98"/>
    <w:rsid w:val="00977552"/>
    <w:rsid w:val="00980990"/>
    <w:rsid w:val="00980D01"/>
    <w:rsid w:val="0098132C"/>
    <w:rsid w:val="009814DD"/>
    <w:rsid w:val="00981872"/>
    <w:rsid w:val="00982402"/>
    <w:rsid w:val="00983D5F"/>
    <w:rsid w:val="00985AB3"/>
    <w:rsid w:val="00985DD2"/>
    <w:rsid w:val="0098660E"/>
    <w:rsid w:val="0098677B"/>
    <w:rsid w:val="00986BBD"/>
    <w:rsid w:val="009874E6"/>
    <w:rsid w:val="00987987"/>
    <w:rsid w:val="00991EC1"/>
    <w:rsid w:val="009921AC"/>
    <w:rsid w:val="00995616"/>
    <w:rsid w:val="00995666"/>
    <w:rsid w:val="00995ED3"/>
    <w:rsid w:val="00996593"/>
    <w:rsid w:val="009969D7"/>
    <w:rsid w:val="00997118"/>
    <w:rsid w:val="009974CC"/>
    <w:rsid w:val="00997739"/>
    <w:rsid w:val="009978D4"/>
    <w:rsid w:val="00997EF3"/>
    <w:rsid w:val="00997F9E"/>
    <w:rsid w:val="009A00F9"/>
    <w:rsid w:val="009A031F"/>
    <w:rsid w:val="009A19F3"/>
    <w:rsid w:val="009A1F5D"/>
    <w:rsid w:val="009A1FF0"/>
    <w:rsid w:val="009A2085"/>
    <w:rsid w:val="009A2EF1"/>
    <w:rsid w:val="009A3696"/>
    <w:rsid w:val="009A3BC1"/>
    <w:rsid w:val="009A3F75"/>
    <w:rsid w:val="009A4537"/>
    <w:rsid w:val="009A4775"/>
    <w:rsid w:val="009A47E3"/>
    <w:rsid w:val="009A55CF"/>
    <w:rsid w:val="009A586D"/>
    <w:rsid w:val="009A6208"/>
    <w:rsid w:val="009A67C9"/>
    <w:rsid w:val="009A6BC1"/>
    <w:rsid w:val="009A6D05"/>
    <w:rsid w:val="009A7820"/>
    <w:rsid w:val="009A7AC5"/>
    <w:rsid w:val="009A7F14"/>
    <w:rsid w:val="009B04AF"/>
    <w:rsid w:val="009B0755"/>
    <w:rsid w:val="009B0DDF"/>
    <w:rsid w:val="009B20AD"/>
    <w:rsid w:val="009B2A1B"/>
    <w:rsid w:val="009B31E6"/>
    <w:rsid w:val="009B3682"/>
    <w:rsid w:val="009B4A71"/>
    <w:rsid w:val="009B4BFB"/>
    <w:rsid w:val="009B4C6F"/>
    <w:rsid w:val="009B563C"/>
    <w:rsid w:val="009B5D6E"/>
    <w:rsid w:val="009B6582"/>
    <w:rsid w:val="009B6791"/>
    <w:rsid w:val="009B764C"/>
    <w:rsid w:val="009B7955"/>
    <w:rsid w:val="009B7B83"/>
    <w:rsid w:val="009C06CA"/>
    <w:rsid w:val="009C09FE"/>
    <w:rsid w:val="009C1AE3"/>
    <w:rsid w:val="009C1C9C"/>
    <w:rsid w:val="009C2B2F"/>
    <w:rsid w:val="009C4710"/>
    <w:rsid w:val="009C4E2C"/>
    <w:rsid w:val="009C5A25"/>
    <w:rsid w:val="009C6033"/>
    <w:rsid w:val="009C6D75"/>
    <w:rsid w:val="009C76E3"/>
    <w:rsid w:val="009D0026"/>
    <w:rsid w:val="009D0067"/>
    <w:rsid w:val="009D12BB"/>
    <w:rsid w:val="009D209A"/>
    <w:rsid w:val="009D3683"/>
    <w:rsid w:val="009D40CA"/>
    <w:rsid w:val="009D430B"/>
    <w:rsid w:val="009D5532"/>
    <w:rsid w:val="009D577D"/>
    <w:rsid w:val="009D5A45"/>
    <w:rsid w:val="009D5CA0"/>
    <w:rsid w:val="009D60C2"/>
    <w:rsid w:val="009D614B"/>
    <w:rsid w:val="009D68B9"/>
    <w:rsid w:val="009D6BE7"/>
    <w:rsid w:val="009D7551"/>
    <w:rsid w:val="009D788B"/>
    <w:rsid w:val="009E0162"/>
    <w:rsid w:val="009E1083"/>
    <w:rsid w:val="009E1713"/>
    <w:rsid w:val="009E1838"/>
    <w:rsid w:val="009E2221"/>
    <w:rsid w:val="009E2A58"/>
    <w:rsid w:val="009E3156"/>
    <w:rsid w:val="009E4BA8"/>
    <w:rsid w:val="009E52D7"/>
    <w:rsid w:val="009E639B"/>
    <w:rsid w:val="009E682C"/>
    <w:rsid w:val="009E6A28"/>
    <w:rsid w:val="009E6EC6"/>
    <w:rsid w:val="009E7131"/>
    <w:rsid w:val="009E781A"/>
    <w:rsid w:val="009F1AFE"/>
    <w:rsid w:val="009F3324"/>
    <w:rsid w:val="009F5C1E"/>
    <w:rsid w:val="009F5D22"/>
    <w:rsid w:val="009F7A1C"/>
    <w:rsid w:val="00A000CA"/>
    <w:rsid w:val="00A00639"/>
    <w:rsid w:val="00A01489"/>
    <w:rsid w:val="00A01B7C"/>
    <w:rsid w:val="00A01E00"/>
    <w:rsid w:val="00A0221A"/>
    <w:rsid w:val="00A0394D"/>
    <w:rsid w:val="00A04837"/>
    <w:rsid w:val="00A05DD2"/>
    <w:rsid w:val="00A064CC"/>
    <w:rsid w:val="00A075D5"/>
    <w:rsid w:val="00A104FC"/>
    <w:rsid w:val="00A1080A"/>
    <w:rsid w:val="00A108C3"/>
    <w:rsid w:val="00A10B2D"/>
    <w:rsid w:val="00A110F7"/>
    <w:rsid w:val="00A124D9"/>
    <w:rsid w:val="00A129F3"/>
    <w:rsid w:val="00A12E28"/>
    <w:rsid w:val="00A137F7"/>
    <w:rsid w:val="00A13982"/>
    <w:rsid w:val="00A13B42"/>
    <w:rsid w:val="00A142FF"/>
    <w:rsid w:val="00A147DB"/>
    <w:rsid w:val="00A14D09"/>
    <w:rsid w:val="00A14DE7"/>
    <w:rsid w:val="00A15A25"/>
    <w:rsid w:val="00A15B7C"/>
    <w:rsid w:val="00A160AD"/>
    <w:rsid w:val="00A161A9"/>
    <w:rsid w:val="00A1669E"/>
    <w:rsid w:val="00A16D17"/>
    <w:rsid w:val="00A16EFD"/>
    <w:rsid w:val="00A174D4"/>
    <w:rsid w:val="00A20BC5"/>
    <w:rsid w:val="00A21054"/>
    <w:rsid w:val="00A21497"/>
    <w:rsid w:val="00A2228C"/>
    <w:rsid w:val="00A22750"/>
    <w:rsid w:val="00A231DE"/>
    <w:rsid w:val="00A24DA0"/>
    <w:rsid w:val="00A24DBB"/>
    <w:rsid w:val="00A25B0F"/>
    <w:rsid w:val="00A26209"/>
    <w:rsid w:val="00A2713E"/>
    <w:rsid w:val="00A271B5"/>
    <w:rsid w:val="00A276D8"/>
    <w:rsid w:val="00A27CEB"/>
    <w:rsid w:val="00A27F1A"/>
    <w:rsid w:val="00A301EC"/>
    <w:rsid w:val="00A3041C"/>
    <w:rsid w:val="00A3172A"/>
    <w:rsid w:val="00A3172D"/>
    <w:rsid w:val="00A33336"/>
    <w:rsid w:val="00A33B5D"/>
    <w:rsid w:val="00A34F03"/>
    <w:rsid w:val="00A35435"/>
    <w:rsid w:val="00A36A75"/>
    <w:rsid w:val="00A374B1"/>
    <w:rsid w:val="00A400D9"/>
    <w:rsid w:val="00A413F7"/>
    <w:rsid w:val="00A41973"/>
    <w:rsid w:val="00A420CE"/>
    <w:rsid w:val="00A4271C"/>
    <w:rsid w:val="00A42774"/>
    <w:rsid w:val="00A43410"/>
    <w:rsid w:val="00A43695"/>
    <w:rsid w:val="00A43DB9"/>
    <w:rsid w:val="00A440C8"/>
    <w:rsid w:val="00A44630"/>
    <w:rsid w:val="00A44D94"/>
    <w:rsid w:val="00A44E07"/>
    <w:rsid w:val="00A45128"/>
    <w:rsid w:val="00A4517E"/>
    <w:rsid w:val="00A45357"/>
    <w:rsid w:val="00A463E7"/>
    <w:rsid w:val="00A47081"/>
    <w:rsid w:val="00A502E5"/>
    <w:rsid w:val="00A5076A"/>
    <w:rsid w:val="00A51B13"/>
    <w:rsid w:val="00A51DC1"/>
    <w:rsid w:val="00A52030"/>
    <w:rsid w:val="00A521F4"/>
    <w:rsid w:val="00A5313B"/>
    <w:rsid w:val="00A53B08"/>
    <w:rsid w:val="00A54254"/>
    <w:rsid w:val="00A544A4"/>
    <w:rsid w:val="00A54563"/>
    <w:rsid w:val="00A547C5"/>
    <w:rsid w:val="00A5547F"/>
    <w:rsid w:val="00A5727A"/>
    <w:rsid w:val="00A604A4"/>
    <w:rsid w:val="00A60894"/>
    <w:rsid w:val="00A6165A"/>
    <w:rsid w:val="00A619B9"/>
    <w:rsid w:val="00A627E3"/>
    <w:rsid w:val="00A6296B"/>
    <w:rsid w:val="00A62BF9"/>
    <w:rsid w:val="00A63363"/>
    <w:rsid w:val="00A640D3"/>
    <w:rsid w:val="00A644C5"/>
    <w:rsid w:val="00A64528"/>
    <w:rsid w:val="00A654CA"/>
    <w:rsid w:val="00A65724"/>
    <w:rsid w:val="00A662D6"/>
    <w:rsid w:val="00A675BA"/>
    <w:rsid w:val="00A67864"/>
    <w:rsid w:val="00A67EC1"/>
    <w:rsid w:val="00A67FF0"/>
    <w:rsid w:val="00A70962"/>
    <w:rsid w:val="00A70B4A"/>
    <w:rsid w:val="00A71494"/>
    <w:rsid w:val="00A71977"/>
    <w:rsid w:val="00A71B9D"/>
    <w:rsid w:val="00A72622"/>
    <w:rsid w:val="00A72AB9"/>
    <w:rsid w:val="00A72CD4"/>
    <w:rsid w:val="00A73240"/>
    <w:rsid w:val="00A7325E"/>
    <w:rsid w:val="00A7345B"/>
    <w:rsid w:val="00A7352E"/>
    <w:rsid w:val="00A73B50"/>
    <w:rsid w:val="00A7426B"/>
    <w:rsid w:val="00A76613"/>
    <w:rsid w:val="00A77DC2"/>
    <w:rsid w:val="00A816B2"/>
    <w:rsid w:val="00A82F5A"/>
    <w:rsid w:val="00A83598"/>
    <w:rsid w:val="00A83E10"/>
    <w:rsid w:val="00A84468"/>
    <w:rsid w:val="00A845C7"/>
    <w:rsid w:val="00A854A3"/>
    <w:rsid w:val="00A85EEF"/>
    <w:rsid w:val="00A861D2"/>
    <w:rsid w:val="00A8649F"/>
    <w:rsid w:val="00A90165"/>
    <w:rsid w:val="00A90C4D"/>
    <w:rsid w:val="00A90F20"/>
    <w:rsid w:val="00A90F4D"/>
    <w:rsid w:val="00A9185E"/>
    <w:rsid w:val="00A91DBE"/>
    <w:rsid w:val="00A938F3"/>
    <w:rsid w:val="00A948E9"/>
    <w:rsid w:val="00A950DB"/>
    <w:rsid w:val="00A95D14"/>
    <w:rsid w:val="00A95E94"/>
    <w:rsid w:val="00A95F76"/>
    <w:rsid w:val="00A96BC6"/>
    <w:rsid w:val="00A96DD3"/>
    <w:rsid w:val="00A97476"/>
    <w:rsid w:val="00A978EA"/>
    <w:rsid w:val="00A97CE2"/>
    <w:rsid w:val="00AA04B6"/>
    <w:rsid w:val="00AA0729"/>
    <w:rsid w:val="00AA2423"/>
    <w:rsid w:val="00AA282C"/>
    <w:rsid w:val="00AA2C91"/>
    <w:rsid w:val="00AA3F50"/>
    <w:rsid w:val="00AA42D6"/>
    <w:rsid w:val="00AA42EB"/>
    <w:rsid w:val="00AA4B9B"/>
    <w:rsid w:val="00AA572E"/>
    <w:rsid w:val="00AA7979"/>
    <w:rsid w:val="00AB0687"/>
    <w:rsid w:val="00AB1B38"/>
    <w:rsid w:val="00AB1EE4"/>
    <w:rsid w:val="00AB2E25"/>
    <w:rsid w:val="00AB33B7"/>
    <w:rsid w:val="00AB3936"/>
    <w:rsid w:val="00AB3BCE"/>
    <w:rsid w:val="00AB3C59"/>
    <w:rsid w:val="00AB3FF2"/>
    <w:rsid w:val="00AB4418"/>
    <w:rsid w:val="00AB4E95"/>
    <w:rsid w:val="00AB588A"/>
    <w:rsid w:val="00AB5E04"/>
    <w:rsid w:val="00AB6D2A"/>
    <w:rsid w:val="00AB6EAD"/>
    <w:rsid w:val="00AB717C"/>
    <w:rsid w:val="00AB72BA"/>
    <w:rsid w:val="00AB7AC9"/>
    <w:rsid w:val="00AC0073"/>
    <w:rsid w:val="00AC0FC8"/>
    <w:rsid w:val="00AC12E6"/>
    <w:rsid w:val="00AC18C7"/>
    <w:rsid w:val="00AC22CF"/>
    <w:rsid w:val="00AC3986"/>
    <w:rsid w:val="00AC4978"/>
    <w:rsid w:val="00AC65CC"/>
    <w:rsid w:val="00AC66D2"/>
    <w:rsid w:val="00AC7072"/>
    <w:rsid w:val="00AC757D"/>
    <w:rsid w:val="00AD0F13"/>
    <w:rsid w:val="00AD1070"/>
    <w:rsid w:val="00AD1582"/>
    <w:rsid w:val="00AD272E"/>
    <w:rsid w:val="00AD279E"/>
    <w:rsid w:val="00AD2999"/>
    <w:rsid w:val="00AD36F9"/>
    <w:rsid w:val="00AD370F"/>
    <w:rsid w:val="00AD3812"/>
    <w:rsid w:val="00AD4377"/>
    <w:rsid w:val="00AD4F26"/>
    <w:rsid w:val="00AD5BB6"/>
    <w:rsid w:val="00AD644D"/>
    <w:rsid w:val="00AD6880"/>
    <w:rsid w:val="00AD736B"/>
    <w:rsid w:val="00AE042C"/>
    <w:rsid w:val="00AE068C"/>
    <w:rsid w:val="00AE0AA7"/>
    <w:rsid w:val="00AE0D89"/>
    <w:rsid w:val="00AE1ADA"/>
    <w:rsid w:val="00AE1C32"/>
    <w:rsid w:val="00AE2082"/>
    <w:rsid w:val="00AE2438"/>
    <w:rsid w:val="00AE2522"/>
    <w:rsid w:val="00AE27A6"/>
    <w:rsid w:val="00AE2ABD"/>
    <w:rsid w:val="00AE2D48"/>
    <w:rsid w:val="00AE3F60"/>
    <w:rsid w:val="00AE49D4"/>
    <w:rsid w:val="00AE540D"/>
    <w:rsid w:val="00AE553B"/>
    <w:rsid w:val="00AE5641"/>
    <w:rsid w:val="00AE5E67"/>
    <w:rsid w:val="00AE67F8"/>
    <w:rsid w:val="00AE779F"/>
    <w:rsid w:val="00AF015F"/>
    <w:rsid w:val="00AF09F9"/>
    <w:rsid w:val="00AF162A"/>
    <w:rsid w:val="00AF3096"/>
    <w:rsid w:val="00AF3E95"/>
    <w:rsid w:val="00AF4665"/>
    <w:rsid w:val="00AF5E0B"/>
    <w:rsid w:val="00AF6349"/>
    <w:rsid w:val="00AF6524"/>
    <w:rsid w:val="00AF6C57"/>
    <w:rsid w:val="00AF6EFE"/>
    <w:rsid w:val="00AF73DF"/>
    <w:rsid w:val="00AF7CC6"/>
    <w:rsid w:val="00B01809"/>
    <w:rsid w:val="00B01E6B"/>
    <w:rsid w:val="00B0265D"/>
    <w:rsid w:val="00B0283E"/>
    <w:rsid w:val="00B02BDD"/>
    <w:rsid w:val="00B02DF7"/>
    <w:rsid w:val="00B03021"/>
    <w:rsid w:val="00B033F4"/>
    <w:rsid w:val="00B04FEC"/>
    <w:rsid w:val="00B0688B"/>
    <w:rsid w:val="00B068B5"/>
    <w:rsid w:val="00B06DB1"/>
    <w:rsid w:val="00B06E0C"/>
    <w:rsid w:val="00B07126"/>
    <w:rsid w:val="00B10786"/>
    <w:rsid w:val="00B10909"/>
    <w:rsid w:val="00B10F10"/>
    <w:rsid w:val="00B11331"/>
    <w:rsid w:val="00B117F6"/>
    <w:rsid w:val="00B12047"/>
    <w:rsid w:val="00B12201"/>
    <w:rsid w:val="00B133D8"/>
    <w:rsid w:val="00B13833"/>
    <w:rsid w:val="00B13D51"/>
    <w:rsid w:val="00B14433"/>
    <w:rsid w:val="00B14A37"/>
    <w:rsid w:val="00B15E21"/>
    <w:rsid w:val="00B16CE4"/>
    <w:rsid w:val="00B16D1D"/>
    <w:rsid w:val="00B16E69"/>
    <w:rsid w:val="00B20494"/>
    <w:rsid w:val="00B2066F"/>
    <w:rsid w:val="00B208CD"/>
    <w:rsid w:val="00B226CD"/>
    <w:rsid w:val="00B2336A"/>
    <w:rsid w:val="00B234AD"/>
    <w:rsid w:val="00B23CA0"/>
    <w:rsid w:val="00B246AF"/>
    <w:rsid w:val="00B2594D"/>
    <w:rsid w:val="00B25F7A"/>
    <w:rsid w:val="00B26267"/>
    <w:rsid w:val="00B27215"/>
    <w:rsid w:val="00B2778E"/>
    <w:rsid w:val="00B30497"/>
    <w:rsid w:val="00B3257C"/>
    <w:rsid w:val="00B32A2F"/>
    <w:rsid w:val="00B33383"/>
    <w:rsid w:val="00B33398"/>
    <w:rsid w:val="00B33DDD"/>
    <w:rsid w:val="00B36132"/>
    <w:rsid w:val="00B3617A"/>
    <w:rsid w:val="00B36214"/>
    <w:rsid w:val="00B36B99"/>
    <w:rsid w:val="00B36D2C"/>
    <w:rsid w:val="00B36E89"/>
    <w:rsid w:val="00B40371"/>
    <w:rsid w:val="00B4062C"/>
    <w:rsid w:val="00B4075F"/>
    <w:rsid w:val="00B411E4"/>
    <w:rsid w:val="00B4167A"/>
    <w:rsid w:val="00B42576"/>
    <w:rsid w:val="00B437F9"/>
    <w:rsid w:val="00B446BF"/>
    <w:rsid w:val="00B44ADE"/>
    <w:rsid w:val="00B453A5"/>
    <w:rsid w:val="00B4597A"/>
    <w:rsid w:val="00B45A8F"/>
    <w:rsid w:val="00B468B0"/>
    <w:rsid w:val="00B50552"/>
    <w:rsid w:val="00B50AB7"/>
    <w:rsid w:val="00B50EDD"/>
    <w:rsid w:val="00B531DA"/>
    <w:rsid w:val="00B53682"/>
    <w:rsid w:val="00B55B9F"/>
    <w:rsid w:val="00B56427"/>
    <w:rsid w:val="00B56764"/>
    <w:rsid w:val="00B56866"/>
    <w:rsid w:val="00B570D1"/>
    <w:rsid w:val="00B57E11"/>
    <w:rsid w:val="00B57ECB"/>
    <w:rsid w:val="00B57FB7"/>
    <w:rsid w:val="00B600A7"/>
    <w:rsid w:val="00B600FC"/>
    <w:rsid w:val="00B60473"/>
    <w:rsid w:val="00B607A0"/>
    <w:rsid w:val="00B6102A"/>
    <w:rsid w:val="00B6182C"/>
    <w:rsid w:val="00B61B79"/>
    <w:rsid w:val="00B61D96"/>
    <w:rsid w:val="00B61F69"/>
    <w:rsid w:val="00B623D5"/>
    <w:rsid w:val="00B62A94"/>
    <w:rsid w:val="00B62B0B"/>
    <w:rsid w:val="00B633E3"/>
    <w:rsid w:val="00B6354C"/>
    <w:rsid w:val="00B635C0"/>
    <w:rsid w:val="00B639AE"/>
    <w:rsid w:val="00B63BC5"/>
    <w:rsid w:val="00B6486A"/>
    <w:rsid w:val="00B64C69"/>
    <w:rsid w:val="00B64FE9"/>
    <w:rsid w:val="00B66ADA"/>
    <w:rsid w:val="00B67B3D"/>
    <w:rsid w:val="00B67E26"/>
    <w:rsid w:val="00B70A77"/>
    <w:rsid w:val="00B70FEA"/>
    <w:rsid w:val="00B7208B"/>
    <w:rsid w:val="00B72B19"/>
    <w:rsid w:val="00B72F87"/>
    <w:rsid w:val="00B7305B"/>
    <w:rsid w:val="00B73BA8"/>
    <w:rsid w:val="00B73F50"/>
    <w:rsid w:val="00B73F56"/>
    <w:rsid w:val="00B7423F"/>
    <w:rsid w:val="00B744FD"/>
    <w:rsid w:val="00B74770"/>
    <w:rsid w:val="00B750B3"/>
    <w:rsid w:val="00B7692B"/>
    <w:rsid w:val="00B76A3A"/>
    <w:rsid w:val="00B772A4"/>
    <w:rsid w:val="00B80970"/>
    <w:rsid w:val="00B80B06"/>
    <w:rsid w:val="00B817CC"/>
    <w:rsid w:val="00B82E10"/>
    <w:rsid w:val="00B831BA"/>
    <w:rsid w:val="00B851E2"/>
    <w:rsid w:val="00B85C21"/>
    <w:rsid w:val="00B85F7C"/>
    <w:rsid w:val="00B85F87"/>
    <w:rsid w:val="00B867C7"/>
    <w:rsid w:val="00B86C71"/>
    <w:rsid w:val="00B87925"/>
    <w:rsid w:val="00B87AC9"/>
    <w:rsid w:val="00B87C77"/>
    <w:rsid w:val="00B92516"/>
    <w:rsid w:val="00B9360A"/>
    <w:rsid w:val="00B94BD5"/>
    <w:rsid w:val="00B95E56"/>
    <w:rsid w:val="00B96E0C"/>
    <w:rsid w:val="00BA05AF"/>
    <w:rsid w:val="00BA05CB"/>
    <w:rsid w:val="00BA1244"/>
    <w:rsid w:val="00BA1CE0"/>
    <w:rsid w:val="00BA20BF"/>
    <w:rsid w:val="00BA238B"/>
    <w:rsid w:val="00BA2EF0"/>
    <w:rsid w:val="00BA3B9E"/>
    <w:rsid w:val="00BA3D32"/>
    <w:rsid w:val="00BA3DCF"/>
    <w:rsid w:val="00BA63CF"/>
    <w:rsid w:val="00BA714C"/>
    <w:rsid w:val="00BA72B1"/>
    <w:rsid w:val="00BA7DC0"/>
    <w:rsid w:val="00BA7DFB"/>
    <w:rsid w:val="00BA7EA7"/>
    <w:rsid w:val="00BB0D2B"/>
    <w:rsid w:val="00BB1F54"/>
    <w:rsid w:val="00BB23E7"/>
    <w:rsid w:val="00BB28FE"/>
    <w:rsid w:val="00BB3BBC"/>
    <w:rsid w:val="00BB3C65"/>
    <w:rsid w:val="00BB47D6"/>
    <w:rsid w:val="00BB4BB2"/>
    <w:rsid w:val="00BC0290"/>
    <w:rsid w:val="00BC1675"/>
    <w:rsid w:val="00BC1AA8"/>
    <w:rsid w:val="00BC1F59"/>
    <w:rsid w:val="00BC2F5D"/>
    <w:rsid w:val="00BC3558"/>
    <w:rsid w:val="00BC41DA"/>
    <w:rsid w:val="00BC427A"/>
    <w:rsid w:val="00BC4D62"/>
    <w:rsid w:val="00BC53BD"/>
    <w:rsid w:val="00BC5673"/>
    <w:rsid w:val="00BC5D13"/>
    <w:rsid w:val="00BC62BA"/>
    <w:rsid w:val="00BC6D48"/>
    <w:rsid w:val="00BC6E6A"/>
    <w:rsid w:val="00BC7770"/>
    <w:rsid w:val="00BC7C39"/>
    <w:rsid w:val="00BD0284"/>
    <w:rsid w:val="00BD0705"/>
    <w:rsid w:val="00BD140E"/>
    <w:rsid w:val="00BD170A"/>
    <w:rsid w:val="00BD1F1D"/>
    <w:rsid w:val="00BD2328"/>
    <w:rsid w:val="00BD23C9"/>
    <w:rsid w:val="00BD275A"/>
    <w:rsid w:val="00BD2D08"/>
    <w:rsid w:val="00BD2DA1"/>
    <w:rsid w:val="00BD4497"/>
    <w:rsid w:val="00BD46C6"/>
    <w:rsid w:val="00BD4F67"/>
    <w:rsid w:val="00BD5B10"/>
    <w:rsid w:val="00BD62C1"/>
    <w:rsid w:val="00BD6D58"/>
    <w:rsid w:val="00BD6F03"/>
    <w:rsid w:val="00BD713D"/>
    <w:rsid w:val="00BD79F2"/>
    <w:rsid w:val="00BE052F"/>
    <w:rsid w:val="00BE0F84"/>
    <w:rsid w:val="00BE1B70"/>
    <w:rsid w:val="00BE269D"/>
    <w:rsid w:val="00BE26EE"/>
    <w:rsid w:val="00BE2C7E"/>
    <w:rsid w:val="00BE3EBD"/>
    <w:rsid w:val="00BE4D50"/>
    <w:rsid w:val="00BE5580"/>
    <w:rsid w:val="00BE563A"/>
    <w:rsid w:val="00BE5779"/>
    <w:rsid w:val="00BE5DA1"/>
    <w:rsid w:val="00BE624F"/>
    <w:rsid w:val="00BE681E"/>
    <w:rsid w:val="00BE780B"/>
    <w:rsid w:val="00BF011D"/>
    <w:rsid w:val="00BF0995"/>
    <w:rsid w:val="00BF0E04"/>
    <w:rsid w:val="00BF0F38"/>
    <w:rsid w:val="00BF14F4"/>
    <w:rsid w:val="00BF15FE"/>
    <w:rsid w:val="00BF167B"/>
    <w:rsid w:val="00BF1D74"/>
    <w:rsid w:val="00BF1FA7"/>
    <w:rsid w:val="00BF234A"/>
    <w:rsid w:val="00BF28A9"/>
    <w:rsid w:val="00BF2C8B"/>
    <w:rsid w:val="00BF332E"/>
    <w:rsid w:val="00BF3780"/>
    <w:rsid w:val="00BF3E41"/>
    <w:rsid w:val="00BF4F07"/>
    <w:rsid w:val="00BF4F5B"/>
    <w:rsid w:val="00BF54EF"/>
    <w:rsid w:val="00BF6A79"/>
    <w:rsid w:val="00BF7AFA"/>
    <w:rsid w:val="00C00A53"/>
    <w:rsid w:val="00C00EC9"/>
    <w:rsid w:val="00C013B4"/>
    <w:rsid w:val="00C016BD"/>
    <w:rsid w:val="00C01B45"/>
    <w:rsid w:val="00C02059"/>
    <w:rsid w:val="00C0250F"/>
    <w:rsid w:val="00C02639"/>
    <w:rsid w:val="00C02A7D"/>
    <w:rsid w:val="00C03391"/>
    <w:rsid w:val="00C03798"/>
    <w:rsid w:val="00C046B1"/>
    <w:rsid w:val="00C049EB"/>
    <w:rsid w:val="00C0692C"/>
    <w:rsid w:val="00C070B3"/>
    <w:rsid w:val="00C077F1"/>
    <w:rsid w:val="00C07A30"/>
    <w:rsid w:val="00C07FB5"/>
    <w:rsid w:val="00C1044F"/>
    <w:rsid w:val="00C10A05"/>
    <w:rsid w:val="00C10BA4"/>
    <w:rsid w:val="00C10C88"/>
    <w:rsid w:val="00C10FFA"/>
    <w:rsid w:val="00C12E9C"/>
    <w:rsid w:val="00C12EDB"/>
    <w:rsid w:val="00C13086"/>
    <w:rsid w:val="00C142AB"/>
    <w:rsid w:val="00C145FF"/>
    <w:rsid w:val="00C15694"/>
    <w:rsid w:val="00C166F9"/>
    <w:rsid w:val="00C17097"/>
    <w:rsid w:val="00C179F7"/>
    <w:rsid w:val="00C17A37"/>
    <w:rsid w:val="00C200F7"/>
    <w:rsid w:val="00C206EB"/>
    <w:rsid w:val="00C209DF"/>
    <w:rsid w:val="00C21058"/>
    <w:rsid w:val="00C21104"/>
    <w:rsid w:val="00C217BA"/>
    <w:rsid w:val="00C21ABF"/>
    <w:rsid w:val="00C22942"/>
    <w:rsid w:val="00C229EC"/>
    <w:rsid w:val="00C22F96"/>
    <w:rsid w:val="00C24190"/>
    <w:rsid w:val="00C24351"/>
    <w:rsid w:val="00C247BD"/>
    <w:rsid w:val="00C25E2E"/>
    <w:rsid w:val="00C25F02"/>
    <w:rsid w:val="00C268CF"/>
    <w:rsid w:val="00C26D09"/>
    <w:rsid w:val="00C273DE"/>
    <w:rsid w:val="00C2764E"/>
    <w:rsid w:val="00C305AE"/>
    <w:rsid w:val="00C307A8"/>
    <w:rsid w:val="00C30E83"/>
    <w:rsid w:val="00C31267"/>
    <w:rsid w:val="00C33130"/>
    <w:rsid w:val="00C334F9"/>
    <w:rsid w:val="00C3468B"/>
    <w:rsid w:val="00C34A2C"/>
    <w:rsid w:val="00C359BC"/>
    <w:rsid w:val="00C35BF2"/>
    <w:rsid w:val="00C35F99"/>
    <w:rsid w:val="00C3622D"/>
    <w:rsid w:val="00C37044"/>
    <w:rsid w:val="00C3731B"/>
    <w:rsid w:val="00C374B5"/>
    <w:rsid w:val="00C374C9"/>
    <w:rsid w:val="00C37D45"/>
    <w:rsid w:val="00C40D94"/>
    <w:rsid w:val="00C411BC"/>
    <w:rsid w:val="00C427E9"/>
    <w:rsid w:val="00C429E3"/>
    <w:rsid w:val="00C42A4D"/>
    <w:rsid w:val="00C42BDE"/>
    <w:rsid w:val="00C43707"/>
    <w:rsid w:val="00C43C9E"/>
    <w:rsid w:val="00C46F57"/>
    <w:rsid w:val="00C476FD"/>
    <w:rsid w:val="00C50A28"/>
    <w:rsid w:val="00C51B7C"/>
    <w:rsid w:val="00C51C29"/>
    <w:rsid w:val="00C52025"/>
    <w:rsid w:val="00C52A81"/>
    <w:rsid w:val="00C53EFD"/>
    <w:rsid w:val="00C5433E"/>
    <w:rsid w:val="00C54C3D"/>
    <w:rsid w:val="00C54D83"/>
    <w:rsid w:val="00C55103"/>
    <w:rsid w:val="00C553B5"/>
    <w:rsid w:val="00C55D5C"/>
    <w:rsid w:val="00C60540"/>
    <w:rsid w:val="00C60EE9"/>
    <w:rsid w:val="00C62F85"/>
    <w:rsid w:val="00C63C71"/>
    <w:rsid w:val="00C6435B"/>
    <w:rsid w:val="00C64827"/>
    <w:rsid w:val="00C649B2"/>
    <w:rsid w:val="00C65179"/>
    <w:rsid w:val="00C65929"/>
    <w:rsid w:val="00C67138"/>
    <w:rsid w:val="00C671B3"/>
    <w:rsid w:val="00C67698"/>
    <w:rsid w:val="00C701B3"/>
    <w:rsid w:val="00C706A5"/>
    <w:rsid w:val="00C70A4B"/>
    <w:rsid w:val="00C70D15"/>
    <w:rsid w:val="00C71138"/>
    <w:rsid w:val="00C714B3"/>
    <w:rsid w:val="00C72080"/>
    <w:rsid w:val="00C72318"/>
    <w:rsid w:val="00C72E31"/>
    <w:rsid w:val="00C73AF1"/>
    <w:rsid w:val="00C73C35"/>
    <w:rsid w:val="00C744C3"/>
    <w:rsid w:val="00C7475A"/>
    <w:rsid w:val="00C7506F"/>
    <w:rsid w:val="00C76249"/>
    <w:rsid w:val="00C77FF2"/>
    <w:rsid w:val="00C80E65"/>
    <w:rsid w:val="00C814E3"/>
    <w:rsid w:val="00C823BD"/>
    <w:rsid w:val="00C82FA2"/>
    <w:rsid w:val="00C85227"/>
    <w:rsid w:val="00C85D85"/>
    <w:rsid w:val="00C85F79"/>
    <w:rsid w:val="00C872A0"/>
    <w:rsid w:val="00C87EFC"/>
    <w:rsid w:val="00C900C9"/>
    <w:rsid w:val="00C91677"/>
    <w:rsid w:val="00C91CD1"/>
    <w:rsid w:val="00C929CE"/>
    <w:rsid w:val="00C93527"/>
    <w:rsid w:val="00C93EAA"/>
    <w:rsid w:val="00C93FD8"/>
    <w:rsid w:val="00C94453"/>
    <w:rsid w:val="00C94A80"/>
    <w:rsid w:val="00C94E38"/>
    <w:rsid w:val="00C94F63"/>
    <w:rsid w:val="00C95A6B"/>
    <w:rsid w:val="00C95C1F"/>
    <w:rsid w:val="00C968CC"/>
    <w:rsid w:val="00C96A63"/>
    <w:rsid w:val="00C96AEA"/>
    <w:rsid w:val="00C96B1D"/>
    <w:rsid w:val="00C976F1"/>
    <w:rsid w:val="00C97B9F"/>
    <w:rsid w:val="00CA482A"/>
    <w:rsid w:val="00CA49CC"/>
    <w:rsid w:val="00CA51B4"/>
    <w:rsid w:val="00CA5870"/>
    <w:rsid w:val="00CA6364"/>
    <w:rsid w:val="00CA6989"/>
    <w:rsid w:val="00CA6DED"/>
    <w:rsid w:val="00CA6F5A"/>
    <w:rsid w:val="00CA6F70"/>
    <w:rsid w:val="00CA71DA"/>
    <w:rsid w:val="00CA7EF6"/>
    <w:rsid w:val="00CB00C5"/>
    <w:rsid w:val="00CB07BB"/>
    <w:rsid w:val="00CB09C6"/>
    <w:rsid w:val="00CB1696"/>
    <w:rsid w:val="00CB2019"/>
    <w:rsid w:val="00CB2C1A"/>
    <w:rsid w:val="00CB3616"/>
    <w:rsid w:val="00CB3C08"/>
    <w:rsid w:val="00CB3CA9"/>
    <w:rsid w:val="00CB45B8"/>
    <w:rsid w:val="00CB53F3"/>
    <w:rsid w:val="00CB592A"/>
    <w:rsid w:val="00CB5DC1"/>
    <w:rsid w:val="00CB6356"/>
    <w:rsid w:val="00CB6AA0"/>
    <w:rsid w:val="00CB76EA"/>
    <w:rsid w:val="00CB773A"/>
    <w:rsid w:val="00CB7864"/>
    <w:rsid w:val="00CB7BC2"/>
    <w:rsid w:val="00CC30D7"/>
    <w:rsid w:val="00CC3DB6"/>
    <w:rsid w:val="00CC4490"/>
    <w:rsid w:val="00CC555C"/>
    <w:rsid w:val="00CC5917"/>
    <w:rsid w:val="00CC616C"/>
    <w:rsid w:val="00CC665B"/>
    <w:rsid w:val="00CC6785"/>
    <w:rsid w:val="00CC68C5"/>
    <w:rsid w:val="00CC77E4"/>
    <w:rsid w:val="00CD00FA"/>
    <w:rsid w:val="00CD1559"/>
    <w:rsid w:val="00CD1E97"/>
    <w:rsid w:val="00CD1F91"/>
    <w:rsid w:val="00CD259B"/>
    <w:rsid w:val="00CD2800"/>
    <w:rsid w:val="00CD3A9A"/>
    <w:rsid w:val="00CD3C0D"/>
    <w:rsid w:val="00CD4181"/>
    <w:rsid w:val="00CD4585"/>
    <w:rsid w:val="00CD5F53"/>
    <w:rsid w:val="00CD7B38"/>
    <w:rsid w:val="00CE003E"/>
    <w:rsid w:val="00CE05B0"/>
    <w:rsid w:val="00CE0A3F"/>
    <w:rsid w:val="00CE24DD"/>
    <w:rsid w:val="00CE25B4"/>
    <w:rsid w:val="00CE27F5"/>
    <w:rsid w:val="00CE2B11"/>
    <w:rsid w:val="00CE2D73"/>
    <w:rsid w:val="00CE3AEF"/>
    <w:rsid w:val="00CE443B"/>
    <w:rsid w:val="00CE4D13"/>
    <w:rsid w:val="00CE5396"/>
    <w:rsid w:val="00CE555C"/>
    <w:rsid w:val="00CE6C38"/>
    <w:rsid w:val="00CE7872"/>
    <w:rsid w:val="00CF0017"/>
    <w:rsid w:val="00CF0163"/>
    <w:rsid w:val="00CF085E"/>
    <w:rsid w:val="00CF09A5"/>
    <w:rsid w:val="00CF10DF"/>
    <w:rsid w:val="00CF2D3B"/>
    <w:rsid w:val="00CF3082"/>
    <w:rsid w:val="00CF3268"/>
    <w:rsid w:val="00CF3541"/>
    <w:rsid w:val="00CF38B5"/>
    <w:rsid w:val="00CF489B"/>
    <w:rsid w:val="00CF490A"/>
    <w:rsid w:val="00CF5E47"/>
    <w:rsid w:val="00CF6BB4"/>
    <w:rsid w:val="00CF6E6C"/>
    <w:rsid w:val="00CF6E70"/>
    <w:rsid w:val="00CF7444"/>
    <w:rsid w:val="00CF7B93"/>
    <w:rsid w:val="00D002B7"/>
    <w:rsid w:val="00D00FB0"/>
    <w:rsid w:val="00D02970"/>
    <w:rsid w:val="00D035C0"/>
    <w:rsid w:val="00D039D9"/>
    <w:rsid w:val="00D039E6"/>
    <w:rsid w:val="00D03E2E"/>
    <w:rsid w:val="00D04545"/>
    <w:rsid w:val="00D04DAB"/>
    <w:rsid w:val="00D05034"/>
    <w:rsid w:val="00D05527"/>
    <w:rsid w:val="00D05A1E"/>
    <w:rsid w:val="00D05E8E"/>
    <w:rsid w:val="00D063DF"/>
    <w:rsid w:val="00D0784E"/>
    <w:rsid w:val="00D1034E"/>
    <w:rsid w:val="00D1059C"/>
    <w:rsid w:val="00D106D7"/>
    <w:rsid w:val="00D10EF1"/>
    <w:rsid w:val="00D1103E"/>
    <w:rsid w:val="00D1110F"/>
    <w:rsid w:val="00D113DE"/>
    <w:rsid w:val="00D11897"/>
    <w:rsid w:val="00D11FA6"/>
    <w:rsid w:val="00D12F92"/>
    <w:rsid w:val="00D13322"/>
    <w:rsid w:val="00D138F5"/>
    <w:rsid w:val="00D139C9"/>
    <w:rsid w:val="00D13A57"/>
    <w:rsid w:val="00D13B8F"/>
    <w:rsid w:val="00D13E89"/>
    <w:rsid w:val="00D141C7"/>
    <w:rsid w:val="00D148C8"/>
    <w:rsid w:val="00D15374"/>
    <w:rsid w:val="00D16D05"/>
    <w:rsid w:val="00D16EF0"/>
    <w:rsid w:val="00D16EF9"/>
    <w:rsid w:val="00D17130"/>
    <w:rsid w:val="00D17758"/>
    <w:rsid w:val="00D17965"/>
    <w:rsid w:val="00D20556"/>
    <w:rsid w:val="00D21428"/>
    <w:rsid w:val="00D21783"/>
    <w:rsid w:val="00D2225D"/>
    <w:rsid w:val="00D22459"/>
    <w:rsid w:val="00D22485"/>
    <w:rsid w:val="00D22CE6"/>
    <w:rsid w:val="00D2326A"/>
    <w:rsid w:val="00D23E6D"/>
    <w:rsid w:val="00D23F6C"/>
    <w:rsid w:val="00D243B7"/>
    <w:rsid w:val="00D24C8C"/>
    <w:rsid w:val="00D25B22"/>
    <w:rsid w:val="00D268A1"/>
    <w:rsid w:val="00D26D39"/>
    <w:rsid w:val="00D30078"/>
    <w:rsid w:val="00D30207"/>
    <w:rsid w:val="00D302B4"/>
    <w:rsid w:val="00D31513"/>
    <w:rsid w:val="00D31987"/>
    <w:rsid w:val="00D319FE"/>
    <w:rsid w:val="00D323D1"/>
    <w:rsid w:val="00D326DA"/>
    <w:rsid w:val="00D33B2C"/>
    <w:rsid w:val="00D33BC0"/>
    <w:rsid w:val="00D33DDC"/>
    <w:rsid w:val="00D3402F"/>
    <w:rsid w:val="00D34415"/>
    <w:rsid w:val="00D3592B"/>
    <w:rsid w:val="00D35989"/>
    <w:rsid w:val="00D35B9B"/>
    <w:rsid w:val="00D35EAD"/>
    <w:rsid w:val="00D37DFB"/>
    <w:rsid w:val="00D40078"/>
    <w:rsid w:val="00D4022D"/>
    <w:rsid w:val="00D414F5"/>
    <w:rsid w:val="00D41CA0"/>
    <w:rsid w:val="00D41F51"/>
    <w:rsid w:val="00D42E22"/>
    <w:rsid w:val="00D43872"/>
    <w:rsid w:val="00D454E7"/>
    <w:rsid w:val="00D45527"/>
    <w:rsid w:val="00D46097"/>
    <w:rsid w:val="00D46521"/>
    <w:rsid w:val="00D47E28"/>
    <w:rsid w:val="00D517D0"/>
    <w:rsid w:val="00D523EB"/>
    <w:rsid w:val="00D52D57"/>
    <w:rsid w:val="00D53275"/>
    <w:rsid w:val="00D54358"/>
    <w:rsid w:val="00D54562"/>
    <w:rsid w:val="00D548B4"/>
    <w:rsid w:val="00D5512F"/>
    <w:rsid w:val="00D553C6"/>
    <w:rsid w:val="00D554E1"/>
    <w:rsid w:val="00D55501"/>
    <w:rsid w:val="00D5577E"/>
    <w:rsid w:val="00D55F1F"/>
    <w:rsid w:val="00D5614A"/>
    <w:rsid w:val="00D563AD"/>
    <w:rsid w:val="00D564E9"/>
    <w:rsid w:val="00D5679E"/>
    <w:rsid w:val="00D567AA"/>
    <w:rsid w:val="00D56FFA"/>
    <w:rsid w:val="00D57F34"/>
    <w:rsid w:val="00D604DA"/>
    <w:rsid w:val="00D61E66"/>
    <w:rsid w:val="00D61F21"/>
    <w:rsid w:val="00D62952"/>
    <w:rsid w:val="00D62B1A"/>
    <w:rsid w:val="00D6316F"/>
    <w:rsid w:val="00D63E9A"/>
    <w:rsid w:val="00D641F8"/>
    <w:rsid w:val="00D64A9F"/>
    <w:rsid w:val="00D66AE3"/>
    <w:rsid w:val="00D67390"/>
    <w:rsid w:val="00D673AA"/>
    <w:rsid w:val="00D70BAF"/>
    <w:rsid w:val="00D713A0"/>
    <w:rsid w:val="00D7152A"/>
    <w:rsid w:val="00D720AD"/>
    <w:rsid w:val="00D7233D"/>
    <w:rsid w:val="00D724DC"/>
    <w:rsid w:val="00D72738"/>
    <w:rsid w:val="00D72CF7"/>
    <w:rsid w:val="00D741FC"/>
    <w:rsid w:val="00D7524D"/>
    <w:rsid w:val="00D75C4F"/>
    <w:rsid w:val="00D7636E"/>
    <w:rsid w:val="00D768F3"/>
    <w:rsid w:val="00D76CA5"/>
    <w:rsid w:val="00D76ED3"/>
    <w:rsid w:val="00D77DC1"/>
    <w:rsid w:val="00D77E85"/>
    <w:rsid w:val="00D77F27"/>
    <w:rsid w:val="00D80A2B"/>
    <w:rsid w:val="00D80D6A"/>
    <w:rsid w:val="00D81170"/>
    <w:rsid w:val="00D81D1D"/>
    <w:rsid w:val="00D83DDB"/>
    <w:rsid w:val="00D84084"/>
    <w:rsid w:val="00D8421B"/>
    <w:rsid w:val="00D84AA2"/>
    <w:rsid w:val="00D84BF3"/>
    <w:rsid w:val="00D85054"/>
    <w:rsid w:val="00D851B0"/>
    <w:rsid w:val="00D85FE2"/>
    <w:rsid w:val="00D90594"/>
    <w:rsid w:val="00D90AA2"/>
    <w:rsid w:val="00D90C0D"/>
    <w:rsid w:val="00D91048"/>
    <w:rsid w:val="00D9112C"/>
    <w:rsid w:val="00D92B4D"/>
    <w:rsid w:val="00D93334"/>
    <w:rsid w:val="00D93A63"/>
    <w:rsid w:val="00D93D3C"/>
    <w:rsid w:val="00D93D73"/>
    <w:rsid w:val="00D93EB1"/>
    <w:rsid w:val="00D9452B"/>
    <w:rsid w:val="00D94ADC"/>
    <w:rsid w:val="00D96AB7"/>
    <w:rsid w:val="00D9730C"/>
    <w:rsid w:val="00D977C8"/>
    <w:rsid w:val="00DA00B8"/>
    <w:rsid w:val="00DA15A2"/>
    <w:rsid w:val="00DA1780"/>
    <w:rsid w:val="00DA244B"/>
    <w:rsid w:val="00DA3198"/>
    <w:rsid w:val="00DA380F"/>
    <w:rsid w:val="00DA3867"/>
    <w:rsid w:val="00DA3E9A"/>
    <w:rsid w:val="00DA4DBD"/>
    <w:rsid w:val="00DA60E1"/>
    <w:rsid w:val="00DA65F6"/>
    <w:rsid w:val="00DA6C7F"/>
    <w:rsid w:val="00DA6F31"/>
    <w:rsid w:val="00DA706E"/>
    <w:rsid w:val="00DA7137"/>
    <w:rsid w:val="00DA786A"/>
    <w:rsid w:val="00DA7D1B"/>
    <w:rsid w:val="00DB03ED"/>
    <w:rsid w:val="00DB06E9"/>
    <w:rsid w:val="00DB0E7C"/>
    <w:rsid w:val="00DB181D"/>
    <w:rsid w:val="00DB1B17"/>
    <w:rsid w:val="00DB1EDB"/>
    <w:rsid w:val="00DB210F"/>
    <w:rsid w:val="00DB220A"/>
    <w:rsid w:val="00DB2DBE"/>
    <w:rsid w:val="00DB32DE"/>
    <w:rsid w:val="00DB49B6"/>
    <w:rsid w:val="00DB5B40"/>
    <w:rsid w:val="00DB6DA6"/>
    <w:rsid w:val="00DC055B"/>
    <w:rsid w:val="00DC1302"/>
    <w:rsid w:val="00DC13E1"/>
    <w:rsid w:val="00DC1E47"/>
    <w:rsid w:val="00DC2397"/>
    <w:rsid w:val="00DC2BEF"/>
    <w:rsid w:val="00DC304F"/>
    <w:rsid w:val="00DC3545"/>
    <w:rsid w:val="00DC364B"/>
    <w:rsid w:val="00DC4B35"/>
    <w:rsid w:val="00DC4FBE"/>
    <w:rsid w:val="00DC5836"/>
    <w:rsid w:val="00DC5A31"/>
    <w:rsid w:val="00DC676B"/>
    <w:rsid w:val="00DD2026"/>
    <w:rsid w:val="00DD2648"/>
    <w:rsid w:val="00DD267B"/>
    <w:rsid w:val="00DD2A1E"/>
    <w:rsid w:val="00DD2A77"/>
    <w:rsid w:val="00DD5AD6"/>
    <w:rsid w:val="00DD6FD9"/>
    <w:rsid w:val="00DD79E3"/>
    <w:rsid w:val="00DE048F"/>
    <w:rsid w:val="00DE1206"/>
    <w:rsid w:val="00DE215D"/>
    <w:rsid w:val="00DE3C99"/>
    <w:rsid w:val="00DE4509"/>
    <w:rsid w:val="00DE491D"/>
    <w:rsid w:val="00DE552A"/>
    <w:rsid w:val="00DE58D7"/>
    <w:rsid w:val="00DE5A78"/>
    <w:rsid w:val="00DE5D94"/>
    <w:rsid w:val="00DE7FFC"/>
    <w:rsid w:val="00DF0119"/>
    <w:rsid w:val="00DF0528"/>
    <w:rsid w:val="00DF171F"/>
    <w:rsid w:val="00DF17F9"/>
    <w:rsid w:val="00DF1AB3"/>
    <w:rsid w:val="00DF1AB5"/>
    <w:rsid w:val="00DF221E"/>
    <w:rsid w:val="00DF2CD3"/>
    <w:rsid w:val="00DF369E"/>
    <w:rsid w:val="00DF62C2"/>
    <w:rsid w:val="00DF62E2"/>
    <w:rsid w:val="00DF7BAF"/>
    <w:rsid w:val="00E0008D"/>
    <w:rsid w:val="00E001C4"/>
    <w:rsid w:val="00E009EE"/>
    <w:rsid w:val="00E00A82"/>
    <w:rsid w:val="00E00CDF"/>
    <w:rsid w:val="00E0120D"/>
    <w:rsid w:val="00E01521"/>
    <w:rsid w:val="00E016C4"/>
    <w:rsid w:val="00E01FA1"/>
    <w:rsid w:val="00E0246A"/>
    <w:rsid w:val="00E02A34"/>
    <w:rsid w:val="00E02D6C"/>
    <w:rsid w:val="00E0305C"/>
    <w:rsid w:val="00E030B1"/>
    <w:rsid w:val="00E03768"/>
    <w:rsid w:val="00E03B67"/>
    <w:rsid w:val="00E040F3"/>
    <w:rsid w:val="00E0420B"/>
    <w:rsid w:val="00E042F5"/>
    <w:rsid w:val="00E04B1F"/>
    <w:rsid w:val="00E061AE"/>
    <w:rsid w:val="00E07170"/>
    <w:rsid w:val="00E0719F"/>
    <w:rsid w:val="00E07465"/>
    <w:rsid w:val="00E07518"/>
    <w:rsid w:val="00E10FE2"/>
    <w:rsid w:val="00E1107E"/>
    <w:rsid w:val="00E11853"/>
    <w:rsid w:val="00E11BB7"/>
    <w:rsid w:val="00E11D10"/>
    <w:rsid w:val="00E11EBD"/>
    <w:rsid w:val="00E13405"/>
    <w:rsid w:val="00E1447C"/>
    <w:rsid w:val="00E1484A"/>
    <w:rsid w:val="00E14C9D"/>
    <w:rsid w:val="00E14DE9"/>
    <w:rsid w:val="00E1512A"/>
    <w:rsid w:val="00E159E6"/>
    <w:rsid w:val="00E163A1"/>
    <w:rsid w:val="00E16B60"/>
    <w:rsid w:val="00E16DF8"/>
    <w:rsid w:val="00E16EEC"/>
    <w:rsid w:val="00E1715A"/>
    <w:rsid w:val="00E1782F"/>
    <w:rsid w:val="00E1790A"/>
    <w:rsid w:val="00E204D1"/>
    <w:rsid w:val="00E2206C"/>
    <w:rsid w:val="00E22192"/>
    <w:rsid w:val="00E2224C"/>
    <w:rsid w:val="00E2269E"/>
    <w:rsid w:val="00E234D4"/>
    <w:rsid w:val="00E23C5E"/>
    <w:rsid w:val="00E25030"/>
    <w:rsid w:val="00E265E4"/>
    <w:rsid w:val="00E27CA7"/>
    <w:rsid w:val="00E27EA5"/>
    <w:rsid w:val="00E3029E"/>
    <w:rsid w:val="00E30F1C"/>
    <w:rsid w:val="00E31407"/>
    <w:rsid w:val="00E31BAB"/>
    <w:rsid w:val="00E31E48"/>
    <w:rsid w:val="00E32127"/>
    <w:rsid w:val="00E3351C"/>
    <w:rsid w:val="00E33A89"/>
    <w:rsid w:val="00E3427F"/>
    <w:rsid w:val="00E34506"/>
    <w:rsid w:val="00E345E9"/>
    <w:rsid w:val="00E36F48"/>
    <w:rsid w:val="00E402B8"/>
    <w:rsid w:val="00E40EFD"/>
    <w:rsid w:val="00E41784"/>
    <w:rsid w:val="00E41794"/>
    <w:rsid w:val="00E41992"/>
    <w:rsid w:val="00E41E05"/>
    <w:rsid w:val="00E41E0C"/>
    <w:rsid w:val="00E42A8D"/>
    <w:rsid w:val="00E4386C"/>
    <w:rsid w:val="00E44128"/>
    <w:rsid w:val="00E442A1"/>
    <w:rsid w:val="00E443E4"/>
    <w:rsid w:val="00E44723"/>
    <w:rsid w:val="00E45315"/>
    <w:rsid w:val="00E45773"/>
    <w:rsid w:val="00E461FA"/>
    <w:rsid w:val="00E46677"/>
    <w:rsid w:val="00E477A6"/>
    <w:rsid w:val="00E47D6F"/>
    <w:rsid w:val="00E50D58"/>
    <w:rsid w:val="00E5131F"/>
    <w:rsid w:val="00E5224B"/>
    <w:rsid w:val="00E522A7"/>
    <w:rsid w:val="00E531E7"/>
    <w:rsid w:val="00E53AD3"/>
    <w:rsid w:val="00E543BB"/>
    <w:rsid w:val="00E548A2"/>
    <w:rsid w:val="00E555EA"/>
    <w:rsid w:val="00E556A6"/>
    <w:rsid w:val="00E55C95"/>
    <w:rsid w:val="00E55FB3"/>
    <w:rsid w:val="00E56009"/>
    <w:rsid w:val="00E56675"/>
    <w:rsid w:val="00E571CC"/>
    <w:rsid w:val="00E57400"/>
    <w:rsid w:val="00E60F25"/>
    <w:rsid w:val="00E619E4"/>
    <w:rsid w:val="00E61B27"/>
    <w:rsid w:val="00E627F6"/>
    <w:rsid w:val="00E62E41"/>
    <w:rsid w:val="00E638BD"/>
    <w:rsid w:val="00E640FA"/>
    <w:rsid w:val="00E6452D"/>
    <w:rsid w:val="00E6458A"/>
    <w:rsid w:val="00E66872"/>
    <w:rsid w:val="00E67510"/>
    <w:rsid w:val="00E67EE4"/>
    <w:rsid w:val="00E7052B"/>
    <w:rsid w:val="00E707EF"/>
    <w:rsid w:val="00E709DF"/>
    <w:rsid w:val="00E70D2A"/>
    <w:rsid w:val="00E70FF3"/>
    <w:rsid w:val="00E7109F"/>
    <w:rsid w:val="00E71175"/>
    <w:rsid w:val="00E7128A"/>
    <w:rsid w:val="00E729D8"/>
    <w:rsid w:val="00E72FB5"/>
    <w:rsid w:val="00E73938"/>
    <w:rsid w:val="00E74131"/>
    <w:rsid w:val="00E74794"/>
    <w:rsid w:val="00E748EB"/>
    <w:rsid w:val="00E74ADC"/>
    <w:rsid w:val="00E74D5A"/>
    <w:rsid w:val="00E75627"/>
    <w:rsid w:val="00E7611D"/>
    <w:rsid w:val="00E7678D"/>
    <w:rsid w:val="00E772C0"/>
    <w:rsid w:val="00E81D69"/>
    <w:rsid w:val="00E8457A"/>
    <w:rsid w:val="00E85462"/>
    <w:rsid w:val="00E85929"/>
    <w:rsid w:val="00E865C9"/>
    <w:rsid w:val="00E8680D"/>
    <w:rsid w:val="00E870DB"/>
    <w:rsid w:val="00E87A30"/>
    <w:rsid w:val="00E87D24"/>
    <w:rsid w:val="00E905BD"/>
    <w:rsid w:val="00E9062C"/>
    <w:rsid w:val="00E90BFC"/>
    <w:rsid w:val="00E91699"/>
    <w:rsid w:val="00E916F1"/>
    <w:rsid w:val="00E92BE9"/>
    <w:rsid w:val="00E92F9F"/>
    <w:rsid w:val="00E9347F"/>
    <w:rsid w:val="00E94716"/>
    <w:rsid w:val="00E9473C"/>
    <w:rsid w:val="00E94AC2"/>
    <w:rsid w:val="00E94CCB"/>
    <w:rsid w:val="00E95525"/>
    <w:rsid w:val="00E959B3"/>
    <w:rsid w:val="00E959E8"/>
    <w:rsid w:val="00E96060"/>
    <w:rsid w:val="00E96427"/>
    <w:rsid w:val="00E96E14"/>
    <w:rsid w:val="00E9702D"/>
    <w:rsid w:val="00E974FA"/>
    <w:rsid w:val="00E97A41"/>
    <w:rsid w:val="00EA0137"/>
    <w:rsid w:val="00EA1D6D"/>
    <w:rsid w:val="00EA1EEC"/>
    <w:rsid w:val="00EA2018"/>
    <w:rsid w:val="00EA205A"/>
    <w:rsid w:val="00EA3083"/>
    <w:rsid w:val="00EA3825"/>
    <w:rsid w:val="00EA3C3C"/>
    <w:rsid w:val="00EA4C22"/>
    <w:rsid w:val="00EA5580"/>
    <w:rsid w:val="00EA57D0"/>
    <w:rsid w:val="00EA7737"/>
    <w:rsid w:val="00EA79FB"/>
    <w:rsid w:val="00EB0609"/>
    <w:rsid w:val="00EB078A"/>
    <w:rsid w:val="00EB0D9D"/>
    <w:rsid w:val="00EB1F10"/>
    <w:rsid w:val="00EB284E"/>
    <w:rsid w:val="00EB2A0A"/>
    <w:rsid w:val="00EB2DD9"/>
    <w:rsid w:val="00EB2F99"/>
    <w:rsid w:val="00EB2FF9"/>
    <w:rsid w:val="00EB35F3"/>
    <w:rsid w:val="00EB3FFD"/>
    <w:rsid w:val="00EB409B"/>
    <w:rsid w:val="00EB41C4"/>
    <w:rsid w:val="00EB4313"/>
    <w:rsid w:val="00EB5488"/>
    <w:rsid w:val="00EB54B3"/>
    <w:rsid w:val="00EB5745"/>
    <w:rsid w:val="00EB5E7C"/>
    <w:rsid w:val="00EB61C0"/>
    <w:rsid w:val="00EB676E"/>
    <w:rsid w:val="00EB68B6"/>
    <w:rsid w:val="00EB6BE8"/>
    <w:rsid w:val="00EB6C77"/>
    <w:rsid w:val="00EB7213"/>
    <w:rsid w:val="00EB752B"/>
    <w:rsid w:val="00EC04CA"/>
    <w:rsid w:val="00EC0C5E"/>
    <w:rsid w:val="00EC1BE7"/>
    <w:rsid w:val="00EC1D43"/>
    <w:rsid w:val="00EC2700"/>
    <w:rsid w:val="00EC3105"/>
    <w:rsid w:val="00EC34C5"/>
    <w:rsid w:val="00EC42FA"/>
    <w:rsid w:val="00EC4A64"/>
    <w:rsid w:val="00EC539C"/>
    <w:rsid w:val="00EC5534"/>
    <w:rsid w:val="00EC578A"/>
    <w:rsid w:val="00EC6555"/>
    <w:rsid w:val="00EC6CF7"/>
    <w:rsid w:val="00EC6F5C"/>
    <w:rsid w:val="00EC7546"/>
    <w:rsid w:val="00EC75B2"/>
    <w:rsid w:val="00EC7956"/>
    <w:rsid w:val="00ED0791"/>
    <w:rsid w:val="00ED0ED5"/>
    <w:rsid w:val="00ED1517"/>
    <w:rsid w:val="00ED2CEA"/>
    <w:rsid w:val="00ED2D7A"/>
    <w:rsid w:val="00ED2D83"/>
    <w:rsid w:val="00ED3373"/>
    <w:rsid w:val="00ED602D"/>
    <w:rsid w:val="00ED6B8F"/>
    <w:rsid w:val="00ED6E53"/>
    <w:rsid w:val="00ED7023"/>
    <w:rsid w:val="00ED71A4"/>
    <w:rsid w:val="00EE0397"/>
    <w:rsid w:val="00EE0655"/>
    <w:rsid w:val="00EE0EB8"/>
    <w:rsid w:val="00EE1923"/>
    <w:rsid w:val="00EE3490"/>
    <w:rsid w:val="00EE43E3"/>
    <w:rsid w:val="00EE571A"/>
    <w:rsid w:val="00EE7131"/>
    <w:rsid w:val="00EE7955"/>
    <w:rsid w:val="00EF0475"/>
    <w:rsid w:val="00EF136E"/>
    <w:rsid w:val="00EF1E54"/>
    <w:rsid w:val="00EF24E6"/>
    <w:rsid w:val="00EF2C03"/>
    <w:rsid w:val="00EF2FA6"/>
    <w:rsid w:val="00EF2FFA"/>
    <w:rsid w:val="00EF3BCC"/>
    <w:rsid w:val="00EF4D2C"/>
    <w:rsid w:val="00EF59EE"/>
    <w:rsid w:val="00EF5A96"/>
    <w:rsid w:val="00EF7277"/>
    <w:rsid w:val="00EF772F"/>
    <w:rsid w:val="00F01210"/>
    <w:rsid w:val="00F017F1"/>
    <w:rsid w:val="00F02D27"/>
    <w:rsid w:val="00F04758"/>
    <w:rsid w:val="00F05015"/>
    <w:rsid w:val="00F061C4"/>
    <w:rsid w:val="00F06A6A"/>
    <w:rsid w:val="00F06B39"/>
    <w:rsid w:val="00F06F28"/>
    <w:rsid w:val="00F07166"/>
    <w:rsid w:val="00F078CD"/>
    <w:rsid w:val="00F07C41"/>
    <w:rsid w:val="00F1080E"/>
    <w:rsid w:val="00F10829"/>
    <w:rsid w:val="00F109BA"/>
    <w:rsid w:val="00F11462"/>
    <w:rsid w:val="00F119B5"/>
    <w:rsid w:val="00F12B69"/>
    <w:rsid w:val="00F1342A"/>
    <w:rsid w:val="00F16758"/>
    <w:rsid w:val="00F16893"/>
    <w:rsid w:val="00F16BDC"/>
    <w:rsid w:val="00F17B9D"/>
    <w:rsid w:val="00F201E7"/>
    <w:rsid w:val="00F20644"/>
    <w:rsid w:val="00F20E5B"/>
    <w:rsid w:val="00F21FD0"/>
    <w:rsid w:val="00F2296F"/>
    <w:rsid w:val="00F23039"/>
    <w:rsid w:val="00F24882"/>
    <w:rsid w:val="00F24E95"/>
    <w:rsid w:val="00F27A8A"/>
    <w:rsid w:val="00F27B9C"/>
    <w:rsid w:val="00F30A01"/>
    <w:rsid w:val="00F33CBB"/>
    <w:rsid w:val="00F34F90"/>
    <w:rsid w:val="00F35575"/>
    <w:rsid w:val="00F3570E"/>
    <w:rsid w:val="00F35DBC"/>
    <w:rsid w:val="00F3620D"/>
    <w:rsid w:val="00F3635D"/>
    <w:rsid w:val="00F372EB"/>
    <w:rsid w:val="00F37379"/>
    <w:rsid w:val="00F37422"/>
    <w:rsid w:val="00F37E61"/>
    <w:rsid w:val="00F406EF"/>
    <w:rsid w:val="00F409B1"/>
    <w:rsid w:val="00F40FCE"/>
    <w:rsid w:val="00F40FEE"/>
    <w:rsid w:val="00F41B9B"/>
    <w:rsid w:val="00F430E6"/>
    <w:rsid w:val="00F43C7B"/>
    <w:rsid w:val="00F44BD0"/>
    <w:rsid w:val="00F44CD1"/>
    <w:rsid w:val="00F4574D"/>
    <w:rsid w:val="00F45B53"/>
    <w:rsid w:val="00F45C72"/>
    <w:rsid w:val="00F45E1C"/>
    <w:rsid w:val="00F469DA"/>
    <w:rsid w:val="00F46B8D"/>
    <w:rsid w:val="00F47656"/>
    <w:rsid w:val="00F477FE"/>
    <w:rsid w:val="00F50003"/>
    <w:rsid w:val="00F50CB9"/>
    <w:rsid w:val="00F52F0C"/>
    <w:rsid w:val="00F53CD4"/>
    <w:rsid w:val="00F5423D"/>
    <w:rsid w:val="00F556FF"/>
    <w:rsid w:val="00F56124"/>
    <w:rsid w:val="00F566D3"/>
    <w:rsid w:val="00F5750F"/>
    <w:rsid w:val="00F57895"/>
    <w:rsid w:val="00F6021D"/>
    <w:rsid w:val="00F60885"/>
    <w:rsid w:val="00F60DDE"/>
    <w:rsid w:val="00F61D79"/>
    <w:rsid w:val="00F625E1"/>
    <w:rsid w:val="00F6278E"/>
    <w:rsid w:val="00F628B0"/>
    <w:rsid w:val="00F62B6E"/>
    <w:rsid w:val="00F62D83"/>
    <w:rsid w:val="00F64A96"/>
    <w:rsid w:val="00F65398"/>
    <w:rsid w:val="00F654BE"/>
    <w:rsid w:val="00F656E6"/>
    <w:rsid w:val="00F65948"/>
    <w:rsid w:val="00F65FAF"/>
    <w:rsid w:val="00F66008"/>
    <w:rsid w:val="00F663A6"/>
    <w:rsid w:val="00F66680"/>
    <w:rsid w:val="00F66C28"/>
    <w:rsid w:val="00F66E42"/>
    <w:rsid w:val="00F671C6"/>
    <w:rsid w:val="00F6757F"/>
    <w:rsid w:val="00F70F2A"/>
    <w:rsid w:val="00F70FE5"/>
    <w:rsid w:val="00F71ED3"/>
    <w:rsid w:val="00F727CB"/>
    <w:rsid w:val="00F72E0B"/>
    <w:rsid w:val="00F733C9"/>
    <w:rsid w:val="00F749AF"/>
    <w:rsid w:val="00F752D4"/>
    <w:rsid w:val="00F766B2"/>
    <w:rsid w:val="00F76B9D"/>
    <w:rsid w:val="00F77135"/>
    <w:rsid w:val="00F771F1"/>
    <w:rsid w:val="00F80338"/>
    <w:rsid w:val="00F80F35"/>
    <w:rsid w:val="00F811D5"/>
    <w:rsid w:val="00F81337"/>
    <w:rsid w:val="00F81E59"/>
    <w:rsid w:val="00F826E8"/>
    <w:rsid w:val="00F82FA0"/>
    <w:rsid w:val="00F8335D"/>
    <w:rsid w:val="00F83AD4"/>
    <w:rsid w:val="00F83BB0"/>
    <w:rsid w:val="00F83D5B"/>
    <w:rsid w:val="00F83EC5"/>
    <w:rsid w:val="00F842FF"/>
    <w:rsid w:val="00F8477B"/>
    <w:rsid w:val="00F86A23"/>
    <w:rsid w:val="00F86AFB"/>
    <w:rsid w:val="00F86EAC"/>
    <w:rsid w:val="00F86FF5"/>
    <w:rsid w:val="00F87851"/>
    <w:rsid w:val="00F87A5E"/>
    <w:rsid w:val="00F90C09"/>
    <w:rsid w:val="00F90E31"/>
    <w:rsid w:val="00F91655"/>
    <w:rsid w:val="00F91658"/>
    <w:rsid w:val="00F93158"/>
    <w:rsid w:val="00F933F4"/>
    <w:rsid w:val="00F9424E"/>
    <w:rsid w:val="00F95AB9"/>
    <w:rsid w:val="00F960F0"/>
    <w:rsid w:val="00F96227"/>
    <w:rsid w:val="00F97FE7"/>
    <w:rsid w:val="00FA00D7"/>
    <w:rsid w:val="00FA110B"/>
    <w:rsid w:val="00FA12E0"/>
    <w:rsid w:val="00FA1489"/>
    <w:rsid w:val="00FA174F"/>
    <w:rsid w:val="00FA1EC3"/>
    <w:rsid w:val="00FA2186"/>
    <w:rsid w:val="00FA28B5"/>
    <w:rsid w:val="00FA2D27"/>
    <w:rsid w:val="00FA2E00"/>
    <w:rsid w:val="00FA2E08"/>
    <w:rsid w:val="00FA3097"/>
    <w:rsid w:val="00FA338A"/>
    <w:rsid w:val="00FA33E5"/>
    <w:rsid w:val="00FA37C6"/>
    <w:rsid w:val="00FA3D42"/>
    <w:rsid w:val="00FA52FF"/>
    <w:rsid w:val="00FA5F0F"/>
    <w:rsid w:val="00FA5F3D"/>
    <w:rsid w:val="00FB0BCE"/>
    <w:rsid w:val="00FB3249"/>
    <w:rsid w:val="00FB444E"/>
    <w:rsid w:val="00FB45CC"/>
    <w:rsid w:val="00FB52FD"/>
    <w:rsid w:val="00FB5856"/>
    <w:rsid w:val="00FB5EC3"/>
    <w:rsid w:val="00FB6069"/>
    <w:rsid w:val="00FB60D3"/>
    <w:rsid w:val="00FB6520"/>
    <w:rsid w:val="00FB6CFF"/>
    <w:rsid w:val="00FB75F8"/>
    <w:rsid w:val="00FB7CD3"/>
    <w:rsid w:val="00FC0D7A"/>
    <w:rsid w:val="00FC12D6"/>
    <w:rsid w:val="00FC1B5B"/>
    <w:rsid w:val="00FC1C3C"/>
    <w:rsid w:val="00FC2160"/>
    <w:rsid w:val="00FC2218"/>
    <w:rsid w:val="00FC2BA0"/>
    <w:rsid w:val="00FC2F5C"/>
    <w:rsid w:val="00FC312C"/>
    <w:rsid w:val="00FC318E"/>
    <w:rsid w:val="00FC336F"/>
    <w:rsid w:val="00FC370A"/>
    <w:rsid w:val="00FC3A1F"/>
    <w:rsid w:val="00FC4BB0"/>
    <w:rsid w:val="00FC4E57"/>
    <w:rsid w:val="00FC4F48"/>
    <w:rsid w:val="00FC5A60"/>
    <w:rsid w:val="00FC7126"/>
    <w:rsid w:val="00FC7143"/>
    <w:rsid w:val="00FC7505"/>
    <w:rsid w:val="00FC7C7F"/>
    <w:rsid w:val="00FD118E"/>
    <w:rsid w:val="00FD2441"/>
    <w:rsid w:val="00FD2958"/>
    <w:rsid w:val="00FD3616"/>
    <w:rsid w:val="00FD3A4D"/>
    <w:rsid w:val="00FD3F4C"/>
    <w:rsid w:val="00FD420D"/>
    <w:rsid w:val="00FD44AB"/>
    <w:rsid w:val="00FD4A4B"/>
    <w:rsid w:val="00FD4F07"/>
    <w:rsid w:val="00FD508C"/>
    <w:rsid w:val="00FD511B"/>
    <w:rsid w:val="00FD5C41"/>
    <w:rsid w:val="00FD5E2D"/>
    <w:rsid w:val="00FD617F"/>
    <w:rsid w:val="00FD7AD8"/>
    <w:rsid w:val="00FD7BFC"/>
    <w:rsid w:val="00FD7C67"/>
    <w:rsid w:val="00FD7CAB"/>
    <w:rsid w:val="00FD7DD0"/>
    <w:rsid w:val="00FE0E04"/>
    <w:rsid w:val="00FE0FCA"/>
    <w:rsid w:val="00FE12F6"/>
    <w:rsid w:val="00FE1AEA"/>
    <w:rsid w:val="00FE20AE"/>
    <w:rsid w:val="00FE322E"/>
    <w:rsid w:val="00FE3CBE"/>
    <w:rsid w:val="00FE416E"/>
    <w:rsid w:val="00FE4BDD"/>
    <w:rsid w:val="00FE5443"/>
    <w:rsid w:val="00FE6357"/>
    <w:rsid w:val="00FE639A"/>
    <w:rsid w:val="00FE6B1B"/>
    <w:rsid w:val="00FF1F1D"/>
    <w:rsid w:val="00FF27D2"/>
    <w:rsid w:val="00FF2FF6"/>
    <w:rsid w:val="00FF31FB"/>
    <w:rsid w:val="00FF34FD"/>
    <w:rsid w:val="00FF392F"/>
    <w:rsid w:val="00FF44FD"/>
    <w:rsid w:val="00FF53E4"/>
    <w:rsid w:val="00FF5A3D"/>
    <w:rsid w:val="00FF662E"/>
    <w:rsid w:val="00FF7050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rFonts w:ascii="Courier New" w:hAnsi="Courier New" w:cs="Courier New"/>
      <w:b/>
      <w:bCs/>
    </w:rPr>
  </w:style>
  <w:style w:type="paragraph" w:styleId="NormalWeb">
    <w:name w:val="Normal (Web)"/>
    <w:basedOn w:val="Normal"/>
    <w:uiPriority w:val="99"/>
    <w:semiHidden/>
    <w:unhideWhenUsed/>
    <w:rsid w:val="003E78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ms">
    <w:name w:val="ams"/>
    <w:basedOn w:val="Policepardfaut"/>
    <w:rsid w:val="003C6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496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8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2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423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8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2845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2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1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7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1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rrak\Desktop\Enquete%20de%20conjoncture%20menages_BUREAU\2023\resultatseECM(trim1-08-trim4-202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rrak\Desktop\Enquete%20de%20conjoncture%20menages_BUREAU\2023\resultatseECM(trim1-08-trim4-202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rrak\Desktop\Enquete%20de%20conjoncture%20menages_BUREAU\2023\resultatseECM(trim1-08-trim4-202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rrak\Desktop\Enquete%20de%20conjoncture%20menages_BUREAU\2023\resultatseECM(trim1-08-trim4-202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rrak\Desktop\Enquete%20de%20conjoncture%20menages_BUREAU\2023\resultatseECM(trim1-08-trim4-2022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rrak\Desktop\Enquete%20de%20conjoncture%20menages_BUREAU\2023\resultatseECM(trim1-08-trim4-202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autoTitleDeleted val="1"/>
    <c:plotArea>
      <c:layout>
        <c:manualLayout>
          <c:layoutTarget val="inner"/>
          <c:xMode val="edge"/>
          <c:yMode val="edge"/>
          <c:x val="5.8132101279827819E-2"/>
          <c:y val="0.16145558924884768"/>
          <c:w val="0.91979999560854875"/>
          <c:h val="0.69816761827452212"/>
        </c:manualLayout>
      </c:layout>
      <c:barChart>
        <c:barDir val="col"/>
        <c:grouping val="clustered"/>
        <c:ser>
          <c:idx val="0"/>
          <c:order val="0"/>
          <c:dPt>
            <c:idx val="56"/>
            <c:spPr>
              <a:solidFill>
                <a:schemeClr val="tx2">
                  <a:lumMod val="50000"/>
                </a:schemeClr>
              </a:solidFill>
            </c:spPr>
          </c:dPt>
          <c:dPt>
            <c:idx val="59"/>
            <c:spPr>
              <a:solidFill>
                <a:schemeClr val="tx2">
                  <a:lumMod val="50000"/>
                </a:schemeClr>
              </a:solidFill>
            </c:spPr>
          </c:dPt>
          <c:dPt>
            <c:idx val="60"/>
            <c:spPr>
              <a:solidFill>
                <a:schemeClr val="tx2">
                  <a:lumMod val="50000"/>
                </a:schemeClr>
              </a:solidFill>
              <a:effectLst>
                <a:outerShdw blurRad="40000" dist="23000" dir="5400000" rotWithShape="0">
                  <a:schemeClr val="tx2">
                    <a:lumMod val="20000"/>
                    <a:lumOff val="80000"/>
                    <a:alpha val="35000"/>
                  </a:schemeClr>
                </a:outerShdw>
              </a:effectLst>
            </c:spPr>
          </c:dPt>
          <c:dLbls>
            <c:dLbl>
              <c:idx val="56"/>
              <c:layout>
                <c:manualLayout>
                  <c:x val="7.5419718901206202E-3"/>
                  <c:y val="0"/>
                </c:manualLayout>
              </c:layout>
              <c:showVal val="1"/>
            </c:dLbl>
            <c:dLbl>
              <c:idx val="59"/>
              <c:layout>
                <c:manualLayout>
                  <c:x val="-1.8854929725301535E-3"/>
                  <c:y val="-3.0748520681406596E-2"/>
                </c:manualLayout>
              </c:layout>
              <c:showVal val="1"/>
            </c:dLbl>
            <c:dLbl>
              <c:idx val="60"/>
              <c:layout>
                <c:manualLayout>
                  <c:x val="0"/>
                  <c:y val="1.0472317409266355E-2"/>
                </c:manualLayout>
              </c:layout>
              <c:showVal val="1"/>
            </c:dLbl>
            <c:delete val="1"/>
          </c:dLbls>
          <c:cat>
            <c:strRef>
              <c:f>'tableau note fr'!$B$3:$BJ$3</c:f>
              <c:strCache>
                <c:ptCount val="6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  <c:pt idx="55">
                  <c:v>T4/21</c:v>
                </c:pt>
                <c:pt idx="56">
                  <c:v>T1/22</c:v>
                </c:pt>
                <c:pt idx="57">
                  <c:v>T2/22</c:v>
                </c:pt>
                <c:pt idx="58">
                  <c:v>T3/22</c:v>
                </c:pt>
                <c:pt idx="59">
                  <c:v>T4/22</c:v>
                </c:pt>
                <c:pt idx="60">
                  <c:v>T1/23</c:v>
                </c:pt>
              </c:strCache>
            </c:strRef>
          </c:cat>
          <c:val>
            <c:numRef>
              <c:f>'tableau note fr'!$B$4:$BJ$4</c:f>
              <c:numCache>
                <c:formatCode>0.0</c:formatCode>
                <c:ptCount val="61"/>
                <c:pt idx="0">
                  <c:v>85.866502294191648</c:v>
                </c:pt>
                <c:pt idx="1">
                  <c:v>77.678707955852886</c:v>
                </c:pt>
                <c:pt idx="2">
                  <c:v>75.552480635756254</c:v>
                </c:pt>
                <c:pt idx="3">
                  <c:v>80.136884034904369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80.136086093619042</c:v>
                </c:pt>
                <c:pt idx="9">
                  <c:v>78.833388330574024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78.406406130604637</c:v>
                </c:pt>
                <c:pt idx="13">
                  <c:v>85.789532632532456</c:v>
                </c:pt>
                <c:pt idx="14">
                  <c:v>86.506225251482533</c:v>
                </c:pt>
                <c:pt idx="15">
                  <c:v>84.47721469487729</c:v>
                </c:pt>
                <c:pt idx="16">
                  <c:v>82.880478542821322</c:v>
                </c:pt>
                <c:pt idx="17">
                  <c:v>80.673652783725359</c:v>
                </c:pt>
                <c:pt idx="18">
                  <c:v>77.553867036569187</c:v>
                </c:pt>
                <c:pt idx="19">
                  <c:v>78.403353681349756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74.014553099961745</c:v>
                </c:pt>
                <c:pt idx="26">
                  <c:v>73.148145370690258</c:v>
                </c:pt>
                <c:pt idx="27">
                  <c:v>71.583460003653599</c:v>
                </c:pt>
                <c:pt idx="28">
                  <c:v>73.659282965035374</c:v>
                </c:pt>
                <c:pt idx="29">
                  <c:v>76.12509957280777</c:v>
                </c:pt>
                <c:pt idx="30">
                  <c:v>76.315005733685808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73.804891243097046</c:v>
                </c:pt>
                <c:pt idx="35">
                  <c:v>73.539376287214708</c:v>
                </c:pt>
                <c:pt idx="36">
                  <c:v>78.230698468980961</c:v>
                </c:pt>
                <c:pt idx="37">
                  <c:v>85.8</c:v>
                </c:pt>
                <c:pt idx="38">
                  <c:v>85.5</c:v>
                </c:pt>
                <c:pt idx="39">
                  <c:v>85.9</c:v>
                </c:pt>
                <c:pt idx="40">
                  <c:v>87.317111388814197</c:v>
                </c:pt>
                <c:pt idx="41">
                  <c:v>87.279337774029088</c:v>
                </c:pt>
                <c:pt idx="42">
                  <c:v>82.473279380066572</c:v>
                </c:pt>
                <c:pt idx="43">
                  <c:v>79.8</c:v>
                </c:pt>
                <c:pt idx="44">
                  <c:v>79.104981863169655</c:v>
                </c:pt>
                <c:pt idx="45">
                  <c:v>74.905107002702309</c:v>
                </c:pt>
                <c:pt idx="46">
                  <c:v>74.821311833193747</c:v>
                </c:pt>
                <c:pt idx="47">
                  <c:v>77.783342120372509</c:v>
                </c:pt>
                <c:pt idx="48">
                  <c:v>75.733160637772571</c:v>
                </c:pt>
                <c:pt idx="49">
                  <c:v>65.597735117391238</c:v>
                </c:pt>
                <c:pt idx="50" formatCode="#,##0.0">
                  <c:v>60.6</c:v>
                </c:pt>
                <c:pt idx="51">
                  <c:v>61.15460503678139</c:v>
                </c:pt>
                <c:pt idx="52">
                  <c:v>68.3</c:v>
                </c:pt>
                <c:pt idx="53">
                  <c:v>62.975895024721467</c:v>
                </c:pt>
                <c:pt idx="54">
                  <c:v>65.469321461685027</c:v>
                </c:pt>
                <c:pt idx="55">
                  <c:v>61.244838328447536</c:v>
                </c:pt>
                <c:pt idx="56" formatCode="#,##0.0">
                  <c:v>53.745567465683713</c:v>
                </c:pt>
                <c:pt idx="57" formatCode="#,##0.0">
                  <c:v>50.111231811293308</c:v>
                </c:pt>
                <c:pt idx="58" formatCode="#,##0.0">
                  <c:v>47.411849848039999</c:v>
                </c:pt>
                <c:pt idx="59" formatCode="#,##0.0">
                  <c:v>46.606895890263495</c:v>
                </c:pt>
                <c:pt idx="60" formatCode="#,##0.0">
                  <c:v>46.297927716965162</c:v>
                </c:pt>
              </c:numCache>
            </c:numRef>
          </c:val>
        </c:ser>
        <c:axId val="102036224"/>
        <c:axId val="102037760"/>
      </c:barChart>
      <c:catAx>
        <c:axId val="10203622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en-US" sz="600"/>
            </a:pPr>
            <a:endParaRPr lang="fr-FR"/>
          </a:p>
        </c:txPr>
        <c:crossAx val="102037760"/>
        <c:crosses val="autoZero"/>
        <c:auto val="1"/>
        <c:lblAlgn val="ctr"/>
        <c:lblOffset val="100"/>
      </c:catAx>
      <c:valAx>
        <c:axId val="102037760"/>
        <c:scaling>
          <c:orientation val="minMax"/>
          <c:min val="40"/>
        </c:scaling>
        <c:axPos val="l"/>
        <c:numFmt formatCode="#,##0" sourceLinked="0"/>
        <c:tickLblPos val="nextTo"/>
        <c:txPr>
          <a:bodyPr/>
          <a:lstStyle/>
          <a:p>
            <a:pPr>
              <a:defRPr lang="en-US" sz="900"/>
            </a:pPr>
            <a:endParaRPr lang="fr-FR"/>
          </a:p>
        </c:txPr>
        <c:crossAx val="102036224"/>
        <c:crosses val="autoZero"/>
        <c:crossBetween val="between"/>
      </c:valAx>
    </c:plotArea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lineChart>
        <c:grouping val="standard"/>
        <c:ser>
          <c:idx val="0"/>
          <c:order val="0"/>
          <c:tx>
            <c:strRef>
              <c:f>'tableau note fr'!$A$6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fr'!$B$3:$BJ$3</c:f>
              <c:strCache>
                <c:ptCount val="6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  <c:pt idx="55">
                  <c:v>T4/21</c:v>
                </c:pt>
                <c:pt idx="56">
                  <c:v>T1/22</c:v>
                </c:pt>
                <c:pt idx="57">
                  <c:v>T2/22</c:v>
                </c:pt>
                <c:pt idx="58">
                  <c:v>T3/22</c:v>
                </c:pt>
                <c:pt idx="59">
                  <c:v>T4/22</c:v>
                </c:pt>
                <c:pt idx="60">
                  <c:v>T1/23</c:v>
                </c:pt>
              </c:strCache>
            </c:strRef>
          </c:cat>
          <c:val>
            <c:numRef>
              <c:f>'tableau note fr'!$B$6:$BJ$6</c:f>
              <c:numCache>
                <c:formatCode>#,##0.0</c:formatCode>
                <c:ptCount val="61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-31.141291421499744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-25.723634629572988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-37.236760344983431</c:v>
                </c:pt>
                <c:pt idx="12">
                  <c:v>-26.050959167650099</c:v>
                </c:pt>
                <c:pt idx="13">
                  <c:v>-16.961438303130869</c:v>
                </c:pt>
                <c:pt idx="14">
                  <c:v>-13.439142519852023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-28.088708351168659</c:v>
                </c:pt>
                <c:pt idx="20">
                  <c:v>-29.212341127418195</c:v>
                </c:pt>
                <c:pt idx="21">
                  <c:v>-23.102864483982085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-17.387590506775613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>
                  <c:v>-22.864633579953768</c:v>
                </c:pt>
                <c:pt idx="33">
                  <c:v>-15.196177330129153</c:v>
                </c:pt>
                <c:pt idx="34">
                  <c:v>-17.372021059071617</c:v>
                </c:pt>
                <c:pt idx="35">
                  <c:v>-17.464225574589303</c:v>
                </c:pt>
                <c:pt idx="36">
                  <c:v>-11.990228520502566</c:v>
                </c:pt>
                <c:pt idx="37">
                  <c:v>-8.1644944099805006</c:v>
                </c:pt>
                <c:pt idx="38">
                  <c:v>-3.1370023233621227</c:v>
                </c:pt>
                <c:pt idx="39">
                  <c:v>-3.7719246964283601</c:v>
                </c:pt>
                <c:pt idx="40">
                  <c:v>-6.24696090915109</c:v>
                </c:pt>
                <c:pt idx="41" formatCode="0.0">
                  <c:v>-5.3830093381329069</c:v>
                </c:pt>
                <c:pt idx="42" formatCode="0.0">
                  <c:v>-9.5049571220917919</c:v>
                </c:pt>
                <c:pt idx="43" formatCode="0.0">
                  <c:v>-13.3</c:v>
                </c:pt>
                <c:pt idx="44" formatCode="0.0">
                  <c:v>-14.967427927122976</c:v>
                </c:pt>
                <c:pt idx="45" formatCode="0.0">
                  <c:v>-25.353008106891508</c:v>
                </c:pt>
                <c:pt idx="46" formatCode="0.0">
                  <c:v>-20.237097183526259</c:v>
                </c:pt>
                <c:pt idx="47" formatCode="0.0">
                  <c:v>-19.996896512157313</c:v>
                </c:pt>
                <c:pt idx="48" formatCode="0.0">
                  <c:v>-19.767991560587593</c:v>
                </c:pt>
                <c:pt idx="49" formatCode="0.0">
                  <c:v>-24.751522052511689</c:v>
                </c:pt>
                <c:pt idx="50">
                  <c:v>-35.633876933169311</c:v>
                </c:pt>
                <c:pt idx="51" formatCode="0.0">
                  <c:v>-46.607458922581912</c:v>
                </c:pt>
                <c:pt idx="52" formatCode="0.0">
                  <c:v>-50.5</c:v>
                </c:pt>
                <c:pt idx="53" formatCode="0.0">
                  <c:v>-50.789884569181041</c:v>
                </c:pt>
                <c:pt idx="54" formatCode="0.0">
                  <c:v>-41.509403430971062</c:v>
                </c:pt>
                <c:pt idx="55" formatCode="0.0">
                  <c:v>-55.207171712499431</c:v>
                </c:pt>
                <c:pt idx="56">
                  <c:v>-66.848800336369465</c:v>
                </c:pt>
                <c:pt idx="57" formatCode="###0.0">
                  <c:v>-72.973367191898419</c:v>
                </c:pt>
                <c:pt idx="58" formatCode="###0.0">
                  <c:v>-74.584296237560608</c:v>
                </c:pt>
                <c:pt idx="59" formatCode="###0.0">
                  <c:v>-77.955196192924404</c:v>
                </c:pt>
                <c:pt idx="60" formatCode="###0.0">
                  <c:v>-81.53758164563699</c:v>
                </c:pt>
              </c:numCache>
            </c:numRef>
          </c:val>
        </c:ser>
        <c:ser>
          <c:idx val="1"/>
          <c:order val="1"/>
          <c:tx>
            <c:strRef>
              <c:f>'tableau note fr'!$A$7</c:f>
              <c:strCache>
                <c:ptCount val="1"/>
                <c:pt idx="0">
                  <c:v>Perspective d'évolution du niveau de vie</c:v>
                </c:pt>
              </c:strCache>
            </c:strRef>
          </c:tx>
          <c:cat>
            <c:strRef>
              <c:f>'tableau note fr'!$B$3:$BJ$3</c:f>
              <c:strCache>
                <c:ptCount val="6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  <c:pt idx="55">
                  <c:v>T4/21</c:v>
                </c:pt>
                <c:pt idx="56">
                  <c:v>T1/22</c:v>
                </c:pt>
                <c:pt idx="57">
                  <c:v>T2/22</c:v>
                </c:pt>
                <c:pt idx="58">
                  <c:v>T3/22</c:v>
                </c:pt>
                <c:pt idx="59">
                  <c:v>T4/22</c:v>
                </c:pt>
                <c:pt idx="60">
                  <c:v>T1/23</c:v>
                </c:pt>
              </c:strCache>
            </c:strRef>
          </c:cat>
          <c:val>
            <c:numRef>
              <c:f>'tableau note fr'!$B$7:$BJ$7</c:f>
              <c:numCache>
                <c:formatCode>#,##0.0</c:formatCode>
                <c:ptCount val="61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8.4334302751112991E-2</c:v>
                </c:pt>
                <c:pt idx="7">
                  <c:v>2.1853913991610052</c:v>
                </c:pt>
                <c:pt idx="8">
                  <c:v>0.39154986438085693</c:v>
                </c:pt>
                <c:pt idx="9">
                  <c:v>2.7314646872285109</c:v>
                </c:pt>
                <c:pt idx="10">
                  <c:v>0.19418325799955102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18.132139936578785</c:v>
                </c:pt>
                <c:pt idx="14">
                  <c:v>11.870106120928302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-4.2068608448306479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-11.389732068783619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-12.672429336417764</c:v>
                </c:pt>
                <c:pt idx="28">
                  <c:v>-8.8537661336825266</c:v>
                </c:pt>
                <c:pt idx="29">
                  <c:v>-7.2727206831161846</c:v>
                </c:pt>
                <c:pt idx="30">
                  <c:v>-7.7131091840762114</c:v>
                </c:pt>
                <c:pt idx="31">
                  <c:v>-8.0828133778612727</c:v>
                </c:pt>
                <c:pt idx="32">
                  <c:v>-14.22824639578895</c:v>
                </c:pt>
                <c:pt idx="33">
                  <c:v>-7.5906192549525784</c:v>
                </c:pt>
                <c:pt idx="34">
                  <c:v>-7.0591296227720894</c:v>
                </c:pt>
                <c:pt idx="35">
                  <c:v>-2.3745123557304657</c:v>
                </c:pt>
                <c:pt idx="36">
                  <c:v>5.7386765593441833</c:v>
                </c:pt>
                <c:pt idx="37">
                  <c:v>11.056984366480355</c:v>
                </c:pt>
                <c:pt idx="38">
                  <c:v>10.513852464527606</c:v>
                </c:pt>
                <c:pt idx="39">
                  <c:v>11.534776778164916</c:v>
                </c:pt>
                <c:pt idx="40">
                  <c:v>16.612852585837704</c:v>
                </c:pt>
                <c:pt idx="41" formatCode="0.0">
                  <c:v>14.986375562038818</c:v>
                </c:pt>
                <c:pt idx="42" formatCode="0.0">
                  <c:v>11.908882798368182</c:v>
                </c:pt>
                <c:pt idx="43" formatCode="0.0">
                  <c:v>9</c:v>
                </c:pt>
                <c:pt idx="44" formatCode="0.0">
                  <c:v>9.9894562713734381</c:v>
                </c:pt>
                <c:pt idx="45" formatCode="0.0">
                  <c:v>4.7256177899689273</c:v>
                </c:pt>
                <c:pt idx="46" formatCode="0.0">
                  <c:v>-3.6764057837750337</c:v>
                </c:pt>
                <c:pt idx="47" formatCode="0.0">
                  <c:v>-2.1591381326741157</c:v>
                </c:pt>
                <c:pt idx="48" formatCode="0.0">
                  <c:v>-4.6486149345966226</c:v>
                </c:pt>
                <c:pt idx="49" formatCode="0.0">
                  <c:v>-11.439989639150372</c:v>
                </c:pt>
                <c:pt idx="50">
                  <c:v>-17.395183495255491</c:v>
                </c:pt>
                <c:pt idx="51" formatCode="0.0">
                  <c:v>-17.398438698388123</c:v>
                </c:pt>
                <c:pt idx="52" formatCode="0.0">
                  <c:v>13.2</c:v>
                </c:pt>
                <c:pt idx="53" formatCode="0.0">
                  <c:v>0.23038768840290041</c:v>
                </c:pt>
                <c:pt idx="54" formatCode="0.0">
                  <c:v>9.3481827020713499</c:v>
                </c:pt>
                <c:pt idx="55" formatCode="0.0">
                  <c:v>-1.3718594161528617</c:v>
                </c:pt>
                <c:pt idx="56">
                  <c:v>-21.440746708881584</c:v>
                </c:pt>
                <c:pt idx="57" formatCode="###0.0">
                  <c:v>-34.307671667317265</c:v>
                </c:pt>
                <c:pt idx="58" formatCode="###0.0">
                  <c:v>-41.560642466335395</c:v>
                </c:pt>
                <c:pt idx="59" formatCode="###0.0">
                  <c:v>-43.041302609193096</c:v>
                </c:pt>
                <c:pt idx="60" formatCode="###0.0">
                  <c:v>-38.777551768230154</c:v>
                </c:pt>
              </c:numCache>
            </c:numRef>
          </c:val>
        </c:ser>
        <c:marker val="1"/>
        <c:axId val="107374464"/>
        <c:axId val="107376000"/>
      </c:lineChart>
      <c:catAx>
        <c:axId val="107374464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600"/>
            </a:pPr>
            <a:endParaRPr lang="fr-FR"/>
          </a:p>
        </c:txPr>
        <c:crossAx val="107376000"/>
        <c:crosses val="autoZero"/>
        <c:auto val="1"/>
        <c:lblAlgn val="ctr"/>
        <c:lblOffset val="100"/>
      </c:catAx>
      <c:valAx>
        <c:axId val="107376000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900"/>
            </a:pPr>
            <a:endParaRPr lang="fr-FR"/>
          </a:p>
        </c:txPr>
        <c:crossAx val="107374464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/>
          </a:pPr>
          <a:endParaRPr lang="fr-FR"/>
        </a:p>
      </c:txPr>
    </c:legend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lineChart>
        <c:grouping val="standard"/>
        <c:ser>
          <c:idx val="0"/>
          <c:order val="0"/>
          <c:tx>
            <c:strRef>
              <c:f>'tableau note fr'!$A$5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'tableau note fr'!$B$3:$BJ$3</c:f>
              <c:strCache>
                <c:ptCount val="6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  <c:pt idx="55">
                  <c:v>T4/21</c:v>
                </c:pt>
                <c:pt idx="56">
                  <c:v>T1/22</c:v>
                </c:pt>
                <c:pt idx="57">
                  <c:v>T2/22</c:v>
                </c:pt>
                <c:pt idx="58">
                  <c:v>T3/22</c:v>
                </c:pt>
                <c:pt idx="59">
                  <c:v>T4/22</c:v>
                </c:pt>
                <c:pt idx="60">
                  <c:v>T1/23</c:v>
                </c:pt>
              </c:strCache>
            </c:strRef>
          </c:cat>
          <c:val>
            <c:numRef>
              <c:f>'tableau note fr'!$B$5:$BJ$5</c:f>
              <c:numCache>
                <c:formatCode>#,##0.0</c:formatCode>
                <c:ptCount val="61"/>
                <c:pt idx="0">
                  <c:v>-52.095692279179246</c:v>
                </c:pt>
                <c:pt idx="1">
                  <c:v>-56.601297669293217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-57.930600458568435</c:v>
                </c:pt>
                <c:pt idx="7">
                  <c:v>-57.517749523976477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-52.335316844022493</c:v>
                </c:pt>
                <c:pt idx="12">
                  <c:v>-52.408437207990296</c:v>
                </c:pt>
                <c:pt idx="13">
                  <c:v>-45.982278486233433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-66.493969881109336</c:v>
                </c:pt>
                <c:pt idx="26">
                  <c:v>-68.825577821249794</c:v>
                </c:pt>
                <c:pt idx="27">
                  <c:v>-68.019160185663324</c:v>
                </c:pt>
                <c:pt idx="28">
                  <c:v>-65.155740215393536</c:v>
                </c:pt>
                <c:pt idx="29">
                  <c:v>-67.05648182258949</c:v>
                </c:pt>
                <c:pt idx="30">
                  <c:v>-66.189276460398091</c:v>
                </c:pt>
                <c:pt idx="31">
                  <c:v>-64.100777949741669</c:v>
                </c:pt>
                <c:pt idx="32">
                  <c:v>-67.73444283636087</c:v>
                </c:pt>
                <c:pt idx="33">
                  <c:v>-68.976178952187567</c:v>
                </c:pt>
                <c:pt idx="34">
                  <c:v>-70.599999999999994</c:v>
                </c:pt>
                <c:pt idx="35">
                  <c:v>-66.808709762830389</c:v>
                </c:pt>
                <c:pt idx="36">
                  <c:v>-64.932045987858601</c:v>
                </c:pt>
                <c:pt idx="37">
                  <c:v>-54.327058153454743</c:v>
                </c:pt>
                <c:pt idx="38">
                  <c:v>-59.886763094223099</c:v>
                </c:pt>
                <c:pt idx="39">
                  <c:v>-58.5</c:v>
                </c:pt>
                <c:pt idx="40">
                  <c:v>-54.525998602090162</c:v>
                </c:pt>
                <c:pt idx="41" formatCode="0.0">
                  <c:v>-61.706282712863526</c:v>
                </c:pt>
                <c:pt idx="42" formatCode="0.0">
                  <c:v>-65.247643368132231</c:v>
                </c:pt>
                <c:pt idx="43" formatCode="0.0">
                  <c:v>-70</c:v>
                </c:pt>
                <c:pt idx="44" formatCode="0.0">
                  <c:v>-75.565732444458718</c:v>
                </c:pt>
                <c:pt idx="45" formatCode="0.0">
                  <c:v>-76.905120512383789</c:v>
                </c:pt>
                <c:pt idx="46" formatCode="0.0">
                  <c:v>-71.81769794194058</c:v>
                </c:pt>
                <c:pt idx="47" formatCode="0.0">
                  <c:v>-71.645886731132009</c:v>
                </c:pt>
                <c:pt idx="48" formatCode="0.0">
                  <c:v>-70.7934404370435</c:v>
                </c:pt>
                <c:pt idx="49" formatCode="0.0">
                  <c:v>-75.168553605935429</c:v>
                </c:pt>
                <c:pt idx="50">
                  <c:v>-82.012609773267997</c:v>
                </c:pt>
                <c:pt idx="51" formatCode="0.0">
                  <c:v>-78.280561499164364</c:v>
                </c:pt>
                <c:pt idx="52" formatCode="0.0">
                  <c:v>-62.2</c:v>
                </c:pt>
                <c:pt idx="53" formatCode="0.0">
                  <c:v>-69.830611321827732</c:v>
                </c:pt>
                <c:pt idx="54" formatCode="0.0">
                  <c:v>-78.313406558982848</c:v>
                </c:pt>
                <c:pt idx="55" formatCode="0.0">
                  <c:v>-77.577031249355031</c:v>
                </c:pt>
                <c:pt idx="56">
                  <c:v>-82.803590957343502</c:v>
                </c:pt>
                <c:pt idx="57" formatCode="###0.0">
                  <c:v>-81.13998967210614</c:v>
                </c:pt>
                <c:pt idx="58" formatCode="###0.0">
                  <c:v>-83.498658671309329</c:v>
                </c:pt>
                <c:pt idx="59" formatCode="###0.0">
                  <c:v>-79.636069225786045</c:v>
                </c:pt>
                <c:pt idx="60" formatCode="###0.0">
                  <c:v>-81.389540713196325</c:v>
                </c:pt>
              </c:numCache>
            </c:numRef>
          </c:val>
        </c:ser>
        <c:marker val="1"/>
        <c:axId val="107412096"/>
        <c:axId val="107422080"/>
      </c:lineChart>
      <c:catAx>
        <c:axId val="107412096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600"/>
            </a:pPr>
            <a:endParaRPr lang="fr-FR"/>
          </a:p>
        </c:txPr>
        <c:crossAx val="107422080"/>
        <c:crosses val="autoZero"/>
        <c:auto val="1"/>
        <c:lblAlgn val="ctr"/>
        <c:lblOffset val="100"/>
      </c:catAx>
      <c:valAx>
        <c:axId val="107422080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900"/>
            </a:pPr>
            <a:endParaRPr lang="fr-FR"/>
          </a:p>
        </c:txPr>
        <c:crossAx val="107412096"/>
        <c:crosses val="autoZero"/>
        <c:crossBetween val="between"/>
      </c:valAx>
    </c:plotArea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5.1020382093430017E-2"/>
          <c:y val="9.7863895533790379E-2"/>
          <c:w val="0.94772791848141691"/>
          <c:h val="0.69171658296648608"/>
        </c:manualLayout>
      </c:layout>
      <c:lineChart>
        <c:grouping val="standard"/>
        <c:ser>
          <c:idx val="0"/>
          <c:order val="0"/>
          <c:tx>
            <c:strRef>
              <c:f>'tableau note fr'!$A$8</c:f>
              <c:strCache>
                <c:ptCount val="1"/>
                <c:pt idx="0">
                  <c:v>Opportunité d'achat</c:v>
                </c:pt>
              </c:strCache>
            </c:strRef>
          </c:tx>
          <c:marker>
            <c:symbol val="none"/>
          </c:marker>
          <c:cat>
            <c:strRef>
              <c:f>'tableau note fr'!$B$3:$BJ$3</c:f>
              <c:strCache>
                <c:ptCount val="6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  <c:pt idx="55">
                  <c:v>T4/21</c:v>
                </c:pt>
                <c:pt idx="56">
                  <c:v>T1/22</c:v>
                </c:pt>
                <c:pt idx="57">
                  <c:v>T2/22</c:v>
                </c:pt>
                <c:pt idx="58">
                  <c:v>T3/22</c:v>
                </c:pt>
                <c:pt idx="59">
                  <c:v>T4/22</c:v>
                </c:pt>
                <c:pt idx="60">
                  <c:v>T1/23</c:v>
                </c:pt>
              </c:strCache>
            </c:strRef>
          </c:cat>
          <c:val>
            <c:numRef>
              <c:f>'tableau note fr'!$B$8:$BJ$8</c:f>
              <c:numCache>
                <c:formatCode>#,##0.0</c:formatCode>
                <c:ptCount val="61"/>
                <c:pt idx="0">
                  <c:v>-30.018449770831772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-41.765350509033972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-37.532519098271905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-39.860076277616685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-37.388587169100447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-28.348240299081681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-37.509325471422422</c:v>
                </c:pt>
                <c:pt idx="32">
                  <c:v>-40.239810197161113</c:v>
                </c:pt>
                <c:pt idx="33">
                  <c:v>-34.794169125290885</c:v>
                </c:pt>
                <c:pt idx="34">
                  <c:v>-40.511458517814845</c:v>
                </c:pt>
                <c:pt idx="35">
                  <c:v>-43.033835365277199</c:v>
                </c:pt>
                <c:pt idx="36">
                  <c:v>-39.999291784066394</c:v>
                </c:pt>
                <c:pt idx="37">
                  <c:v>-28.160977836062902</c:v>
                </c:pt>
                <c:pt idx="38">
                  <c:v>-31.475843594428071</c:v>
                </c:pt>
                <c:pt idx="39">
                  <c:v>-25.6</c:v>
                </c:pt>
                <c:pt idx="40">
                  <c:v>-27.189644342164517</c:v>
                </c:pt>
                <c:pt idx="41" formatCode="0.0">
                  <c:v>-25.753095123938731</c:v>
                </c:pt>
                <c:pt idx="42" formatCode="0.0">
                  <c:v>-30.193271317535196</c:v>
                </c:pt>
                <c:pt idx="43" formatCode="0.0">
                  <c:v>-36.800000000000004</c:v>
                </c:pt>
                <c:pt idx="44" formatCode="0.0">
                  <c:v>-36.294477943510053</c:v>
                </c:pt>
                <c:pt idx="45" formatCode="0.0">
                  <c:v>-41.423646990592751</c:v>
                </c:pt>
                <c:pt idx="46" formatCode="0.0">
                  <c:v>-37.730567473068341</c:v>
                </c:pt>
                <c:pt idx="47" formatCode="0.0">
                  <c:v>-29.21833531467249</c:v>
                </c:pt>
                <c:pt idx="48" formatCode="0.0">
                  <c:v>-32.611752500665851</c:v>
                </c:pt>
                <c:pt idx="49" formatCode="0.0">
                  <c:v>-67.951617125134092</c:v>
                </c:pt>
                <c:pt idx="50">
                  <c:v>-63.469757370471989</c:v>
                </c:pt>
                <c:pt idx="51" formatCode="0.0">
                  <c:v>-61.233843482530801</c:v>
                </c:pt>
                <c:pt idx="52" formatCode="0.0">
                  <c:v>-61.6</c:v>
                </c:pt>
                <c:pt idx="53" formatCode="0.0">
                  <c:v>-65.565215742281509</c:v>
                </c:pt>
                <c:pt idx="54" formatCode="0.0">
                  <c:v>-61.974386136345984</c:v>
                </c:pt>
                <c:pt idx="55" formatCode="0.0">
                  <c:v>-62.794548879325561</c:v>
                </c:pt>
                <c:pt idx="56">
                  <c:v>-66.694844970978195</c:v>
                </c:pt>
                <c:pt idx="57" formatCode="###0.0">
                  <c:v>-69.145089033375214</c:v>
                </c:pt>
                <c:pt idx="58" formatCode="###0.0">
                  <c:v>-74.005196986116957</c:v>
                </c:pt>
                <c:pt idx="59" formatCode="###0.0">
                  <c:v>-70.308042764648889</c:v>
                </c:pt>
                <c:pt idx="60" formatCode="###0.0">
                  <c:v>-69.793610379094631</c:v>
                </c:pt>
              </c:numCache>
            </c:numRef>
          </c:val>
        </c:ser>
        <c:marker val="1"/>
        <c:axId val="107428480"/>
        <c:axId val="107438464"/>
      </c:lineChart>
      <c:catAx>
        <c:axId val="107428480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600"/>
            </a:pPr>
            <a:endParaRPr lang="fr-FR"/>
          </a:p>
        </c:txPr>
        <c:crossAx val="107438464"/>
        <c:crosses val="autoZero"/>
        <c:auto val="1"/>
        <c:lblAlgn val="ctr"/>
        <c:lblOffset val="100"/>
      </c:catAx>
      <c:valAx>
        <c:axId val="107438464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lang="en-US" sz="900"/>
            </a:pPr>
            <a:endParaRPr lang="fr-FR"/>
          </a:p>
        </c:txPr>
        <c:crossAx val="107428480"/>
        <c:crosses val="autoZero"/>
        <c:crossBetween val="between"/>
      </c:valAx>
    </c:plotArea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5.6863351819674883E-2"/>
          <c:y val="6.3568689183880533E-2"/>
          <c:w val="0.91973204979759959"/>
          <c:h val="0.70372633417459696"/>
        </c:manualLayout>
      </c:layout>
      <c:lineChart>
        <c:grouping val="standard"/>
        <c:ser>
          <c:idx val="0"/>
          <c:order val="0"/>
          <c:tx>
            <c:strRef>
              <c:f>'tableau note fr'!$A$9</c:f>
              <c:strCache>
                <c:ptCount val="1"/>
                <c:pt idx="0">
                  <c:v>Situation financière actuelle des ménages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fr'!$B$3:$BJ$3</c:f>
              <c:strCache>
                <c:ptCount val="6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  <c:pt idx="55">
                  <c:v>T4/21</c:v>
                </c:pt>
                <c:pt idx="56">
                  <c:v>T1/22</c:v>
                </c:pt>
                <c:pt idx="57">
                  <c:v>T2/22</c:v>
                </c:pt>
                <c:pt idx="58">
                  <c:v>T3/22</c:v>
                </c:pt>
                <c:pt idx="59">
                  <c:v>T4/22</c:v>
                </c:pt>
                <c:pt idx="60">
                  <c:v>T1/23</c:v>
                </c:pt>
              </c:strCache>
            </c:strRef>
          </c:cat>
          <c:val>
            <c:numRef>
              <c:f>'tableau note fr'!$B$9:$BJ$9</c:f>
              <c:numCache>
                <c:formatCode>#,##0.0</c:formatCode>
                <c:ptCount val="61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-28.062624892496299</c:v>
                </c:pt>
                <c:pt idx="12">
                  <c:v>-30.645498931903717</c:v>
                </c:pt>
                <c:pt idx="13">
                  <c:v>-27.092549889444296</c:v>
                </c:pt>
                <c:pt idx="14">
                  <c:v>-24.28899054728441</c:v>
                </c:pt>
                <c:pt idx="15">
                  <c:v>-25.669712181349716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-30.846093343724185</c:v>
                </c:pt>
                <c:pt idx="19">
                  <c:v>-29.426966691861253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-29.484131282651205</c:v>
                </c:pt>
                <c:pt idx="23">
                  <c:v>-29.485585569479934</c:v>
                </c:pt>
                <c:pt idx="24">
                  <c:v>-31.290770339915028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-30.637429411694065</c:v>
                </c:pt>
                <c:pt idx="28">
                  <c:v>-32.404955656558201</c:v>
                </c:pt>
                <c:pt idx="29">
                  <c:v>-28</c:v>
                </c:pt>
                <c:pt idx="30">
                  <c:v>-25.071467645625653</c:v>
                </c:pt>
                <c:pt idx="31">
                  <c:v>-25.699936983325856</c:v>
                </c:pt>
                <c:pt idx="32">
                  <c:v>-27.232686212381402</c:v>
                </c:pt>
                <c:pt idx="33">
                  <c:v>-22.997618165471859</c:v>
                </c:pt>
                <c:pt idx="34">
                  <c:v>-25.8</c:v>
                </c:pt>
                <c:pt idx="35">
                  <c:v>-28.725836843764025</c:v>
                </c:pt>
                <c:pt idx="36">
                  <c:v>-27.797585066069505</c:v>
                </c:pt>
                <c:pt idx="37">
                  <c:v>-25.340990239285759</c:v>
                </c:pt>
                <c:pt idx="38">
                  <c:v>-22.581783906285729</c:v>
                </c:pt>
                <c:pt idx="39">
                  <c:v>-24.392000147868323</c:v>
                </c:pt>
                <c:pt idx="40">
                  <c:v>-25.236685531801321</c:v>
                </c:pt>
                <c:pt idx="41" formatCode="0.0">
                  <c:v>-24.077817715725971</c:v>
                </c:pt>
                <c:pt idx="42" formatCode="0.0">
                  <c:v>-29.675061855859198</c:v>
                </c:pt>
                <c:pt idx="43" formatCode="0.0">
                  <c:v>-28.4</c:v>
                </c:pt>
                <c:pt idx="44" formatCode="0.0">
                  <c:v>-28.874306637901324</c:v>
                </c:pt>
                <c:pt idx="45" formatCode="0.0">
                  <c:v>-30.794330285810986</c:v>
                </c:pt>
                <c:pt idx="46" formatCode="0.0">
                  <c:v>-29.543474949783889</c:v>
                </c:pt>
                <c:pt idx="47" formatCode="0.0">
                  <c:v>-26.38685501138583</c:v>
                </c:pt>
                <c:pt idx="48" formatCode="0.0">
                  <c:v>-27.711995909750652</c:v>
                </c:pt>
                <c:pt idx="49" formatCode="0.0">
                  <c:v>-29.95522089472162</c:v>
                </c:pt>
                <c:pt idx="50">
                  <c:v>-31.504825451700487</c:v>
                </c:pt>
                <c:pt idx="51" formatCode="0.0">
                  <c:v>-29.083585505842859</c:v>
                </c:pt>
                <c:pt idx="52" formatCode="0.0">
                  <c:v>-34.4</c:v>
                </c:pt>
                <c:pt idx="53" formatCode="0.0">
                  <c:v>-38.035486047325477</c:v>
                </c:pt>
                <c:pt idx="54" formatCode="0.0">
                  <c:v>-36.428256542769461</c:v>
                </c:pt>
                <c:pt idx="55" formatCode="0.0">
                  <c:v>-40.395301048613071</c:v>
                </c:pt>
                <c:pt idx="56">
                  <c:v>-43.360121736390973</c:v>
                </c:pt>
                <c:pt idx="57" formatCode="###0.0">
                  <c:v>-42.859520384168782</c:v>
                </c:pt>
                <c:pt idx="58" formatCode="###0.0">
                  <c:v>-40.852070365263721</c:v>
                </c:pt>
                <c:pt idx="59" formatCode="###0.0">
                  <c:v>-42.073262915232263</c:v>
                </c:pt>
                <c:pt idx="60" formatCode="###0.0">
                  <c:v>-42.039252344626163</c:v>
                </c:pt>
              </c:numCache>
            </c:numRef>
          </c:val>
        </c:ser>
        <c:ser>
          <c:idx val="1"/>
          <c:order val="1"/>
          <c:tx>
            <c:strRef>
              <c:f>'tableau note fr'!$A$10</c:f>
              <c:strCache>
                <c:ptCount val="1"/>
                <c:pt idx="0">
                  <c:v>Evolution  passée de la situation financière des ménages</c:v>
                </c:pt>
              </c:strCache>
            </c:strRef>
          </c:tx>
          <c:cat>
            <c:strRef>
              <c:f>'tableau note fr'!$B$3:$BJ$3</c:f>
              <c:strCache>
                <c:ptCount val="6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  <c:pt idx="55">
                  <c:v>T4/21</c:v>
                </c:pt>
                <c:pt idx="56">
                  <c:v>T1/22</c:v>
                </c:pt>
                <c:pt idx="57">
                  <c:v>T2/22</c:v>
                </c:pt>
                <c:pt idx="58">
                  <c:v>T3/22</c:v>
                </c:pt>
                <c:pt idx="59">
                  <c:v>T4/22</c:v>
                </c:pt>
                <c:pt idx="60">
                  <c:v>T1/23</c:v>
                </c:pt>
              </c:strCache>
            </c:strRef>
          </c:cat>
          <c:val>
            <c:numRef>
              <c:f>'tableau note fr'!$B$10:$BJ$10</c:f>
              <c:numCache>
                <c:formatCode>#,##0.0</c:formatCode>
                <c:ptCount val="61"/>
                <c:pt idx="0">
                  <c:v>-11.760493904860514</c:v>
                </c:pt>
                <c:pt idx="1">
                  <c:v>-11.376439540974184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-18.438210074457341</c:v>
                </c:pt>
                <c:pt idx="5">
                  <c:v>-13.353492384896773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-9.8004349690184149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-21.891965579068518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-29.150994705705731</c:v>
                </c:pt>
                <c:pt idx="28">
                  <c:v>-26.965288381475748</c:v>
                </c:pt>
                <c:pt idx="29">
                  <c:v>-20.216971341645095</c:v>
                </c:pt>
                <c:pt idx="30">
                  <c:v>-20.789363149769258</c:v>
                </c:pt>
                <c:pt idx="31">
                  <c:v>-18.50333400384844</c:v>
                </c:pt>
                <c:pt idx="32">
                  <c:v>-27.398022856415206</c:v>
                </c:pt>
                <c:pt idx="33">
                  <c:v>-22.820131487915329</c:v>
                </c:pt>
                <c:pt idx="34">
                  <c:v>-26.987361336961168</c:v>
                </c:pt>
                <c:pt idx="35">
                  <c:v>-33.305012733303052</c:v>
                </c:pt>
                <c:pt idx="36">
                  <c:v>-26.764408087130526</c:v>
                </c:pt>
                <c:pt idx="37">
                  <c:v>-16.626704252959726</c:v>
                </c:pt>
                <c:pt idx="38">
                  <c:v>-14.506801572644624</c:v>
                </c:pt>
                <c:pt idx="39">
                  <c:v>-16.7</c:v>
                </c:pt>
                <c:pt idx="40">
                  <c:v>-18.12020796730943</c:v>
                </c:pt>
                <c:pt idx="41" formatCode="0.0">
                  <c:v>-15.241299993196501</c:v>
                </c:pt>
                <c:pt idx="42" formatCode="0.0">
                  <c:v>-18.212765523946558</c:v>
                </c:pt>
                <c:pt idx="43" formatCode="0.0">
                  <c:v>-20.7</c:v>
                </c:pt>
                <c:pt idx="44" formatCode="0.0">
                  <c:v>-21.239570741294095</c:v>
                </c:pt>
                <c:pt idx="45" formatCode="0.0">
                  <c:v>-24.187755596841431</c:v>
                </c:pt>
                <c:pt idx="46" formatCode="0.0">
                  <c:v>-26.020639530378219</c:v>
                </c:pt>
                <c:pt idx="47" formatCode="0.0">
                  <c:v>-22.058531326387186</c:v>
                </c:pt>
                <c:pt idx="48" formatCode="0.0">
                  <c:v>-22.87812787616225</c:v>
                </c:pt>
                <c:pt idx="49" formatCode="0.0">
                  <c:v>-26.986745192981438</c:v>
                </c:pt>
                <c:pt idx="50">
                  <c:v>-33.978821699551595</c:v>
                </c:pt>
                <c:pt idx="51" formatCode="0.0">
                  <c:v>-39.901098518697083</c:v>
                </c:pt>
                <c:pt idx="52" formatCode="0.0">
                  <c:v>-47.4</c:v>
                </c:pt>
                <c:pt idx="53" formatCode="0.0">
                  <c:v>-49.983603873811994</c:v>
                </c:pt>
                <c:pt idx="54" formatCode="0.0">
                  <c:v>-47.976189869600468</c:v>
                </c:pt>
                <c:pt idx="55" formatCode="0.0">
                  <c:v>-48.996187860965861</c:v>
                </c:pt>
                <c:pt idx="56">
                  <c:v>-50.914989365216925</c:v>
                </c:pt>
                <c:pt idx="57" formatCode="###0.0">
                  <c:v>-48.695739372079444</c:v>
                </c:pt>
                <c:pt idx="58" formatCode="###0.0">
                  <c:v>-47.705982595091868</c:v>
                </c:pt>
                <c:pt idx="59" formatCode="###0.0">
                  <c:v>-52.997909819539814</c:v>
                </c:pt>
                <c:pt idx="60" formatCode="###0.0">
                  <c:v>-57.178423227688718</c:v>
                </c:pt>
              </c:numCache>
            </c:numRef>
          </c:val>
        </c:ser>
        <c:ser>
          <c:idx val="2"/>
          <c:order val="2"/>
          <c:tx>
            <c:strRef>
              <c:f>'tableau note fr'!$A$11</c:f>
              <c:strCache>
                <c:ptCount val="1"/>
                <c:pt idx="0">
                  <c:v>Evolution  future de la situation financière des ménages</c:v>
                </c:pt>
              </c:strCache>
            </c:strRef>
          </c:tx>
          <c:cat>
            <c:strRef>
              <c:f>'tableau note fr'!$B$3:$BJ$3</c:f>
              <c:strCache>
                <c:ptCount val="6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  <c:pt idx="55">
                  <c:v>T4/21</c:v>
                </c:pt>
                <c:pt idx="56">
                  <c:v>T1/22</c:v>
                </c:pt>
                <c:pt idx="57">
                  <c:v>T2/22</c:v>
                </c:pt>
                <c:pt idx="58">
                  <c:v>T3/22</c:v>
                </c:pt>
                <c:pt idx="59">
                  <c:v>T4/22</c:v>
                </c:pt>
                <c:pt idx="60">
                  <c:v>T1/23</c:v>
                </c:pt>
              </c:strCache>
            </c:strRef>
          </c:cat>
          <c:val>
            <c:numRef>
              <c:f>'tableau note fr'!$B$11:$BJ$11</c:f>
              <c:numCache>
                <c:formatCode>#,##0.0</c:formatCode>
                <c:ptCount val="61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26.705941849103169</c:v>
                </c:pt>
                <c:pt idx="4">
                  <c:v>26.76915423900191</c:v>
                </c:pt>
                <c:pt idx="5">
                  <c:v>21.986954089697061</c:v>
                </c:pt>
                <c:pt idx="6">
                  <c:v>17.532817766676516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11.776375704730489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11.230833640450319</c:v>
                </c:pt>
                <c:pt idx="17">
                  <c:v>11.136340416980383</c:v>
                </c:pt>
                <c:pt idx="18">
                  <c:v>7.6658451594012895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-1.7003971659207211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-3.91390384828716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>
                  <c:v>1.2373351928093992</c:v>
                </c:pt>
                <c:pt idx="33">
                  <c:v>2.2988859177154</c:v>
                </c:pt>
                <c:pt idx="34">
                  <c:v>4.9642092382991612</c:v>
                </c:pt>
                <c:pt idx="35">
                  <c:v>6.4877666459978194</c:v>
                </c:pt>
                <c:pt idx="36">
                  <c:v>13.359772169150252</c:v>
                </c:pt>
                <c:pt idx="37">
                  <c:v>22.123807522802235</c:v>
                </c:pt>
                <c:pt idx="38">
                  <c:v>19.596485843359812</c:v>
                </c:pt>
                <c:pt idx="39">
                  <c:v>19.180868333171652</c:v>
                </c:pt>
                <c:pt idx="40">
                  <c:v>25.926424488378206</c:v>
                </c:pt>
                <c:pt idx="41" formatCode="0.0">
                  <c:v>28.130493740025226</c:v>
                </c:pt>
                <c:pt idx="42" formatCode="0.0">
                  <c:v>18.237772049662329</c:v>
                </c:pt>
                <c:pt idx="43" formatCode="0.0">
                  <c:v>19.100000000000001</c:v>
                </c:pt>
                <c:pt idx="44" formatCode="0.0">
                  <c:v>20.686932465103727</c:v>
                </c:pt>
                <c:pt idx="45" formatCode="0.0">
                  <c:v>18.273992721467774</c:v>
                </c:pt>
                <c:pt idx="46" formatCode="0.0">
                  <c:v>12.775065694831193</c:v>
                </c:pt>
                <c:pt idx="47" formatCode="0.0">
                  <c:v>15.949037871016632</c:v>
                </c:pt>
                <c:pt idx="48" formatCode="0.0">
                  <c:v>8.5440476832129519</c:v>
                </c:pt>
                <c:pt idx="49" formatCode="0.0">
                  <c:v>-4.5622056678242258</c:v>
                </c:pt>
                <c:pt idx="50" formatCode="0.0">
                  <c:v>-11.891224568065192</c:v>
                </c:pt>
                <c:pt idx="51" formatCode="0.0">
                  <c:v>0.5872218846748406</c:v>
                </c:pt>
                <c:pt idx="52" formatCode="0.0">
                  <c:v>21.2</c:v>
                </c:pt>
                <c:pt idx="53" formatCode="0.0">
                  <c:v>14.805679039075409</c:v>
                </c:pt>
                <c:pt idx="54" formatCode="0.0">
                  <c:v>15.138710068393648</c:v>
                </c:pt>
                <c:pt idx="55" formatCode="0.0">
                  <c:v>15.055968466044563</c:v>
                </c:pt>
                <c:pt idx="56" formatCode="0.0">
                  <c:v>8.2820663349680768</c:v>
                </c:pt>
                <c:pt idx="57" formatCode="###0.0">
                  <c:v>-0.1</c:v>
                </c:pt>
                <c:pt idx="58" formatCode="###0.0">
                  <c:v>-5.9102037420420492</c:v>
                </c:pt>
                <c:pt idx="59" formatCode="###0.0">
                  <c:v>-7.7399452408305418</c:v>
                </c:pt>
                <c:pt idx="60" formatCode="###0.0">
                  <c:v>-5.1985459027706948</c:v>
                </c:pt>
              </c:numCache>
            </c:numRef>
          </c:val>
        </c:ser>
        <c:marker val="1"/>
        <c:axId val="114234112"/>
        <c:axId val="114235648"/>
      </c:lineChart>
      <c:catAx>
        <c:axId val="114234112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600" b="1"/>
            </a:pPr>
            <a:endParaRPr lang="fr-FR"/>
          </a:p>
        </c:txPr>
        <c:crossAx val="114235648"/>
        <c:crosses val="autoZero"/>
        <c:auto val="1"/>
        <c:lblAlgn val="ctr"/>
        <c:lblOffset val="100"/>
      </c:catAx>
      <c:valAx>
        <c:axId val="11423564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900"/>
            </a:pPr>
            <a:endParaRPr lang="fr-FR"/>
          </a:p>
        </c:txPr>
        <c:crossAx val="1142341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215507498199574"/>
          <c:y val="0.86317302230148174"/>
          <c:w val="0.73227019684562111"/>
          <c:h val="0.11847895122938075"/>
        </c:manualLayout>
      </c:layout>
      <c:txPr>
        <a:bodyPr/>
        <a:lstStyle/>
        <a:p>
          <a:pPr>
            <a:defRPr lang="en-US" sz="700" b="1"/>
          </a:pPr>
          <a:endParaRPr lang="fr-FR"/>
        </a:p>
      </c:txPr>
    </c:legend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6.0527361936278584E-2"/>
          <c:y val="6.6268897636050886E-2"/>
          <c:w val="0.91007862895562319"/>
          <c:h val="0.64249661983803175"/>
        </c:manualLayout>
      </c:layout>
      <c:lineChart>
        <c:grouping val="standard"/>
        <c:ser>
          <c:idx val="0"/>
          <c:order val="0"/>
          <c:tx>
            <c:strRef>
              <c:f>'tableau note fr'!$A$13</c:f>
              <c:strCache>
                <c:ptCount val="1"/>
                <c:pt idx="0">
                  <c:v>Evolution future des prix des produits alimentaires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fr'!$B$3:$BJ$3</c:f>
              <c:strCache>
                <c:ptCount val="6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  <c:pt idx="55">
                  <c:v>T4/21</c:v>
                </c:pt>
                <c:pt idx="56">
                  <c:v>T1/22</c:v>
                </c:pt>
                <c:pt idx="57">
                  <c:v>T2/22</c:v>
                </c:pt>
                <c:pt idx="58">
                  <c:v>T3/22</c:v>
                </c:pt>
                <c:pt idx="59">
                  <c:v>T4/22</c:v>
                </c:pt>
                <c:pt idx="60">
                  <c:v>T1/23</c:v>
                </c:pt>
              </c:strCache>
            </c:strRef>
          </c:cat>
          <c:val>
            <c:numRef>
              <c:f>'tableau note fr'!$B$13:$BJ$13</c:f>
              <c:numCache>
                <c:formatCode>#,##0.0</c:formatCode>
                <c:ptCount val="61"/>
                <c:pt idx="0">
                  <c:v>-74.061389031284818</c:v>
                </c:pt>
                <c:pt idx="1">
                  <c:v>-77.716574651610429</c:v>
                </c:pt>
                <c:pt idx="2">
                  <c:v>-78.940542419693813</c:v>
                </c:pt>
                <c:pt idx="3">
                  <c:v>-49.653420650313478</c:v>
                </c:pt>
                <c:pt idx="4">
                  <c:v>-34.869529990694446</c:v>
                </c:pt>
                <c:pt idx="5">
                  <c:v>-33.523065681383329</c:v>
                </c:pt>
                <c:pt idx="6">
                  <c:v>-50.919242344766445</c:v>
                </c:pt>
                <c:pt idx="7">
                  <c:v>-47.87194786445454</c:v>
                </c:pt>
                <c:pt idx="8">
                  <c:v>-46.51502281152586</c:v>
                </c:pt>
                <c:pt idx="9">
                  <c:v>-56.832932011427957</c:v>
                </c:pt>
                <c:pt idx="10">
                  <c:v>-62.176731306136958</c:v>
                </c:pt>
                <c:pt idx="11">
                  <c:v>-70.131788082404057</c:v>
                </c:pt>
                <c:pt idx="12">
                  <c:v>-73.412747182583757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-72.965887012434848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-73.578371466433751</c:v>
                </c:pt>
                <c:pt idx="19">
                  <c:v>-70.049698245525676</c:v>
                </c:pt>
                <c:pt idx="20">
                  <c:v>-76.096296687300736</c:v>
                </c:pt>
                <c:pt idx="21">
                  <c:v>-73.375476646911466</c:v>
                </c:pt>
                <c:pt idx="22">
                  <c:v>-76.007455926126042</c:v>
                </c:pt>
                <c:pt idx="23">
                  <c:v>-76.048555842624395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-76.898841721729667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>
                  <c:v>-77.900000000000006</c:v>
                </c:pt>
                <c:pt idx="35">
                  <c:v>-77.33590195130148</c:v>
                </c:pt>
                <c:pt idx="36">
                  <c:v>-77.664169536728878</c:v>
                </c:pt>
                <c:pt idx="37">
                  <c:v>-74.5</c:v>
                </c:pt>
                <c:pt idx="38">
                  <c:v>-73.964173414184586</c:v>
                </c:pt>
                <c:pt idx="39">
                  <c:v>-79.602800137507742</c:v>
                </c:pt>
                <c:pt idx="40">
                  <c:v>-82.909090889011466</c:v>
                </c:pt>
                <c:pt idx="41" formatCode="0.0">
                  <c:v>-84.024833717392056</c:v>
                </c:pt>
                <c:pt idx="42">
                  <c:v>-82.078038176837225</c:v>
                </c:pt>
                <c:pt idx="43">
                  <c:v>-86.6</c:v>
                </c:pt>
                <c:pt idx="44">
                  <c:v>-87.54271632969234</c:v>
                </c:pt>
                <c:pt idx="45">
                  <c:v>-86.508482649196509</c:v>
                </c:pt>
                <c:pt idx="46">
                  <c:v>-83.288697742697579</c:v>
                </c:pt>
                <c:pt idx="47">
                  <c:v>-82.220036585575144</c:v>
                </c:pt>
                <c:pt idx="48">
                  <c:v>-82.585609750348496</c:v>
                </c:pt>
                <c:pt idx="49" formatCode="0.0">
                  <c:v>-69.044082249116101</c:v>
                </c:pt>
                <c:pt idx="50">
                  <c:v>-68.063522341730973</c:v>
                </c:pt>
                <c:pt idx="51" formatCode="0.0">
                  <c:v>-64.634662916008139</c:v>
                </c:pt>
                <c:pt idx="52">
                  <c:v>-60.2</c:v>
                </c:pt>
                <c:pt idx="53">
                  <c:v>-67.626807058147179</c:v>
                </c:pt>
                <c:pt idx="54">
                  <c:v>-70.948472628894308</c:v>
                </c:pt>
                <c:pt idx="55">
                  <c:v>-76.250623411131627</c:v>
                </c:pt>
                <c:pt idx="56">
                  <c:v>-74.08113857965057</c:v>
                </c:pt>
                <c:pt idx="57" formatCode="###0.0">
                  <c:v>-74.293813887540622</c:v>
                </c:pt>
                <c:pt idx="58" formatCode="###0.0">
                  <c:v>-73.590712253861639</c:v>
                </c:pt>
                <c:pt idx="59" formatCode="###0.0">
                  <c:v>-71.823546131746667</c:v>
                </c:pt>
                <c:pt idx="60" formatCode="###0.0">
                  <c:v>-69.77520154712964</c:v>
                </c:pt>
              </c:numCache>
            </c:numRef>
          </c:val>
        </c:ser>
        <c:ser>
          <c:idx val="1"/>
          <c:order val="1"/>
          <c:tx>
            <c:strRef>
              <c:f>'tableau note fr'!$A$14</c:f>
              <c:strCache>
                <c:ptCount val="1"/>
                <c:pt idx="0">
                  <c:v>Evolution  passée des prix des produits alimentaires</c:v>
                </c:pt>
              </c:strCache>
            </c:strRef>
          </c:tx>
          <c:cat>
            <c:strRef>
              <c:f>'tableau note fr'!$B$3:$BJ$3</c:f>
              <c:strCache>
                <c:ptCount val="6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  <c:pt idx="55">
                  <c:v>T4/21</c:v>
                </c:pt>
                <c:pt idx="56">
                  <c:v>T1/22</c:v>
                </c:pt>
                <c:pt idx="57">
                  <c:v>T2/22</c:v>
                </c:pt>
                <c:pt idx="58">
                  <c:v>T3/22</c:v>
                </c:pt>
                <c:pt idx="59">
                  <c:v>T4/22</c:v>
                </c:pt>
                <c:pt idx="60">
                  <c:v>T1/23</c:v>
                </c:pt>
              </c:strCache>
            </c:strRef>
          </c:cat>
          <c:val>
            <c:numRef>
              <c:f>'tableau note fr'!$B$14:$BJ$14</c:f>
              <c:numCache>
                <c:formatCode>#,##0.0</c:formatCode>
                <c:ptCount val="61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-83.27809847810137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-90.967802162493442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-89.924388392525927</c:v>
                </c:pt>
                <c:pt idx="15">
                  <c:v>-92.495216554147831</c:v>
                </c:pt>
                <c:pt idx="16">
                  <c:v>-91.625316584481652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-91.630328830979536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-84.135715875788947</c:v>
                </c:pt>
                <c:pt idx="26">
                  <c:v>-81.763249669623846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-84.28450715952367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-87.871778057968015</c:v>
                </c:pt>
                <c:pt idx="34">
                  <c:v>-87.672521775530825</c:v>
                </c:pt>
                <c:pt idx="35">
                  <c:v>-87.308587775463238</c:v>
                </c:pt>
                <c:pt idx="36">
                  <c:v>-86.771015006658288</c:v>
                </c:pt>
                <c:pt idx="37">
                  <c:v>-86.4</c:v>
                </c:pt>
                <c:pt idx="38">
                  <c:v>-82.805018292489279</c:v>
                </c:pt>
                <c:pt idx="39">
                  <c:v>-88.513579156072012</c:v>
                </c:pt>
                <c:pt idx="40">
                  <c:v>-86.694812387811382</c:v>
                </c:pt>
                <c:pt idx="41" formatCode="0.0">
                  <c:v>-88.182833745436568</c:v>
                </c:pt>
                <c:pt idx="42">
                  <c:v>-88.119908444008828</c:v>
                </c:pt>
                <c:pt idx="43">
                  <c:v>-90.3</c:v>
                </c:pt>
                <c:pt idx="44">
                  <c:v>-88.136419421127727</c:v>
                </c:pt>
                <c:pt idx="45">
                  <c:v>-88.912542109472369</c:v>
                </c:pt>
                <c:pt idx="46">
                  <c:v>-83.748311328811582</c:v>
                </c:pt>
                <c:pt idx="47">
                  <c:v>-85.084964738360227</c:v>
                </c:pt>
                <c:pt idx="48">
                  <c:v>-82.774085672956858</c:v>
                </c:pt>
                <c:pt idx="49" formatCode="0.0">
                  <c:v>-67.616999612935103</c:v>
                </c:pt>
                <c:pt idx="50">
                  <c:v>-75.123128911649388</c:v>
                </c:pt>
                <c:pt idx="51" formatCode="0.0">
                  <c:v>-74.676635648394679</c:v>
                </c:pt>
                <c:pt idx="52">
                  <c:v>-74</c:v>
                </c:pt>
                <c:pt idx="53">
                  <c:v>-86.830108784480601</c:v>
                </c:pt>
                <c:pt idx="54">
                  <c:v>-86.892269253653168</c:v>
                </c:pt>
                <c:pt idx="55">
                  <c:v>-95.946419387502416</c:v>
                </c:pt>
                <c:pt idx="56">
                  <c:v>-97.899492867529347</c:v>
                </c:pt>
                <c:pt idx="57" formatCode="###0.0">
                  <c:v>-99.090827572349781</c:v>
                </c:pt>
                <c:pt idx="58" formatCode="###0.0">
                  <c:v>-99.053454059204242</c:v>
                </c:pt>
                <c:pt idx="59" formatCode="###0.0">
                  <c:v>-98.761441528769112</c:v>
                </c:pt>
                <c:pt idx="60" formatCode="###0.0">
                  <c:v>-98.724700288378315</c:v>
                </c:pt>
              </c:numCache>
            </c:numRef>
          </c:val>
        </c:ser>
        <c:marker val="1"/>
        <c:axId val="114256128"/>
        <c:axId val="114270208"/>
      </c:lineChart>
      <c:catAx>
        <c:axId val="114256128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600"/>
            </a:pPr>
            <a:endParaRPr lang="fr-FR"/>
          </a:p>
        </c:txPr>
        <c:crossAx val="114270208"/>
        <c:crosses val="autoZero"/>
        <c:auto val="1"/>
        <c:lblAlgn val="ctr"/>
        <c:lblOffset val="100"/>
      </c:catAx>
      <c:valAx>
        <c:axId val="11427020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900"/>
            </a:pPr>
            <a:endParaRPr lang="fr-FR"/>
          </a:p>
        </c:txPr>
        <c:crossAx val="1142561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1897594078835985E-2"/>
          <c:y val="0.84543111396608261"/>
          <c:w val="0.89999997011686395"/>
          <c:h val="7.3393958859652123E-2"/>
        </c:manualLayout>
      </c:layout>
      <c:txPr>
        <a:bodyPr/>
        <a:lstStyle/>
        <a:p>
          <a:pPr>
            <a:defRPr lang="en-US"/>
          </a:pPr>
          <a:endParaRPr lang="fr-FR"/>
        </a:p>
      </c:txPr>
    </c:legend>
    <c:plotVisOnly val="1"/>
    <c:dispBlanksAs val="gap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D1756-21B2-4B44-970E-F62334CA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1516</Words>
  <Characters>8344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9841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HCP</cp:lastModifiedBy>
  <cp:revision>18</cp:revision>
  <cp:lastPrinted>2023-04-11T14:12:00Z</cp:lastPrinted>
  <dcterms:created xsi:type="dcterms:W3CDTF">2023-04-10T10:25:00Z</dcterms:created>
  <dcterms:modified xsi:type="dcterms:W3CDTF">2023-04-13T12:36:00Z</dcterms:modified>
</cp:coreProperties>
</file>