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6A056FCA" w:rsidR="00693096" w:rsidRPr="00287695" w:rsidRDefault="00287695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Mai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1CBF89A0" w:rsidR="002D2180" w:rsidRPr="00D3493A" w:rsidRDefault="005F7A48" w:rsidP="005F7A4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Baisse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Mai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5E933DE4" w:rsidR="002D2180" w:rsidRDefault="002D2180" w:rsidP="005F7A4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5F7A48">
        <w:rPr>
          <w:rFonts w:ascii="Times New Roman" w:eastAsia="Gulim" w:hAnsi="Times New Roman"/>
          <w:sz w:val="28"/>
          <w:szCs w:val="28"/>
        </w:rPr>
        <w:t>baisse de 0,2%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74627E">
        <w:rPr>
          <w:rFonts w:ascii="Times New Roman" w:eastAsia="Gulim" w:hAnsi="Times New Roman"/>
          <w:sz w:val="28"/>
          <w:szCs w:val="28"/>
        </w:rPr>
        <w:t>d</w:t>
      </w:r>
      <w:r w:rsidR="005F7A48">
        <w:rPr>
          <w:rFonts w:ascii="Times New Roman" w:eastAsia="Gulim" w:hAnsi="Times New Roman"/>
          <w:sz w:val="28"/>
          <w:szCs w:val="28"/>
        </w:rPr>
        <w:t>e Mai</w:t>
      </w:r>
      <w:r>
        <w:rPr>
          <w:rFonts w:ascii="Times New Roman" w:eastAsia="Gulim" w:hAnsi="Times New Roman"/>
          <w:sz w:val="28"/>
          <w:szCs w:val="28"/>
        </w:rPr>
        <w:t xml:space="preserve"> 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5F7A48">
        <w:rPr>
          <w:rFonts w:ascii="Times New Roman" w:eastAsia="Gulim" w:hAnsi="Times New Roman"/>
          <w:sz w:val="28"/>
          <w:szCs w:val="28"/>
        </w:rPr>
        <w:t>baisse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5F7A48">
        <w:rPr>
          <w:rFonts w:ascii="Times New Roman" w:eastAsia="Gulim" w:hAnsi="Times New Roman"/>
          <w:sz w:val="28"/>
          <w:szCs w:val="28"/>
        </w:rPr>
        <w:t>0,7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5F7A48">
        <w:rPr>
          <w:rFonts w:ascii="Times New Roman" w:eastAsia="Gulim" w:hAnsi="Times New Roman"/>
          <w:sz w:val="28"/>
          <w:szCs w:val="28"/>
        </w:rPr>
        <w:t>hausse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</w:t>
      </w:r>
      <w:r w:rsidR="005F7A48">
        <w:rPr>
          <w:rFonts w:ascii="Times New Roman" w:eastAsia="Gulim" w:hAnsi="Times New Roman"/>
          <w:sz w:val="28"/>
          <w:szCs w:val="28"/>
        </w:rPr>
        <w:t>1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6741CDA" w14:textId="7AB3E9D8" w:rsidR="00493439" w:rsidRDefault="005F7A48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243E625F" w14:textId="0EB4437F" w:rsidR="005F7A48" w:rsidRPr="00493439" w:rsidRDefault="00840A04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226474C7">
            <wp:simplePos x="0" y="0"/>
            <wp:positionH relativeFrom="column">
              <wp:posOffset>15240</wp:posOffset>
            </wp:positionH>
            <wp:positionV relativeFrom="paragraph">
              <wp:posOffset>206375</wp:posOffset>
            </wp:positionV>
            <wp:extent cx="1704975" cy="1333500"/>
            <wp:effectExtent l="0" t="0" r="9525" b="0"/>
            <wp:wrapTight wrapText="bothSides">
              <wp:wrapPolygon edited="0">
                <wp:start x="0" y="0"/>
                <wp:lineTo x="0" y="21291"/>
                <wp:lineTo x="21479" y="21291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83B310" w14:textId="48A57632" w:rsidR="00D57C32" w:rsidRDefault="00EB1CCF" w:rsidP="005F7A48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5F7A48">
        <w:rPr>
          <w:rFonts w:ascii="Times New Roman" w:eastAsia="Gulim" w:hAnsi="Times New Roman"/>
          <w:noProof/>
          <w:sz w:val="28"/>
          <w:szCs w:val="28"/>
          <w:lang w:eastAsia="fr-FR"/>
        </w:rPr>
        <w:t>baisses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Avril</w:t>
      </w:r>
      <w:r w:rsidR="005F7A48">
        <w:rPr>
          <w:rFonts w:ascii="Times New Roman" w:eastAsia="Gulim" w:hAnsi="Times New Roman"/>
          <w:sz w:val="28"/>
          <w:szCs w:val="28"/>
        </w:rPr>
        <w:t xml:space="preserve"> et Mai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5F7A48">
        <w:rPr>
          <w:rFonts w:ascii="Times New Roman" w:eastAsia="Gulim" w:hAnsi="Times New Roman"/>
          <w:sz w:val="28"/>
          <w:szCs w:val="28"/>
        </w:rPr>
        <w:t>5,5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 xml:space="preserve">et les </w:t>
      </w:r>
      <w:r w:rsidR="00732622" w:rsidRPr="009C0D33">
        <w:rPr>
          <w:rFonts w:ascii="Times New Roman" w:eastAsia="Gulim" w:hAnsi="Times New Roman"/>
          <w:sz w:val="28"/>
          <w:szCs w:val="28"/>
        </w:rPr>
        <w:t>‘‘</w:t>
      </w:r>
      <w:r w:rsidR="00A91424">
        <w:rPr>
          <w:rFonts w:ascii="Times New Roman" w:eastAsia="Gulim" w:hAnsi="Times New Roman"/>
          <w:sz w:val="28"/>
          <w:szCs w:val="28"/>
        </w:rPr>
        <w:t>Fruits</w:t>
      </w:r>
      <w:r w:rsidR="00732622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4,</w:t>
      </w:r>
      <w:r w:rsidR="005F7A48">
        <w:rPr>
          <w:rFonts w:ascii="Times New Roman" w:eastAsia="Gulim" w:hAnsi="Times New Roman"/>
          <w:sz w:val="28"/>
          <w:szCs w:val="28"/>
        </w:rPr>
        <w:t>1</w:t>
      </w:r>
      <w:r w:rsidR="00A91424">
        <w:rPr>
          <w:rFonts w:ascii="Times New Roman" w:eastAsia="Gulim" w:hAnsi="Times New Roman"/>
          <w:sz w:val="28"/>
          <w:szCs w:val="28"/>
        </w:rPr>
        <w:t xml:space="preserve">%. Cette </w:t>
      </w:r>
      <w:r w:rsidR="005F7A48">
        <w:rPr>
          <w:rFonts w:ascii="Times New Roman" w:eastAsia="Gulim" w:hAnsi="Times New Roman"/>
          <w:sz w:val="28"/>
          <w:szCs w:val="28"/>
        </w:rPr>
        <w:t>baisse</w:t>
      </w:r>
      <w:r w:rsidR="00A91424">
        <w:rPr>
          <w:rFonts w:ascii="Times New Roman" w:eastAsia="Gulim" w:hAnsi="Times New Roman"/>
          <w:sz w:val="28"/>
          <w:szCs w:val="28"/>
        </w:rPr>
        <w:t xml:space="preserve"> a été atténuée par la </w:t>
      </w:r>
      <w:r w:rsidR="005F7A48">
        <w:rPr>
          <w:rFonts w:ascii="Times New Roman" w:eastAsia="Gulim" w:hAnsi="Times New Roman"/>
          <w:sz w:val="28"/>
          <w:szCs w:val="28"/>
        </w:rPr>
        <w:t>hausse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>des prix de</w:t>
      </w:r>
      <w:r w:rsidR="00A91424">
        <w:rPr>
          <w:rFonts w:ascii="Times New Roman" w:eastAsia="Gulim" w:hAnsi="Times New Roman"/>
          <w:sz w:val="28"/>
          <w:szCs w:val="28"/>
        </w:rPr>
        <w:t xml:space="preserve">s </w:t>
      </w:r>
      <w:r w:rsidR="005F7A48" w:rsidRPr="009C0D33">
        <w:rPr>
          <w:rFonts w:ascii="Times New Roman" w:eastAsia="Gulim" w:hAnsi="Times New Roman"/>
          <w:sz w:val="28"/>
          <w:szCs w:val="28"/>
        </w:rPr>
        <w:t>‘‘</w:t>
      </w:r>
      <w:r w:rsidR="005F7A48">
        <w:rPr>
          <w:rFonts w:ascii="Times New Roman" w:eastAsia="Gulim" w:hAnsi="Times New Roman"/>
          <w:sz w:val="28"/>
          <w:szCs w:val="28"/>
        </w:rPr>
        <w:t>Poissons et Fruits de mer</w:t>
      </w:r>
      <w:r w:rsidR="005F7A48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de </w:t>
      </w:r>
      <w:r w:rsidR="005F7A48">
        <w:rPr>
          <w:rFonts w:ascii="Times New Roman" w:eastAsia="Gulim" w:hAnsi="Times New Roman"/>
          <w:sz w:val="28"/>
          <w:szCs w:val="28"/>
        </w:rPr>
        <w:t>2</w:t>
      </w:r>
      <w:r w:rsidR="00A91424">
        <w:rPr>
          <w:rFonts w:ascii="Times New Roman" w:eastAsia="Gulim" w:hAnsi="Times New Roman"/>
          <w:sz w:val="28"/>
          <w:szCs w:val="28"/>
        </w:rPr>
        <w:t>,</w:t>
      </w:r>
      <w:r w:rsidR="00732622">
        <w:rPr>
          <w:rFonts w:ascii="Times New Roman" w:eastAsia="Gulim" w:hAnsi="Times New Roman"/>
          <w:sz w:val="28"/>
          <w:szCs w:val="28"/>
        </w:rPr>
        <w:t>3</w:t>
      </w:r>
      <w:r w:rsidR="00A91424">
        <w:rPr>
          <w:rFonts w:ascii="Times New Roman" w:eastAsia="Gulim" w:hAnsi="Times New Roman"/>
          <w:sz w:val="28"/>
          <w:szCs w:val="28"/>
        </w:rPr>
        <w:t>%.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5F7A48" w:rsidRPr="001B6B04" w14:paraId="2126FF1D" w14:textId="77777777" w:rsidTr="005F7A48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6C47737" w14:textId="05B47C3D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Avril- 2020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5FDA51CA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Mai- 2020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5F7A48" w:rsidRPr="001B6B04" w14:paraId="02018970" w14:textId="77777777" w:rsidTr="005F7A48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5F7A48" w:rsidRPr="008E7CC9" w:rsidRDefault="005F7A48" w:rsidP="005F7A4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5F7A48" w:rsidRPr="008E7CC9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23A9A93" w14:textId="780EF5D7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558098F5" w:rsidR="005F7A48" w:rsidRPr="008E7CC9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4178E265" w:rsidR="005F7A48" w:rsidRPr="008E7CC9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-0,8</w:t>
            </w:r>
          </w:p>
        </w:tc>
      </w:tr>
      <w:tr w:rsidR="005F7A48" w:rsidRPr="001B6B04" w14:paraId="5D364F85" w14:textId="77777777" w:rsidTr="005F7A48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BCBDAFE" w14:textId="70FA3675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55920C0A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5EE4C32F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5F7A48" w:rsidRPr="001B6B04" w14:paraId="6C5B7EC2" w14:textId="77777777" w:rsidTr="005F7A48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32E22681" w14:textId="4A08225C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106,8</w:t>
            </w:r>
          </w:p>
        </w:tc>
        <w:tc>
          <w:tcPr>
            <w:tcW w:w="1559" w:type="dxa"/>
            <w:vAlign w:val="center"/>
          </w:tcPr>
          <w:p w14:paraId="19B6DA7B" w14:textId="0920BCF7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47FE0FDE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5F7A48" w:rsidRPr="001B6B04" w14:paraId="1CA1F63D" w14:textId="77777777" w:rsidTr="005F7A48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7D8CF69D" w14:textId="351B0701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104,1</w:t>
            </w:r>
          </w:p>
        </w:tc>
        <w:tc>
          <w:tcPr>
            <w:tcW w:w="1559" w:type="dxa"/>
            <w:vAlign w:val="center"/>
          </w:tcPr>
          <w:p w14:paraId="1B002BD9" w14:textId="78B3A411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1EAA1A03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5F7A48" w:rsidRPr="001B6B04" w14:paraId="06AE38F6" w14:textId="77777777" w:rsidTr="005F7A48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13D559B8" w14:textId="68E87432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98,7</w:t>
            </w:r>
          </w:p>
        </w:tc>
        <w:tc>
          <w:tcPr>
            <w:tcW w:w="1559" w:type="dxa"/>
            <w:vAlign w:val="center"/>
          </w:tcPr>
          <w:p w14:paraId="63EED3B1" w14:textId="7EB4A60D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73532D11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5F7A48" w:rsidRPr="001B6B04" w14:paraId="25813806" w14:textId="77777777" w:rsidTr="005F7A48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708FBC5D" w14:textId="38BEA344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97,0</w:t>
            </w:r>
          </w:p>
        </w:tc>
        <w:tc>
          <w:tcPr>
            <w:tcW w:w="1559" w:type="dxa"/>
            <w:vAlign w:val="center"/>
          </w:tcPr>
          <w:p w14:paraId="0FCEC70D" w14:textId="58F4D831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4416A2BF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5F7A48" w:rsidRPr="001B6B04" w14:paraId="3F04F2F8" w14:textId="77777777" w:rsidTr="005F7A48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31FA5A40" w14:textId="048A4046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114,2</w:t>
            </w:r>
          </w:p>
        </w:tc>
        <w:tc>
          <w:tcPr>
            <w:tcW w:w="1559" w:type="dxa"/>
            <w:vAlign w:val="center"/>
          </w:tcPr>
          <w:p w14:paraId="7D34A147" w14:textId="336E5626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109,5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2AEBC4B3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-4,1</w:t>
            </w:r>
          </w:p>
        </w:tc>
      </w:tr>
      <w:tr w:rsidR="005F7A48" w:rsidRPr="001B6B04" w14:paraId="350AE782" w14:textId="77777777" w:rsidTr="005F7A48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7D482ED0" w14:textId="46D0655E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107,3</w:t>
            </w:r>
          </w:p>
        </w:tc>
        <w:tc>
          <w:tcPr>
            <w:tcW w:w="1559" w:type="dxa"/>
            <w:vAlign w:val="center"/>
          </w:tcPr>
          <w:p w14:paraId="50DCE4A4" w14:textId="31E5D926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59C863A4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-5,5</w:t>
            </w:r>
          </w:p>
        </w:tc>
      </w:tr>
      <w:tr w:rsidR="005F7A48" w:rsidRPr="001B6B04" w14:paraId="542952A6" w14:textId="77777777" w:rsidTr="005F7A48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7EECD3F8" w14:textId="43CD99DF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vAlign w:val="center"/>
          </w:tcPr>
          <w:p w14:paraId="69718176" w14:textId="77A36670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529DCB0D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F7A48" w:rsidRPr="001B6B04" w14:paraId="0AD3C8E0" w14:textId="77777777" w:rsidTr="005F7A48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D912B4" w14:textId="4194C7DE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0A838F03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88,8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74121F08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</w:t>
            </w:r>
          </w:p>
        </w:tc>
      </w:tr>
      <w:tr w:rsidR="005F7A48" w:rsidRPr="001B6B04" w14:paraId="6353966C" w14:textId="77777777" w:rsidTr="005F7A48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8E856" w14:textId="03C470E9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70CA0D5E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126FD02E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F7A48" w:rsidRPr="001B6B04" w14:paraId="1B88FAD4" w14:textId="77777777" w:rsidTr="005F7A48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5F7A48" w:rsidRPr="008E7CC9" w:rsidRDefault="005F7A48" w:rsidP="005F7A4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5F7A48" w:rsidRPr="008E7CC9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25D371D" w14:textId="222C4548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66922018" w:rsidR="005F7A48" w:rsidRPr="008E7CC9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0EE61914" w:rsidR="005F7A48" w:rsidRPr="008E7CC9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F7A48" w:rsidRPr="001B6B04" w14:paraId="5A8C36EF" w14:textId="77777777" w:rsidTr="005F7A48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9953AF" w14:textId="176A9C32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2C5CDE5F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01CBAEA5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F7A48" w:rsidRPr="001B6B04" w14:paraId="1254012C" w14:textId="77777777" w:rsidTr="005F7A48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50EC313" w14:textId="6FF6F71D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7DF79208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1DAA2F8D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5F7A48" w:rsidRPr="001B6B04" w14:paraId="6C36C82B" w14:textId="77777777" w:rsidTr="005F7A48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5F7A48" w:rsidRPr="003109A6" w:rsidRDefault="005F7A48" w:rsidP="005F7A48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5F7A48" w:rsidRPr="003109A6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6232B489" w14:textId="70730247" w:rsidR="005F7A48" w:rsidRDefault="005F7A48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103,6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24EEFB55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7F2CADD0" w:rsidR="005F7A48" w:rsidRPr="003109A6" w:rsidRDefault="00F241BF" w:rsidP="005F7A48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245C6781" w:rsidR="00267A4B" w:rsidRDefault="00707FE3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Légère hausse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4FA208E5" w:rsidR="000502E7" w:rsidRDefault="00267A4B" w:rsidP="007236F9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5F2792">
        <w:rPr>
          <w:rFonts w:ascii="Times New Roman" w:eastAsia="Gulim" w:hAnsi="Times New Roman"/>
          <w:sz w:val="28"/>
          <w:szCs w:val="28"/>
        </w:rPr>
        <w:t>Avril</w:t>
      </w:r>
      <w:r w:rsidR="00462AF2">
        <w:rPr>
          <w:rFonts w:ascii="Times New Roman" w:eastAsia="Gulim" w:hAnsi="Times New Roman"/>
          <w:sz w:val="28"/>
          <w:szCs w:val="28"/>
        </w:rPr>
        <w:t xml:space="preserve"> </w:t>
      </w:r>
      <w:r w:rsidR="00707FE3">
        <w:rPr>
          <w:rFonts w:ascii="Times New Roman" w:eastAsia="Gulim" w:hAnsi="Times New Roman"/>
          <w:sz w:val="28"/>
          <w:szCs w:val="28"/>
        </w:rPr>
        <w:t xml:space="preserve">et Mai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707FE3">
        <w:rPr>
          <w:rFonts w:ascii="Times New Roman" w:eastAsia="Gulim" w:hAnsi="Times New Roman"/>
          <w:sz w:val="28"/>
          <w:szCs w:val="28"/>
        </w:rPr>
        <w:t>Articles d’habillement et chaussures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707FE3">
        <w:rPr>
          <w:rFonts w:ascii="Times New Roman" w:eastAsia="Gulim" w:hAnsi="Times New Roman"/>
          <w:sz w:val="28"/>
          <w:szCs w:val="28"/>
        </w:rPr>
        <w:t>0,8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707FE3">
        <w:rPr>
          <w:rFonts w:ascii="Times New Roman" w:eastAsia="Gulim" w:hAnsi="Times New Roman"/>
          <w:sz w:val="28"/>
          <w:szCs w:val="28"/>
        </w:rPr>
        <w:t>Meubles et articles d’ameublement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707FE3">
        <w:rPr>
          <w:rFonts w:ascii="Times New Roman" w:eastAsia="Gulim" w:hAnsi="Times New Roman"/>
          <w:sz w:val="28"/>
          <w:szCs w:val="28"/>
        </w:rPr>
        <w:t>1,1</w:t>
      </w:r>
      <w:r w:rsidR="002F45BF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07FE3">
        <w:rPr>
          <w:rFonts w:ascii="Times New Roman" w:eastAsia="Gulim" w:hAnsi="Times New Roman"/>
          <w:sz w:val="28"/>
          <w:szCs w:val="28"/>
        </w:rPr>
        <w:t xml:space="preserve">baisse des </w:t>
      </w:r>
      <w:r w:rsidR="00707FE3" w:rsidRPr="009C0D33">
        <w:rPr>
          <w:rFonts w:ascii="Times New Roman" w:eastAsia="Gulim" w:hAnsi="Times New Roman"/>
          <w:sz w:val="28"/>
          <w:szCs w:val="28"/>
        </w:rPr>
        <w:t>‘‘</w:t>
      </w:r>
      <w:r w:rsidR="00707FE3">
        <w:rPr>
          <w:rFonts w:ascii="Times New Roman" w:eastAsia="Gulim" w:hAnsi="Times New Roman"/>
          <w:sz w:val="28"/>
          <w:szCs w:val="28"/>
        </w:rPr>
        <w:t>Carburants et Lubrifiants</w:t>
      </w:r>
      <w:r w:rsidR="00707FE3" w:rsidRPr="00391850">
        <w:rPr>
          <w:rFonts w:ascii="Times New Roman" w:eastAsia="Gulim" w:hAnsi="Times New Roman"/>
          <w:sz w:val="28"/>
          <w:szCs w:val="28"/>
        </w:rPr>
        <w:t>’’</w:t>
      </w:r>
      <w:r w:rsidR="00707FE3">
        <w:rPr>
          <w:rFonts w:ascii="Times New Roman" w:eastAsia="Gulim" w:hAnsi="Times New Roman"/>
          <w:sz w:val="28"/>
          <w:szCs w:val="28"/>
        </w:rPr>
        <w:t xml:space="preserve"> de 0,1% et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499C9749" w14:textId="4811A3C4" w:rsidR="00864B65" w:rsidRDefault="00B36FB6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7C46074" wp14:editId="4A74398F">
            <wp:extent cx="5400675" cy="2266950"/>
            <wp:effectExtent l="0" t="0" r="9525" b="0"/>
            <wp:docPr id="5" name="Graphiqu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09C7AEFF" w:rsidR="00CB4CB9" w:rsidRPr="00956A42" w:rsidRDefault="00557DA3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8B559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Mai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6FD959CC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0056D93B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1ED85220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6BD3571D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-0,7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25C1D252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17AE6517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1868D9E8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097C55C1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01F270A2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4CD7AE13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093DE3BA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2656125D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4F0B51AD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0049362A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-9,0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13AF9458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51DAB874" w:rsidR="00CB4CB9" w:rsidRPr="004E0DA4" w:rsidRDefault="005E18B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52B48E8D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-0,8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73CD8D16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-2,5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2FAA8B57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3CB0564E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53EBD609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197F0019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383376FB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296841FE" w:rsidR="00CB4CB9" w:rsidRPr="004E0DA4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1FB879B4" w:rsidR="00CB4CB9" w:rsidRPr="005E0AD7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0321AC5C" w:rsidR="00CB4CB9" w:rsidRPr="005E0AD7" w:rsidRDefault="00702025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</w:tbl>
    <w:p w14:paraId="608BF836" w14:textId="202547EF" w:rsidR="00F1588E" w:rsidRDefault="00D615DD" w:rsidP="00A3740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baisse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b/>
          <w:bCs/>
          <w:sz w:val="28"/>
          <w:szCs w:val="28"/>
        </w:rPr>
        <w:t>0,3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1D81C155" w:rsidR="00E3722B" w:rsidRDefault="00D615DD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A37409">
        <w:rPr>
          <w:rFonts w:ascii="Times New Roman" w:eastAsia="Gulim" w:hAnsi="Times New Roman"/>
          <w:sz w:val="28"/>
          <w:szCs w:val="28"/>
        </w:rPr>
        <w:t>diminué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A37409">
        <w:rPr>
          <w:rFonts w:ascii="Times New Roman" w:eastAsia="Gulim" w:hAnsi="Times New Roman"/>
          <w:sz w:val="28"/>
          <w:szCs w:val="28"/>
        </w:rPr>
        <w:t>0,2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B64E2F">
        <w:rPr>
          <w:rFonts w:ascii="Times New Roman" w:eastAsia="Gulim" w:hAnsi="Times New Roman"/>
          <w:sz w:val="28"/>
          <w:szCs w:val="28"/>
        </w:rPr>
        <w:t xml:space="preserve">la baisse de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A37409">
        <w:rPr>
          <w:rFonts w:ascii="Times New Roman" w:eastAsia="Gulim" w:hAnsi="Times New Roman"/>
          <w:sz w:val="28"/>
          <w:szCs w:val="28"/>
        </w:rPr>
        <w:t>7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7FE2BDFD" w:rsidR="003442C0" w:rsidRDefault="00C820FB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89F8CD2" wp14:editId="758CDF72">
            <wp:extent cx="5705475" cy="2705100"/>
            <wp:effectExtent l="0" t="0" r="9525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29D603D3-F6FF-46CD-B20F-A129F65E5A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6C6ED3B" w14:textId="10AAC1ED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0,8% au cours des cinq premiers mois 2020.</w:t>
      </w:r>
    </w:p>
    <w:p w14:paraId="2887E6AC" w14:textId="77777777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0A92017" w14:textId="691C9485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cinq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0,8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7340D065" w14:textId="3AE57861" w:rsidR="002E54E2" w:rsidRDefault="002E54E2" w:rsidP="00C3488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(+8,1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+10,6</w:t>
      </w:r>
      <w:r>
        <w:rPr>
          <w:rFonts w:ascii="Times New Roman" w:eastAsia="Gulim" w:hAnsi="Times New Roman"/>
          <w:sz w:val="28"/>
          <w:szCs w:val="28"/>
        </w:rPr>
        <w:t>%)</w:t>
      </w:r>
      <w:r w:rsidR="00C34887">
        <w:rPr>
          <w:rFonts w:ascii="Times New Roman" w:eastAsia="Gulim" w:hAnsi="Times New Roman"/>
          <w:sz w:val="28"/>
          <w:szCs w:val="28"/>
        </w:rPr>
        <w:t xml:space="preserve">, les </w:t>
      </w:r>
      <w:r w:rsidR="00C34887" w:rsidRPr="00391850">
        <w:rPr>
          <w:rFonts w:ascii="Times New Roman" w:eastAsia="Gulim" w:hAnsi="Times New Roman"/>
          <w:sz w:val="28"/>
          <w:szCs w:val="28"/>
        </w:rPr>
        <w:t>‘‘</w:t>
      </w:r>
      <w:r w:rsidR="00C34887">
        <w:rPr>
          <w:rFonts w:ascii="Times New Roman" w:eastAsia="Gulim" w:hAnsi="Times New Roman"/>
          <w:sz w:val="28"/>
          <w:szCs w:val="28"/>
        </w:rPr>
        <w:t>Pain et céréales</w:t>
      </w:r>
      <w:r w:rsidR="00C34887" w:rsidRPr="00391850">
        <w:rPr>
          <w:rFonts w:ascii="Times New Roman" w:eastAsia="Gulim" w:hAnsi="Times New Roman"/>
          <w:sz w:val="28"/>
          <w:szCs w:val="28"/>
        </w:rPr>
        <w:t>’’</w:t>
      </w:r>
      <w:r w:rsidR="00C34887">
        <w:rPr>
          <w:rFonts w:ascii="Times New Roman" w:eastAsia="Gulim" w:hAnsi="Times New Roman"/>
          <w:sz w:val="28"/>
          <w:szCs w:val="28"/>
        </w:rPr>
        <w:t xml:space="preserve"> (+1,5%) </w:t>
      </w:r>
      <w:r>
        <w:rPr>
          <w:rFonts w:ascii="Times New Roman" w:eastAsia="Gulim" w:hAnsi="Times New Roman"/>
          <w:sz w:val="28"/>
          <w:szCs w:val="28"/>
        </w:rPr>
        <w:t xml:space="preserve">et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Boissons non alcoolisées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(+1,3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18879BD2" w14:textId="434825E0" w:rsidR="002E54E2" w:rsidRDefault="002E54E2" w:rsidP="00924371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de (+</w:t>
      </w:r>
      <w:r w:rsidR="00F117AF">
        <w:rPr>
          <w:rFonts w:ascii="Times New Roman" w:eastAsia="Gulim" w:hAnsi="Times New Roman"/>
          <w:sz w:val="28"/>
          <w:szCs w:val="28"/>
        </w:rPr>
        <w:t>3,8</w:t>
      </w:r>
      <w:r>
        <w:rPr>
          <w:rFonts w:ascii="Times New Roman" w:eastAsia="Gulim" w:hAnsi="Times New Roman"/>
          <w:sz w:val="28"/>
          <w:szCs w:val="28"/>
        </w:rPr>
        <w:t>%) et les Frais de</w:t>
      </w:r>
      <w:r w:rsidR="00F117AF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F117AF">
        <w:rPr>
          <w:rFonts w:ascii="Times New Roman" w:eastAsia="Gulim" w:hAnsi="Times New Roman"/>
          <w:sz w:val="28"/>
          <w:szCs w:val="28"/>
        </w:rPr>
        <w:t>assurances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17AF">
        <w:rPr>
          <w:rFonts w:ascii="Times New Roman" w:eastAsia="Gulim" w:hAnsi="Times New Roman"/>
          <w:sz w:val="28"/>
          <w:szCs w:val="28"/>
        </w:rPr>
        <w:t>4,0</w:t>
      </w:r>
      <w:r>
        <w:rPr>
          <w:rFonts w:ascii="Times New Roman" w:eastAsia="Gulim" w:hAnsi="Times New Roman"/>
          <w:sz w:val="28"/>
          <w:szCs w:val="28"/>
        </w:rPr>
        <w:t xml:space="preserve">%) contre 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de </w:t>
      </w:r>
      <w:r w:rsidR="0092437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  (-</w:t>
      </w:r>
      <w:r w:rsidR="00F117AF">
        <w:rPr>
          <w:rFonts w:ascii="Times New Roman" w:eastAsia="Gulim" w:hAnsi="Times New Roman"/>
          <w:sz w:val="28"/>
          <w:szCs w:val="28"/>
        </w:rPr>
        <w:t>9,2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4FC37FBD" w:rsidR="007C49D9" w:rsidRDefault="00A641E7" w:rsidP="00106A49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B64E2F">
        <w:rPr>
          <w:rFonts w:ascii="Times New Roman" w:eastAsia="Gulim" w:hAnsi="Times New Roman"/>
          <w:sz w:val="28"/>
          <w:szCs w:val="28"/>
        </w:rPr>
        <w:t>d</w:t>
      </w:r>
      <w:r w:rsidR="00A37409">
        <w:rPr>
          <w:rFonts w:ascii="Times New Roman" w:eastAsia="Gulim" w:hAnsi="Times New Roman"/>
          <w:sz w:val="28"/>
          <w:szCs w:val="28"/>
        </w:rPr>
        <w:t>e Mai</w:t>
      </w:r>
      <w:r w:rsidR="008D3B85">
        <w:rPr>
          <w:rFonts w:ascii="Times New Roman" w:eastAsia="Gulim" w:hAnsi="Times New Roman"/>
          <w:sz w:val="28"/>
          <w:szCs w:val="28"/>
        </w:rPr>
        <w:t xml:space="preserve"> </w:t>
      </w:r>
      <w:r w:rsidR="00AF6326">
        <w:rPr>
          <w:rFonts w:ascii="Times New Roman" w:eastAsia="Gulim" w:hAnsi="Times New Roman"/>
          <w:sz w:val="28"/>
          <w:szCs w:val="28"/>
        </w:rPr>
        <w:t xml:space="preserve"> </w:t>
      </w:r>
      <w:r w:rsidR="00106A4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39725B">
        <w:rPr>
          <w:rFonts w:ascii="Times New Roman" w:eastAsia="Gulim" w:hAnsi="Times New Roman"/>
          <w:sz w:val="28"/>
          <w:szCs w:val="28"/>
        </w:rPr>
        <w:t>baisse</w:t>
      </w:r>
      <w:r w:rsidR="002C0653">
        <w:rPr>
          <w:rFonts w:ascii="Times New Roman" w:eastAsia="Gulim" w:hAnsi="Times New Roman"/>
          <w:sz w:val="28"/>
          <w:szCs w:val="28"/>
        </w:rPr>
        <w:t xml:space="preserve"> de 0,</w:t>
      </w:r>
      <w:r w:rsidR="00A37409">
        <w:rPr>
          <w:rFonts w:ascii="Times New Roman" w:eastAsia="Gulim" w:hAnsi="Times New Roman"/>
          <w:sz w:val="28"/>
          <w:szCs w:val="28"/>
        </w:rPr>
        <w:t>2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>en glissement mensuel et annuel.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1ABF7AB" w14:textId="340E3EEC" w:rsidR="00A37409" w:rsidRDefault="00A37409" w:rsidP="00B05FB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de l’IPC a été inégale allant d’une baisse de 0,</w:t>
      </w:r>
      <w:r w:rsidR="005677FF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5677FF">
        <w:rPr>
          <w:rFonts w:ascii="Times New Roman" w:eastAsia="Gulim" w:hAnsi="Times New Roman"/>
          <w:sz w:val="28"/>
          <w:szCs w:val="28"/>
        </w:rPr>
        <w:t>Béni Mellal</w:t>
      </w:r>
      <w:r>
        <w:rPr>
          <w:rFonts w:ascii="Times New Roman" w:eastAsia="Gulim" w:hAnsi="Times New Roman"/>
          <w:sz w:val="28"/>
          <w:szCs w:val="28"/>
        </w:rPr>
        <w:t xml:space="preserve"> à une hausse de 0,</w:t>
      </w:r>
      <w:r w:rsidR="008D3B85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>% à</w:t>
      </w:r>
      <w:r w:rsidR="008D3B85">
        <w:rPr>
          <w:rFonts w:ascii="Times New Roman" w:eastAsia="Gulim" w:hAnsi="Times New Roman"/>
          <w:sz w:val="28"/>
          <w:szCs w:val="28"/>
        </w:rPr>
        <w:t xml:space="preserve"> Al Hoceima et à Settat</w:t>
      </w:r>
      <w:r>
        <w:rPr>
          <w:rFonts w:ascii="Times New Roman" w:eastAsia="Gulim" w:hAnsi="Times New Roman"/>
          <w:sz w:val="28"/>
          <w:szCs w:val="28"/>
        </w:rPr>
        <w:t>.</w:t>
      </w:r>
    </w:p>
    <w:p w14:paraId="6A3E9F40" w14:textId="77777777"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bookmarkStart w:id="0" w:name="_GoBack"/>
      <w:bookmarkEnd w:id="0"/>
    </w:p>
    <w:p w14:paraId="0FBBDA52" w14:textId="77777777"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F83C9" w14:textId="77777777" w:rsidR="003F0264" w:rsidRDefault="003F0264">
      <w:r>
        <w:separator/>
      </w:r>
    </w:p>
    <w:p w14:paraId="6ACF76AE" w14:textId="77777777" w:rsidR="003F0264" w:rsidRDefault="003F0264"/>
  </w:endnote>
  <w:endnote w:type="continuationSeparator" w:id="0">
    <w:p w14:paraId="54BAF17F" w14:textId="77777777" w:rsidR="003F0264" w:rsidRDefault="003F0264">
      <w:r>
        <w:continuationSeparator/>
      </w:r>
    </w:p>
    <w:p w14:paraId="22CF6683" w14:textId="77777777" w:rsidR="003F0264" w:rsidRDefault="003F0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4133EAE7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05FB9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5378624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05FB9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BE1C3" w14:textId="77777777" w:rsidR="003F0264" w:rsidRDefault="003F0264">
      <w:r>
        <w:separator/>
      </w:r>
    </w:p>
    <w:p w14:paraId="5F00DF44" w14:textId="77777777" w:rsidR="003F0264" w:rsidRDefault="003F0264"/>
  </w:footnote>
  <w:footnote w:type="continuationSeparator" w:id="0">
    <w:p w14:paraId="7C45940B" w14:textId="77777777" w:rsidR="003F0264" w:rsidRDefault="003F0264">
      <w:r>
        <w:continuationSeparator/>
      </w:r>
    </w:p>
    <w:p w14:paraId="144D609C" w14:textId="77777777" w:rsidR="003F0264" w:rsidRDefault="003F0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03_2020\05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\05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Mai 2019_Mai 2020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5095613048368953"/>
          <c:w val="0.90435184585085315"/>
          <c:h val="0.71272715910511186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43586</c:v>
                </c:pt>
                <c:pt idx="1">
                  <c:v>43617</c:v>
                </c:pt>
                <c:pt idx="2">
                  <c:v>43647</c:v>
                </c:pt>
                <c:pt idx="3">
                  <c:v>43678</c:v>
                </c:pt>
                <c:pt idx="4">
                  <c:v>43709</c:v>
                </c:pt>
                <c:pt idx="5">
                  <c:v>43739</c:v>
                </c:pt>
                <c:pt idx="6">
                  <c:v>43770</c:v>
                </c:pt>
                <c:pt idx="7">
                  <c:v>43800</c:v>
                </c:pt>
                <c:pt idx="8">
                  <c:v>43831</c:v>
                </c:pt>
                <c:pt idx="9">
                  <c:v>43862</c:v>
                </c:pt>
                <c:pt idx="10">
                  <c:v>43891</c:v>
                </c:pt>
                <c:pt idx="11">
                  <c:v>43922</c:v>
                </c:pt>
                <c:pt idx="12">
                  <c:v>43952</c:v>
                </c:pt>
              </c:numCache>
            </c:numRef>
          </c:cat>
          <c:val>
            <c:numRef>
              <c:f>Feuil7!$B$44:$B$56</c:f>
              <c:numCache>
                <c:formatCode>General</c:formatCode>
                <c:ptCount val="13"/>
                <c:pt idx="0">
                  <c:v>1.2</c:v>
                </c:pt>
                <c:pt idx="1">
                  <c:v>0.2</c:v>
                </c:pt>
                <c:pt idx="2">
                  <c:v>-0.5</c:v>
                </c:pt>
                <c:pt idx="3">
                  <c:v>0.2</c:v>
                </c:pt>
                <c:pt idx="4">
                  <c:v>-0.1</c:v>
                </c:pt>
                <c:pt idx="5">
                  <c:v>-0.1</c:v>
                </c:pt>
                <c:pt idx="6">
                  <c:v>0.5</c:v>
                </c:pt>
                <c:pt idx="7">
                  <c:v>-0.1</c:v>
                </c:pt>
                <c:pt idx="8">
                  <c:v>-0.1</c:v>
                </c:pt>
                <c:pt idx="9">
                  <c:v>-0.2</c:v>
                </c:pt>
                <c:pt idx="10">
                  <c:v>0.1</c:v>
                </c:pt>
                <c:pt idx="11">
                  <c:v>0</c:v>
                </c:pt>
                <c:pt idx="12">
                  <c:v>-0.2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AF4-44BC-AC7F-06B74350CF6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Feuil7!$A$44:$A$56</c:f>
              <c:numCache>
                <c:formatCode>mmm\-yy</c:formatCode>
                <c:ptCount val="13"/>
                <c:pt idx="0">
                  <c:v>43586</c:v>
                </c:pt>
                <c:pt idx="1">
                  <c:v>43617</c:v>
                </c:pt>
                <c:pt idx="2">
                  <c:v>43647</c:v>
                </c:pt>
                <c:pt idx="3">
                  <c:v>43678</c:v>
                </c:pt>
                <c:pt idx="4">
                  <c:v>43709</c:v>
                </c:pt>
                <c:pt idx="5">
                  <c:v>43739</c:v>
                </c:pt>
                <c:pt idx="6">
                  <c:v>43770</c:v>
                </c:pt>
                <c:pt idx="7">
                  <c:v>43800</c:v>
                </c:pt>
                <c:pt idx="8">
                  <c:v>43831</c:v>
                </c:pt>
                <c:pt idx="9">
                  <c:v>43862</c:v>
                </c:pt>
                <c:pt idx="10">
                  <c:v>43891</c:v>
                </c:pt>
                <c:pt idx="11">
                  <c:v>43922</c:v>
                </c:pt>
                <c:pt idx="12">
                  <c:v>43952</c:v>
                </c:pt>
              </c:numCache>
            </c:numRef>
          </c:cat>
          <c:val>
            <c:numRef>
              <c:f>Feuil7!$C$44:$C$56</c:f>
              <c:numCache>
                <c:formatCode>General</c:formatCode>
                <c:ptCount val="13"/>
                <c:pt idx="0">
                  <c:v>0.9</c:v>
                </c:pt>
                <c:pt idx="1">
                  <c:v>0.2</c:v>
                </c:pt>
                <c:pt idx="2">
                  <c:v>-0.9</c:v>
                </c:pt>
                <c:pt idx="3">
                  <c:v>0.4</c:v>
                </c:pt>
                <c:pt idx="4">
                  <c:v>-0.2</c:v>
                </c:pt>
                <c:pt idx="5">
                  <c:v>0.2</c:v>
                </c:pt>
                <c:pt idx="6">
                  <c:v>0.4</c:v>
                </c:pt>
                <c:pt idx="7">
                  <c:v>0</c:v>
                </c:pt>
                <c:pt idx="8">
                  <c:v>-0.2</c:v>
                </c:pt>
                <c:pt idx="9">
                  <c:v>-0.2</c:v>
                </c:pt>
                <c:pt idx="10">
                  <c:v>0.4</c:v>
                </c:pt>
                <c:pt idx="11">
                  <c:v>-0.1</c:v>
                </c:pt>
                <c:pt idx="12">
                  <c:v>-0.2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4C3F-4BE9-8C8C-B0905BB5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07014688"/>
        <c:axId val="607017952"/>
      </c:lineChart>
      <c:dateAx>
        <c:axId val="60701468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7017952"/>
        <c:crosses val="autoZero"/>
        <c:auto val="1"/>
        <c:lblOffset val="100"/>
        <c:baseTimeUnit val="months"/>
      </c:dateAx>
      <c:valAx>
        <c:axId val="607017952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0701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MA" sz="1200"/>
              <a:t>IPC: 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Feuil9!$B$43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Feuil9!$A$44:$A$72</c:f>
              <c:numCache>
                <c:formatCode>mmm\-yy</c:formatCode>
                <c:ptCount val="2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</c:numCache>
            </c:numRef>
          </c:cat>
          <c:val>
            <c:numRef>
              <c:f>Feuil9!$B$44:$B$72</c:f>
              <c:numCache>
                <c:formatCode>General</c:formatCode>
                <c:ptCount val="29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54-43A2-8F9D-38BF439ACED7}"/>
            </c:ext>
          </c:extLst>
        </c:ser>
        <c:ser>
          <c:idx val="1"/>
          <c:order val="1"/>
          <c:tx>
            <c:strRef>
              <c:f>Feuil9!$C$43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Feuil9!$A$44:$A$72</c:f>
              <c:numCache>
                <c:formatCode>mmm\-yy</c:formatCode>
                <c:ptCount val="29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</c:numCache>
            </c:numRef>
          </c:cat>
          <c:val>
            <c:numRef>
              <c:f>Feuil9!$C$44:$C$72</c:f>
              <c:numCache>
                <c:formatCode>General</c:formatCode>
                <c:ptCount val="29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54-43A2-8F9D-38BF439ACE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7757232"/>
        <c:axId val="717751248"/>
      </c:lineChart>
      <c:dateAx>
        <c:axId val="71775723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17751248"/>
        <c:crosses val="autoZero"/>
        <c:auto val="1"/>
        <c:lblOffset val="100"/>
        <c:baseTimeUnit val="months"/>
      </c:dateAx>
      <c:valAx>
        <c:axId val="71775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17757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BB3F52C-DF4A-4028-8A37-B4AC24C5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740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2020-07-09T09:12:00Z</dcterms:created>
  <dcterms:modified xsi:type="dcterms:W3CDTF">2020-07-09T10:22:00Z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