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7A40FA13" w14:textId="77777777"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0B7B501E" w14:textId="272A0959" w:rsidR="00693096" w:rsidRPr="00287695" w:rsidRDefault="00FE4177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Juillet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6DD2D336" w:rsidR="002D2180" w:rsidRPr="00D3493A" w:rsidRDefault="005F7A48" w:rsidP="006057B3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5F0F3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6057B3">
        <w:rPr>
          <w:rFonts w:ascii="Times New Roman" w:eastAsia="Gulim" w:hAnsi="Times New Roman"/>
          <w:b/>
          <w:bCs/>
          <w:sz w:val="28"/>
          <w:szCs w:val="28"/>
        </w:rPr>
        <w:t>Juillet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45DFA077" w:rsidR="002D2180" w:rsidRDefault="002D2180" w:rsidP="006057B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5F7A48">
        <w:rPr>
          <w:rFonts w:ascii="Times New Roman" w:eastAsia="Gulim" w:hAnsi="Times New Roman"/>
          <w:sz w:val="28"/>
          <w:szCs w:val="28"/>
        </w:rPr>
        <w:t>baisse de 0,</w:t>
      </w:r>
      <w:r w:rsidR="006057B3">
        <w:rPr>
          <w:rFonts w:ascii="Times New Roman" w:eastAsia="Gulim" w:hAnsi="Times New Roman"/>
          <w:sz w:val="28"/>
          <w:szCs w:val="28"/>
        </w:rPr>
        <w:t>3</w:t>
      </w:r>
      <w:r w:rsidR="005F7A48">
        <w:rPr>
          <w:rFonts w:ascii="Times New Roman" w:eastAsia="Gulim" w:hAnsi="Times New Roman"/>
          <w:sz w:val="28"/>
          <w:szCs w:val="28"/>
        </w:rPr>
        <w:t>%</w:t>
      </w:r>
      <w:r w:rsidR="0074627E">
        <w:rPr>
          <w:rFonts w:ascii="Times New Roman" w:eastAsia="Gulim" w:hAnsi="Times New Roman"/>
          <w:sz w:val="28"/>
          <w:szCs w:val="28"/>
        </w:rPr>
        <w:t xml:space="preserve"> 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74627E">
        <w:rPr>
          <w:rFonts w:ascii="Times New Roman" w:eastAsia="Gulim" w:hAnsi="Times New Roman"/>
          <w:sz w:val="28"/>
          <w:szCs w:val="28"/>
        </w:rPr>
        <w:t>d</w:t>
      </w:r>
      <w:r w:rsidR="005F7A48">
        <w:rPr>
          <w:rFonts w:ascii="Times New Roman" w:eastAsia="Gulim" w:hAnsi="Times New Roman"/>
          <w:sz w:val="28"/>
          <w:szCs w:val="28"/>
        </w:rPr>
        <w:t xml:space="preserve">e </w:t>
      </w:r>
      <w:r w:rsidR="006057B3">
        <w:rPr>
          <w:rFonts w:ascii="Times New Roman" w:eastAsia="Gulim" w:hAnsi="Times New Roman"/>
          <w:sz w:val="28"/>
          <w:szCs w:val="28"/>
        </w:rPr>
        <w:t>Juillet</w:t>
      </w:r>
      <w:r w:rsidR="00C62FD6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20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5F7A48">
        <w:rPr>
          <w:rFonts w:ascii="Times New Roman" w:eastAsia="Gulim" w:hAnsi="Times New Roman"/>
          <w:sz w:val="28"/>
          <w:szCs w:val="28"/>
        </w:rPr>
        <w:t>baisse</w:t>
      </w:r>
      <w:r w:rsidR="00E54D89">
        <w:rPr>
          <w:rFonts w:ascii="Times New Roman" w:eastAsia="Gulim" w:hAnsi="Times New Roman"/>
          <w:sz w:val="28"/>
          <w:szCs w:val="28"/>
        </w:rPr>
        <w:t xml:space="preserve"> de </w:t>
      </w:r>
      <w:r w:rsidR="006057B3">
        <w:rPr>
          <w:rFonts w:ascii="Times New Roman" w:eastAsia="Gulim" w:hAnsi="Times New Roman"/>
          <w:sz w:val="28"/>
          <w:szCs w:val="28"/>
        </w:rPr>
        <w:t>2,4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E93571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à une </w:t>
      </w:r>
      <w:r w:rsidR="005F7A48">
        <w:rPr>
          <w:rFonts w:ascii="Times New Roman" w:eastAsia="Gulim" w:hAnsi="Times New Roman"/>
          <w:sz w:val="28"/>
          <w:szCs w:val="28"/>
        </w:rPr>
        <w:t>hausse</w:t>
      </w:r>
      <w:r w:rsidR="00381778">
        <w:rPr>
          <w:rFonts w:ascii="Times New Roman" w:eastAsia="Gulim" w:hAnsi="Times New Roman"/>
          <w:sz w:val="28"/>
          <w:szCs w:val="28"/>
        </w:rPr>
        <w:t xml:space="preserve"> de 0,</w:t>
      </w:r>
      <w:r w:rsidR="006057B3">
        <w:rPr>
          <w:rFonts w:ascii="Times New Roman" w:eastAsia="Gulim" w:hAnsi="Times New Roman"/>
          <w:sz w:val="28"/>
          <w:szCs w:val="28"/>
        </w:rPr>
        <w:t>8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9E5AF3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66741CDA" w14:textId="7AB3E9D8" w:rsidR="00493439" w:rsidRDefault="005F7A48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 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243E625F" w14:textId="3046145D" w:rsidR="005F7A48" w:rsidRPr="00493439" w:rsidRDefault="005F7A48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0F83B310" w14:textId="0B8804A3" w:rsidR="00D57C32" w:rsidRDefault="006057B3" w:rsidP="006057B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251CE12D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17049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479" y="21176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5F7A48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Juin</w:t>
      </w:r>
      <w:r w:rsidR="005F7A48">
        <w:rPr>
          <w:rFonts w:ascii="Times New Roman" w:eastAsia="Gulim" w:hAnsi="Times New Roman"/>
          <w:sz w:val="28"/>
          <w:szCs w:val="28"/>
        </w:rPr>
        <w:t xml:space="preserve"> et </w:t>
      </w:r>
      <w:r w:rsidR="001172EB">
        <w:rPr>
          <w:rFonts w:ascii="Times New Roman" w:eastAsia="Gulim" w:hAnsi="Times New Roman"/>
          <w:sz w:val="28"/>
          <w:szCs w:val="28"/>
        </w:rPr>
        <w:t>J</w:t>
      </w:r>
      <w:r>
        <w:rPr>
          <w:rFonts w:ascii="Times New Roman" w:eastAsia="Gulim" w:hAnsi="Times New Roman"/>
          <w:sz w:val="28"/>
          <w:szCs w:val="28"/>
        </w:rPr>
        <w:t>uillet</w:t>
      </w:r>
      <w:r w:rsidR="00AD3B48">
        <w:rPr>
          <w:rFonts w:ascii="Times New Roman" w:eastAsia="Gulim" w:hAnsi="Times New Roman"/>
          <w:sz w:val="28"/>
          <w:szCs w:val="28"/>
        </w:rPr>
        <w:t xml:space="preserve"> </w:t>
      </w:r>
      <w:r w:rsidR="00743E3A">
        <w:rPr>
          <w:rFonts w:ascii="Times New Roman" w:eastAsia="Gulim" w:hAnsi="Times New Roman"/>
          <w:sz w:val="28"/>
          <w:szCs w:val="28"/>
        </w:rPr>
        <w:t>20</w:t>
      </w:r>
      <w:r w:rsidR="006B300E">
        <w:rPr>
          <w:rFonts w:ascii="Times New Roman" w:eastAsia="Gulim" w:hAnsi="Times New Roman"/>
          <w:sz w:val="28"/>
          <w:szCs w:val="28"/>
        </w:rPr>
        <w:t xml:space="preserve">20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732622">
        <w:rPr>
          <w:rFonts w:ascii="Times New Roman" w:eastAsia="Gulim" w:hAnsi="Times New Roman"/>
          <w:sz w:val="28"/>
          <w:szCs w:val="28"/>
        </w:rPr>
        <w:t>Légumes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7,0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1172EB">
        <w:rPr>
          <w:rFonts w:ascii="Times New Roman" w:eastAsia="Gulim" w:hAnsi="Times New Roman"/>
          <w:sz w:val="28"/>
          <w:szCs w:val="28"/>
        </w:rPr>
        <w:t xml:space="preserve">, </w:t>
      </w:r>
      <w:r w:rsidR="00A91424">
        <w:rPr>
          <w:rFonts w:ascii="Times New Roman" w:eastAsia="Gulim" w:hAnsi="Times New Roman"/>
          <w:sz w:val="28"/>
          <w:szCs w:val="28"/>
        </w:rPr>
        <w:t xml:space="preserve">les </w:t>
      </w:r>
      <w:r w:rsidR="00732622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Viandes</w:t>
      </w:r>
      <w:r w:rsidR="00732622" w:rsidRPr="009C0D33">
        <w:rPr>
          <w:rFonts w:ascii="Times New Roman" w:eastAsia="Gulim" w:hAnsi="Times New Roman"/>
          <w:sz w:val="28"/>
          <w:szCs w:val="28"/>
        </w:rPr>
        <w:t>’’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2,5</w:t>
      </w:r>
      <w:r w:rsidR="00A91424">
        <w:rPr>
          <w:rFonts w:ascii="Times New Roman" w:eastAsia="Gulim" w:hAnsi="Times New Roman"/>
          <w:sz w:val="28"/>
          <w:szCs w:val="28"/>
        </w:rPr>
        <w:t>%</w:t>
      </w:r>
      <w:r w:rsidR="001172EB">
        <w:rPr>
          <w:rFonts w:ascii="Times New Roman" w:eastAsia="Gulim" w:hAnsi="Times New Roman"/>
          <w:sz w:val="28"/>
          <w:szCs w:val="28"/>
        </w:rPr>
        <w:t xml:space="preserve"> et les </w:t>
      </w:r>
      <w:r w:rsidR="001172EB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Poissons et Fruits de mer</w:t>
      </w:r>
      <w:r w:rsidR="001172EB" w:rsidRPr="009C0D33">
        <w:rPr>
          <w:rFonts w:ascii="Times New Roman" w:eastAsia="Gulim" w:hAnsi="Times New Roman"/>
          <w:sz w:val="28"/>
          <w:szCs w:val="28"/>
        </w:rPr>
        <w:t>’’</w:t>
      </w:r>
      <w:r w:rsidR="001172EB">
        <w:rPr>
          <w:rFonts w:ascii="Times New Roman" w:eastAsia="Gulim" w:hAnsi="Times New Roman"/>
          <w:sz w:val="28"/>
          <w:szCs w:val="28"/>
        </w:rPr>
        <w:t xml:space="preserve"> avec </w:t>
      </w:r>
      <w:r>
        <w:rPr>
          <w:rFonts w:ascii="Times New Roman" w:eastAsia="Gulim" w:hAnsi="Times New Roman"/>
          <w:sz w:val="28"/>
          <w:szCs w:val="28"/>
        </w:rPr>
        <w:t>8,5</w:t>
      </w:r>
      <w:r w:rsidR="001172EB">
        <w:rPr>
          <w:rFonts w:ascii="Times New Roman" w:eastAsia="Gulim" w:hAnsi="Times New Roman"/>
          <w:sz w:val="28"/>
          <w:szCs w:val="28"/>
        </w:rPr>
        <w:t>%</w:t>
      </w:r>
      <w:r w:rsidR="00A91424">
        <w:rPr>
          <w:rFonts w:ascii="Times New Roman" w:eastAsia="Gulim" w:hAnsi="Times New Roman"/>
          <w:sz w:val="28"/>
          <w:szCs w:val="28"/>
        </w:rPr>
        <w:t xml:space="preserve">. </w:t>
      </w:r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77777777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AC735C" w:rsidRPr="001B6B04" w14:paraId="2126FF1D" w14:textId="77777777" w:rsidTr="00AC735C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68A78955" w14:textId="7F8E4928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Juin- 2020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2AC41E3D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Juillet- 2020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AC735C" w:rsidRPr="001B6B04" w14:paraId="02018970" w14:textId="77777777" w:rsidTr="00AC735C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AC735C" w:rsidRPr="008E7CC9" w:rsidRDefault="00AC735C" w:rsidP="00AC735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AC735C" w:rsidRPr="008E7CC9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704DE5D" w14:textId="109985AF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145DBF14" w:rsidR="00AC735C" w:rsidRPr="008E7CC9" w:rsidRDefault="00201F95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98,5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323BAF15" w:rsidR="00AC735C" w:rsidRPr="008E7CC9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-2,5</w:t>
            </w:r>
          </w:p>
        </w:tc>
      </w:tr>
      <w:tr w:rsidR="00AC735C" w:rsidRPr="001B6B04" w14:paraId="5D364F85" w14:textId="77777777" w:rsidTr="00AC735C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9826966" w14:textId="6CAA51AE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72B54EEB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3E1E6F9E" w:rsidR="00AC735C" w:rsidRPr="003109A6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AC735C" w:rsidRPr="001B6B04" w14:paraId="6C5B7EC2" w14:textId="77777777" w:rsidTr="00AC735C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2BF1B92D" w14:textId="5D0C6882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1559" w:type="dxa"/>
            <w:vAlign w:val="center"/>
          </w:tcPr>
          <w:p w14:paraId="19B6DA7B" w14:textId="30A19478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69C5EBC5" w:rsidR="00AC735C" w:rsidRPr="003109A6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-2,5</w:t>
            </w:r>
          </w:p>
        </w:tc>
      </w:tr>
      <w:tr w:rsidR="00AC735C" w:rsidRPr="001B6B04" w14:paraId="1CA1F63D" w14:textId="77777777" w:rsidTr="00AC735C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5358C7B1" w14:textId="40123D6F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1559" w:type="dxa"/>
            <w:vAlign w:val="center"/>
          </w:tcPr>
          <w:p w14:paraId="1B002BD9" w14:textId="41C98640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5AB7C13A" w:rsidR="00AC735C" w:rsidRPr="003109A6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-8,5</w:t>
            </w:r>
          </w:p>
        </w:tc>
      </w:tr>
      <w:tr w:rsidR="00AC735C" w:rsidRPr="001B6B04" w14:paraId="06AE38F6" w14:textId="77777777" w:rsidTr="00AC735C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46590913" w14:textId="16CBAEFB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98,9</w:t>
            </w:r>
          </w:p>
        </w:tc>
        <w:tc>
          <w:tcPr>
            <w:tcW w:w="1559" w:type="dxa"/>
            <w:vAlign w:val="center"/>
          </w:tcPr>
          <w:p w14:paraId="63EED3B1" w14:textId="6B302A1A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42AC7B9F" w:rsidR="00AC735C" w:rsidRPr="003109A6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-1,8</w:t>
            </w:r>
          </w:p>
        </w:tc>
      </w:tr>
      <w:tr w:rsidR="00AC735C" w:rsidRPr="001B6B04" w14:paraId="25813806" w14:textId="77777777" w:rsidTr="00AC735C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757C672C" w14:textId="1F049CFE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95,6</w:t>
            </w:r>
          </w:p>
        </w:tc>
        <w:tc>
          <w:tcPr>
            <w:tcW w:w="1559" w:type="dxa"/>
            <w:vAlign w:val="center"/>
          </w:tcPr>
          <w:p w14:paraId="0FCEC70D" w14:textId="5382E266" w:rsidR="00AC735C" w:rsidRPr="003109A6" w:rsidRDefault="00201F95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10CBBDC4" w:rsidR="00AC735C" w:rsidRPr="003109A6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-1,5</w:t>
            </w:r>
          </w:p>
        </w:tc>
      </w:tr>
      <w:tr w:rsidR="00AC735C" w:rsidRPr="001B6B04" w14:paraId="3F04F2F8" w14:textId="77777777" w:rsidTr="00AC735C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4763723D" w14:textId="0F076C88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111,3</w:t>
            </w:r>
          </w:p>
        </w:tc>
        <w:tc>
          <w:tcPr>
            <w:tcW w:w="1559" w:type="dxa"/>
            <w:vAlign w:val="center"/>
          </w:tcPr>
          <w:p w14:paraId="7D34A147" w14:textId="5F3444FC" w:rsidR="00AC735C" w:rsidRPr="003109A6" w:rsidRDefault="00201F95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61BD5B15" w:rsidR="00AC735C" w:rsidRPr="003109A6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AC735C" w:rsidRPr="001B6B04" w14:paraId="350AE782" w14:textId="77777777" w:rsidTr="00AC735C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3CD9EFB7" w14:textId="2ADB4FFC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96,2</w:t>
            </w:r>
          </w:p>
        </w:tc>
        <w:tc>
          <w:tcPr>
            <w:tcW w:w="1559" w:type="dxa"/>
            <w:vAlign w:val="center"/>
          </w:tcPr>
          <w:p w14:paraId="50DCE4A4" w14:textId="734760E5" w:rsidR="00AC735C" w:rsidRPr="003109A6" w:rsidRDefault="00201F95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5A85E20D" w:rsidR="00AC735C" w:rsidRPr="003109A6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-7,0</w:t>
            </w:r>
          </w:p>
        </w:tc>
      </w:tr>
      <w:tr w:rsidR="00AC735C" w:rsidRPr="001B6B04" w14:paraId="542952A6" w14:textId="77777777" w:rsidTr="00AC735C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6F0D6336" w14:textId="3A984153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100,3</w:t>
            </w:r>
          </w:p>
        </w:tc>
        <w:tc>
          <w:tcPr>
            <w:tcW w:w="1559" w:type="dxa"/>
            <w:vAlign w:val="center"/>
          </w:tcPr>
          <w:p w14:paraId="69718176" w14:textId="145D19DF" w:rsidR="00AC735C" w:rsidRPr="003109A6" w:rsidRDefault="00201F95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4C77200F" w:rsidR="00AC735C" w:rsidRPr="003109A6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AC735C" w:rsidRPr="001B6B04" w14:paraId="0AD3C8E0" w14:textId="77777777" w:rsidTr="00AC735C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585CCE" w14:textId="7E0EF1A1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52B62A0C" w:rsidR="00AC735C" w:rsidRPr="003109A6" w:rsidRDefault="00201F95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271D9AB4" w:rsidR="00AC735C" w:rsidRPr="003109A6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AC735C" w:rsidRPr="001B6B04" w14:paraId="6353966C" w14:textId="77777777" w:rsidTr="00AC735C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4985B" w14:textId="1E589D95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2696843E" w:rsidR="00AC735C" w:rsidRPr="003109A6" w:rsidRDefault="00201F95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5E220D8A" w:rsidR="00AC735C" w:rsidRPr="003109A6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AC735C" w:rsidRPr="001B6B04" w14:paraId="1B88FAD4" w14:textId="77777777" w:rsidTr="00AC735C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AC735C" w:rsidRPr="008E7CC9" w:rsidRDefault="00AC735C" w:rsidP="00AC735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AC735C" w:rsidRPr="008E7CC9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CBB9B4" w14:textId="48A22CC7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775BF598" w:rsidR="00AC735C" w:rsidRPr="008E7CC9" w:rsidRDefault="00201F95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672390AB" w:rsidR="00AC735C" w:rsidRPr="008E7CC9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AC735C" w:rsidRPr="001B6B04" w14:paraId="5A8C36EF" w14:textId="77777777" w:rsidTr="00AC735C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52C2B7" w14:textId="109CAB5B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1DE9B577" w:rsidR="00AC735C" w:rsidRPr="003109A6" w:rsidRDefault="00201F95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0E528D8B" w:rsidR="00AC735C" w:rsidRPr="003109A6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AC735C" w:rsidRPr="001B6B04" w14:paraId="1254012C" w14:textId="77777777" w:rsidTr="00AC735C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42CCCE" w14:textId="65668C76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29E369C7" w:rsidR="00AC735C" w:rsidRPr="003109A6" w:rsidRDefault="00201F95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713F6632" w:rsidR="00AC735C" w:rsidRPr="003109A6" w:rsidRDefault="00643FB3" w:rsidP="00AC735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AC735C" w:rsidRPr="001B6B04" w14:paraId="6C36C82B" w14:textId="77777777" w:rsidTr="00AC735C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AC735C" w:rsidRPr="003109A6" w:rsidRDefault="00AC735C" w:rsidP="00AC735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AC735C" w:rsidRPr="003109A6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99FDAA" w14:textId="2A2772DF" w:rsidR="00AC735C" w:rsidRDefault="00AC735C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6B781630" w:rsidR="00AC735C" w:rsidRPr="003109A6" w:rsidRDefault="00201F95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78F82AEB" w:rsidR="00AC735C" w:rsidRPr="003109A6" w:rsidRDefault="00201F95" w:rsidP="00AC735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-2,4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06B0F49E" w:rsidR="00267A4B" w:rsidRDefault="0020122D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6372E3DE" w14:textId="237BD12F" w:rsidR="000502E7" w:rsidRDefault="00267A4B" w:rsidP="00652BE9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201F95">
        <w:rPr>
          <w:rFonts w:ascii="Times New Roman" w:eastAsia="Gulim" w:hAnsi="Times New Roman"/>
          <w:sz w:val="28"/>
          <w:szCs w:val="28"/>
        </w:rPr>
        <w:t xml:space="preserve">Juin </w:t>
      </w:r>
      <w:r w:rsidR="0020122D">
        <w:rPr>
          <w:rFonts w:ascii="Times New Roman" w:eastAsia="Gulim" w:hAnsi="Times New Roman"/>
          <w:sz w:val="28"/>
          <w:szCs w:val="28"/>
        </w:rPr>
        <w:t>et Jui</w:t>
      </w:r>
      <w:r w:rsidR="00201F95">
        <w:rPr>
          <w:rFonts w:ascii="Times New Roman" w:eastAsia="Gulim" w:hAnsi="Times New Roman"/>
          <w:sz w:val="28"/>
          <w:szCs w:val="28"/>
        </w:rPr>
        <w:t xml:space="preserve">llet </w:t>
      </w:r>
      <w:r w:rsidR="00462AF2">
        <w:rPr>
          <w:rFonts w:ascii="Times New Roman" w:eastAsia="Gulim" w:hAnsi="Times New Roman"/>
          <w:sz w:val="28"/>
          <w:szCs w:val="28"/>
        </w:rPr>
        <w:t xml:space="preserve">2020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7A5717">
        <w:rPr>
          <w:rFonts w:ascii="Times New Roman" w:eastAsia="Gulim" w:hAnsi="Times New Roman"/>
          <w:sz w:val="28"/>
          <w:szCs w:val="28"/>
        </w:rPr>
        <w:t xml:space="preserve">les </w:t>
      </w:r>
      <w:r w:rsidR="007A5717" w:rsidRPr="009C0D33">
        <w:rPr>
          <w:rFonts w:ascii="Times New Roman" w:eastAsia="Gulim" w:hAnsi="Times New Roman"/>
          <w:sz w:val="28"/>
          <w:szCs w:val="28"/>
        </w:rPr>
        <w:t>‘‘</w:t>
      </w:r>
      <w:r w:rsidR="0020122D">
        <w:rPr>
          <w:rFonts w:ascii="Times New Roman" w:eastAsia="Gulim" w:hAnsi="Times New Roman"/>
          <w:sz w:val="28"/>
          <w:szCs w:val="28"/>
        </w:rPr>
        <w:t>Carburants et Lubrifiants</w:t>
      </w:r>
      <w:r w:rsidR="00207E53" w:rsidRPr="00391850">
        <w:rPr>
          <w:rFonts w:ascii="Times New Roman" w:eastAsia="Gulim" w:hAnsi="Times New Roman"/>
          <w:sz w:val="28"/>
          <w:szCs w:val="28"/>
        </w:rPr>
        <w:t>’’</w:t>
      </w:r>
      <w:r w:rsidR="005C2DE5">
        <w:rPr>
          <w:rFonts w:ascii="Times New Roman" w:eastAsia="Gulim" w:hAnsi="Times New Roman"/>
          <w:sz w:val="28"/>
          <w:szCs w:val="28"/>
        </w:rPr>
        <w:t xml:space="preserve"> </w:t>
      </w:r>
      <w:r w:rsidR="002F45BF">
        <w:rPr>
          <w:rFonts w:ascii="Times New Roman" w:eastAsia="Gulim" w:hAnsi="Times New Roman"/>
          <w:sz w:val="28"/>
          <w:szCs w:val="28"/>
        </w:rPr>
        <w:t xml:space="preserve">avec </w:t>
      </w:r>
      <w:r w:rsidR="00201F95">
        <w:rPr>
          <w:rFonts w:ascii="Times New Roman" w:eastAsia="Gulim" w:hAnsi="Times New Roman"/>
          <w:sz w:val="28"/>
          <w:szCs w:val="28"/>
        </w:rPr>
        <w:t xml:space="preserve">7,0%, </w:t>
      </w:r>
      <w:bookmarkStart w:id="0" w:name="_GoBack"/>
      <w:bookmarkEnd w:id="0"/>
      <w:r w:rsidR="00151FAC">
        <w:rPr>
          <w:rFonts w:ascii="Times New Roman" w:eastAsia="Gulim" w:hAnsi="Times New Roman"/>
          <w:sz w:val="28"/>
          <w:szCs w:val="28"/>
        </w:rPr>
        <w:t xml:space="preserve">le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20122D">
        <w:rPr>
          <w:rFonts w:ascii="Times New Roman" w:eastAsia="Gulim" w:hAnsi="Times New Roman"/>
          <w:sz w:val="28"/>
          <w:szCs w:val="28"/>
        </w:rPr>
        <w:t>Transport routier de Passagers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201F95">
        <w:rPr>
          <w:rFonts w:ascii="Times New Roman" w:eastAsia="Gulim" w:hAnsi="Times New Roman"/>
          <w:sz w:val="28"/>
          <w:szCs w:val="28"/>
        </w:rPr>
        <w:t>8,1</w:t>
      </w:r>
      <w:r w:rsidR="002F45BF">
        <w:rPr>
          <w:rFonts w:ascii="Times New Roman" w:eastAsia="Gulim" w:hAnsi="Times New Roman"/>
          <w:sz w:val="28"/>
          <w:szCs w:val="28"/>
        </w:rPr>
        <w:t>%</w:t>
      </w:r>
      <w:r w:rsidR="00201F95">
        <w:rPr>
          <w:rFonts w:ascii="Times New Roman" w:eastAsia="Gulim" w:hAnsi="Times New Roman"/>
          <w:sz w:val="28"/>
          <w:szCs w:val="28"/>
        </w:rPr>
        <w:t xml:space="preserve"> et l</w:t>
      </w:r>
      <w:r w:rsidR="00707FE3">
        <w:rPr>
          <w:rFonts w:ascii="Times New Roman" w:eastAsia="Gulim" w:hAnsi="Times New Roman"/>
          <w:sz w:val="28"/>
          <w:szCs w:val="28"/>
        </w:rPr>
        <w:t xml:space="preserve">es </w:t>
      </w:r>
      <w:r w:rsidR="00707FE3" w:rsidRPr="009C0D33">
        <w:rPr>
          <w:rFonts w:ascii="Times New Roman" w:eastAsia="Gulim" w:hAnsi="Times New Roman"/>
          <w:sz w:val="28"/>
          <w:szCs w:val="28"/>
        </w:rPr>
        <w:t>‘‘</w:t>
      </w:r>
      <w:r w:rsidR="0020122D">
        <w:rPr>
          <w:rFonts w:ascii="Times New Roman" w:eastAsia="Gulim" w:hAnsi="Times New Roman"/>
          <w:sz w:val="28"/>
          <w:szCs w:val="28"/>
        </w:rPr>
        <w:t>Articles d’habillement</w:t>
      </w:r>
      <w:r w:rsidR="00151FAC">
        <w:rPr>
          <w:rFonts w:ascii="Times New Roman" w:eastAsia="Gulim" w:hAnsi="Times New Roman"/>
          <w:sz w:val="28"/>
          <w:szCs w:val="28"/>
        </w:rPr>
        <w:t xml:space="preserve"> et Chaussures</w:t>
      </w:r>
      <w:r w:rsidR="00707FE3" w:rsidRPr="00391850">
        <w:rPr>
          <w:rFonts w:ascii="Times New Roman" w:eastAsia="Gulim" w:hAnsi="Times New Roman"/>
          <w:sz w:val="28"/>
          <w:szCs w:val="28"/>
        </w:rPr>
        <w:t>’’</w:t>
      </w:r>
      <w:r w:rsidR="00707FE3">
        <w:rPr>
          <w:rFonts w:ascii="Times New Roman" w:eastAsia="Gulim" w:hAnsi="Times New Roman"/>
          <w:sz w:val="28"/>
          <w:szCs w:val="28"/>
        </w:rPr>
        <w:t xml:space="preserve"> </w:t>
      </w:r>
      <w:r w:rsidR="00B93C3B">
        <w:rPr>
          <w:rFonts w:ascii="Times New Roman" w:eastAsia="Gulim" w:hAnsi="Times New Roman"/>
          <w:sz w:val="28"/>
          <w:szCs w:val="28"/>
        </w:rPr>
        <w:t>avec</w:t>
      </w:r>
      <w:r w:rsidR="00707FE3">
        <w:rPr>
          <w:rFonts w:ascii="Times New Roman" w:eastAsia="Gulim" w:hAnsi="Times New Roman"/>
          <w:sz w:val="28"/>
          <w:szCs w:val="28"/>
        </w:rPr>
        <w:t xml:space="preserve"> 0,</w:t>
      </w:r>
      <w:r w:rsidR="007214CB">
        <w:rPr>
          <w:rFonts w:ascii="Times New Roman" w:eastAsia="Gulim" w:hAnsi="Times New Roman"/>
          <w:sz w:val="28"/>
          <w:szCs w:val="28"/>
        </w:rPr>
        <w:t>3</w:t>
      </w:r>
      <w:r w:rsidR="00707FE3">
        <w:rPr>
          <w:rFonts w:ascii="Times New Roman" w:eastAsia="Gulim" w:hAnsi="Times New Roman"/>
          <w:sz w:val="28"/>
          <w:szCs w:val="28"/>
        </w:rPr>
        <w:t xml:space="preserve">% </w:t>
      </w:r>
      <w:r w:rsidR="007214CB">
        <w:rPr>
          <w:rFonts w:ascii="Times New Roman" w:eastAsia="Gulim" w:hAnsi="Times New Roman"/>
          <w:sz w:val="28"/>
          <w:szCs w:val="28"/>
        </w:rPr>
        <w:t xml:space="preserve">contre une baisse des prix des </w:t>
      </w:r>
      <w:r w:rsidR="007214CB" w:rsidRPr="009C0D33">
        <w:rPr>
          <w:rFonts w:ascii="Times New Roman" w:eastAsia="Gulim" w:hAnsi="Times New Roman"/>
          <w:sz w:val="28"/>
          <w:szCs w:val="28"/>
        </w:rPr>
        <w:t>‘‘</w:t>
      </w:r>
      <w:r w:rsidR="007214CB">
        <w:rPr>
          <w:rFonts w:ascii="Times New Roman" w:eastAsia="Gulim" w:hAnsi="Times New Roman"/>
          <w:sz w:val="28"/>
          <w:szCs w:val="28"/>
        </w:rPr>
        <w:t>Meubles et Articles de ménage</w:t>
      </w:r>
      <w:r w:rsidR="007214CB" w:rsidRPr="00391850">
        <w:rPr>
          <w:rFonts w:ascii="Times New Roman" w:eastAsia="Gulim" w:hAnsi="Times New Roman"/>
          <w:sz w:val="28"/>
          <w:szCs w:val="28"/>
        </w:rPr>
        <w:t>’’</w:t>
      </w:r>
      <w:r w:rsidR="007214CB">
        <w:rPr>
          <w:rFonts w:ascii="Times New Roman" w:eastAsia="Gulim" w:hAnsi="Times New Roman"/>
          <w:sz w:val="28"/>
          <w:szCs w:val="28"/>
        </w:rPr>
        <w:t xml:space="preserve"> de 0,5% </w:t>
      </w:r>
      <w:r w:rsidR="00707FE3">
        <w:rPr>
          <w:rFonts w:ascii="Times New Roman" w:eastAsia="Gulim" w:hAnsi="Times New Roman"/>
          <w:sz w:val="28"/>
          <w:szCs w:val="28"/>
        </w:rPr>
        <w:t xml:space="preserve">et une </w:t>
      </w:r>
      <w:r w:rsidR="00786EBD">
        <w:rPr>
          <w:rFonts w:ascii="Times New Roman" w:eastAsia="Gulim" w:hAnsi="Times New Roman"/>
          <w:sz w:val="28"/>
          <w:szCs w:val="28"/>
        </w:rPr>
        <w:t>quasi-stagnation</w:t>
      </w:r>
      <w:r w:rsidR="00D50E4F">
        <w:rPr>
          <w:rFonts w:ascii="Times New Roman" w:eastAsia="Gulim" w:hAnsi="Times New Roman"/>
          <w:sz w:val="28"/>
          <w:szCs w:val="28"/>
        </w:rPr>
        <w:t xml:space="preserve"> des prix des autres </w:t>
      </w:r>
      <w:r w:rsidR="00B16F84">
        <w:rPr>
          <w:rFonts w:ascii="Times New Roman" w:eastAsia="Gulim" w:hAnsi="Times New Roman"/>
          <w:sz w:val="28"/>
          <w:szCs w:val="28"/>
        </w:rPr>
        <w:t>biens</w:t>
      </w:r>
      <w:r w:rsidR="00D50E4F">
        <w:rPr>
          <w:rFonts w:ascii="Times New Roman" w:eastAsia="Gulim" w:hAnsi="Times New Roman"/>
          <w:sz w:val="28"/>
          <w:szCs w:val="28"/>
        </w:rPr>
        <w:t xml:space="preserve"> et services.</w:t>
      </w:r>
    </w:p>
    <w:p w14:paraId="499C9749" w14:textId="3C044337" w:rsidR="00864B65" w:rsidRDefault="00D3790F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A935AD1" wp14:editId="19B41E26">
            <wp:extent cx="5400675" cy="2247900"/>
            <wp:effectExtent l="0" t="0" r="9525" b="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7C3453E8" w14:textId="3B4EAB08" w:rsidR="00CB4CB9" w:rsidRPr="00956A42" w:rsidRDefault="00B93C3B" w:rsidP="0050204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:juillet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2020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7E7319">
        <w:trPr>
          <w:trHeight w:val="57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0CE15C6E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-2,4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4A50DD6D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-2,0</w:t>
            </w:r>
          </w:p>
        </w:tc>
      </w:tr>
      <w:tr w:rsidR="00CB4CB9" w:rsidRPr="004E0DA4" w14:paraId="6524C1CF" w14:textId="77777777" w:rsidTr="007E7319">
        <w:trPr>
          <w:trHeight w:val="54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6BD846FB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1F433099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CB4CB9" w:rsidRPr="00534BE7" w14:paraId="4D1E2E0A" w14:textId="7777777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138185DB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2FFA737E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CB4CB9" w:rsidRPr="004E0DA4" w14:paraId="5E100E39" w14:textId="77777777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5DDD4631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33D97092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52DABE7C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2AEBD054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CB4CB9" w:rsidRPr="004E0DA4" w14:paraId="7E17E532" w14:textId="77777777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3811F3F2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5EC718EE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08B66F39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6D3B17D6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-1,7</w:t>
            </w:r>
          </w:p>
        </w:tc>
      </w:tr>
      <w:tr w:rsidR="00CB4CB9" w:rsidRPr="004E0DA4" w14:paraId="29A77F80" w14:textId="77777777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6991A481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21DE69EB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CB4CB9" w:rsidRPr="004E0DA4" w14:paraId="59E69CDE" w14:textId="77777777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3CEE6F87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4E1F0F52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-3,0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607BFC49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76F0F380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59E148F2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744178D9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CB4CB9" w:rsidRPr="004E0DA4" w14:paraId="61CF145E" w14:textId="77777777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1821A5E9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1B617BF1" w:rsidR="00CB4CB9" w:rsidRPr="004E0DA4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CB4CB9" w:rsidRPr="004E0DA4" w14:paraId="55F62F93" w14:textId="77777777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32D4EF52" w:rsidR="00CB4CB9" w:rsidRPr="005E0AD7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1BDDAC3D" w:rsidR="00CB4CB9" w:rsidRPr="005E0AD7" w:rsidRDefault="00B93C3B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</w:tbl>
    <w:p w14:paraId="608BF836" w14:textId="29D466CF" w:rsidR="00F1588E" w:rsidRDefault="00D615DD" w:rsidP="00C608D6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</w:t>
      </w:r>
      <w:r w:rsidR="00A37409">
        <w:rPr>
          <w:rFonts w:ascii="Times New Roman" w:eastAsia="Gulim" w:hAnsi="Times New Roman"/>
          <w:b/>
          <w:bCs/>
          <w:sz w:val="28"/>
          <w:szCs w:val="28"/>
        </w:rPr>
        <w:t>baisse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A37409">
        <w:rPr>
          <w:rFonts w:ascii="Times New Roman" w:eastAsia="Gulim" w:hAnsi="Times New Roman"/>
          <w:b/>
          <w:bCs/>
          <w:sz w:val="28"/>
          <w:szCs w:val="28"/>
        </w:rPr>
        <w:t>0,</w:t>
      </w:r>
      <w:r w:rsidR="00C608D6">
        <w:rPr>
          <w:rFonts w:ascii="Times New Roman" w:eastAsia="Gulim" w:hAnsi="Times New Roman"/>
          <w:b/>
          <w:bCs/>
          <w:sz w:val="28"/>
          <w:szCs w:val="28"/>
        </w:rPr>
        <w:t>5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6678F29B" w:rsidR="00E3722B" w:rsidRDefault="00D615DD" w:rsidP="00C608D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A37409">
        <w:rPr>
          <w:rFonts w:ascii="Times New Roman" w:eastAsia="Gulim" w:hAnsi="Times New Roman"/>
          <w:sz w:val="28"/>
          <w:szCs w:val="28"/>
        </w:rPr>
        <w:t>diminué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A37409">
        <w:rPr>
          <w:rFonts w:ascii="Times New Roman" w:eastAsia="Gulim" w:hAnsi="Times New Roman"/>
          <w:sz w:val="28"/>
          <w:szCs w:val="28"/>
        </w:rPr>
        <w:t>0,</w:t>
      </w:r>
      <w:r w:rsidR="00C608D6">
        <w:rPr>
          <w:rFonts w:ascii="Times New Roman" w:eastAsia="Gulim" w:hAnsi="Times New Roman"/>
          <w:sz w:val="28"/>
          <w:szCs w:val="28"/>
        </w:rPr>
        <w:t>5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C608D6">
        <w:rPr>
          <w:rFonts w:ascii="Times New Roman" w:eastAsia="Gulim" w:hAnsi="Times New Roman"/>
          <w:sz w:val="28"/>
          <w:szCs w:val="28"/>
        </w:rPr>
        <w:t xml:space="preserve">baisse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C608D6">
        <w:rPr>
          <w:rFonts w:ascii="Times New Roman" w:eastAsia="Gulim" w:hAnsi="Times New Roman"/>
          <w:sz w:val="28"/>
          <w:szCs w:val="28"/>
        </w:rPr>
        <w:t>2,0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</w:t>
      </w:r>
      <w:r w:rsidR="00B64E2F">
        <w:rPr>
          <w:rFonts w:ascii="Times New Roman" w:eastAsia="Gulim" w:hAnsi="Times New Roman"/>
          <w:sz w:val="28"/>
          <w:szCs w:val="28"/>
        </w:rPr>
        <w:t xml:space="preserve">la </w:t>
      </w:r>
      <w:r w:rsidR="00C608D6">
        <w:rPr>
          <w:rFonts w:ascii="Times New Roman" w:eastAsia="Gulim" w:hAnsi="Times New Roman"/>
          <w:sz w:val="28"/>
          <w:szCs w:val="28"/>
        </w:rPr>
        <w:t>hausse</w:t>
      </w:r>
      <w:r w:rsidR="00B64E2F">
        <w:rPr>
          <w:rFonts w:ascii="Times New Roman" w:eastAsia="Gulim" w:hAnsi="Times New Roman"/>
          <w:sz w:val="28"/>
          <w:szCs w:val="28"/>
        </w:rPr>
        <w:t xml:space="preserve"> de </w:t>
      </w:r>
      <w:r w:rsidR="00410298">
        <w:rPr>
          <w:rFonts w:ascii="Times New Roman" w:eastAsia="Gulim" w:hAnsi="Times New Roman"/>
          <w:sz w:val="28"/>
          <w:szCs w:val="28"/>
        </w:rPr>
        <w:t>0,</w:t>
      </w:r>
      <w:r w:rsidR="00C608D6">
        <w:rPr>
          <w:rFonts w:ascii="Times New Roman" w:eastAsia="Gulim" w:hAnsi="Times New Roman"/>
          <w:sz w:val="28"/>
          <w:szCs w:val="28"/>
        </w:rPr>
        <w:t>4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non alimentaires.</w:t>
      </w:r>
    </w:p>
    <w:p w14:paraId="75A00BB4" w14:textId="77777777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7EDFD9E" w14:textId="66627B0C" w:rsidR="003442C0" w:rsidRDefault="00BD2098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B177437" wp14:editId="77C512C8">
            <wp:extent cx="5514975" cy="2743200"/>
            <wp:effectExtent l="0" t="0" r="9525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274861" w14:textId="77777777"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56C6ED3B" w14:textId="198E26CC" w:rsidR="002E54E2" w:rsidRDefault="002E54E2" w:rsidP="00BD209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L’IPC a augmenté de 0,</w:t>
      </w:r>
      <w:r w:rsidR="00BD2098">
        <w:rPr>
          <w:rFonts w:ascii="Times New Roman" w:eastAsia="Gulim" w:hAnsi="Times New Roman"/>
          <w:b/>
          <w:bCs/>
          <w:sz w:val="28"/>
          <w:szCs w:val="28"/>
        </w:rPr>
        <w:t>4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des </w:t>
      </w:r>
      <w:r w:rsidR="00BD2098">
        <w:rPr>
          <w:rFonts w:ascii="Times New Roman" w:eastAsia="Gulim" w:hAnsi="Times New Roman"/>
          <w:b/>
          <w:bCs/>
          <w:sz w:val="28"/>
          <w:szCs w:val="28"/>
        </w:rPr>
        <w:t>sept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premiers mois 2020.</w:t>
      </w:r>
    </w:p>
    <w:p w14:paraId="2887E6AC" w14:textId="77777777" w:rsidR="002E54E2" w:rsidRDefault="002E54E2" w:rsidP="002E54E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0A92017" w14:textId="61DEB507" w:rsidR="002E54E2" w:rsidRDefault="002E54E2" w:rsidP="00BD209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des </w:t>
      </w:r>
      <w:r w:rsidR="00BD2098">
        <w:rPr>
          <w:rFonts w:ascii="Times New Roman" w:eastAsia="Gulim" w:hAnsi="Times New Roman"/>
          <w:sz w:val="28"/>
          <w:szCs w:val="28"/>
        </w:rPr>
        <w:t>sept</w:t>
      </w:r>
      <w:r>
        <w:rPr>
          <w:rFonts w:ascii="Times New Roman" w:eastAsia="Gulim" w:hAnsi="Times New Roman"/>
          <w:sz w:val="28"/>
          <w:szCs w:val="28"/>
        </w:rPr>
        <w:t xml:space="preserve"> premiers mois 2020 par rapport à la même période 2019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</w:t>
      </w:r>
      <w:r w:rsidR="00BD2098">
        <w:rPr>
          <w:rFonts w:ascii="Times New Roman" w:eastAsia="Gulim" w:hAnsi="Times New Roman"/>
          <w:sz w:val="28"/>
          <w:szCs w:val="28"/>
        </w:rPr>
        <w:t>4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14:paraId="7340D065" w14:textId="0EF4C410" w:rsidR="002E54E2" w:rsidRDefault="002E54E2" w:rsidP="001E04C7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F117AF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F117AF">
        <w:rPr>
          <w:rFonts w:ascii="Times New Roman" w:eastAsia="Gulim" w:hAnsi="Times New Roman"/>
          <w:sz w:val="28"/>
          <w:szCs w:val="28"/>
        </w:rPr>
        <w:t xml:space="preserve"> (+</w:t>
      </w:r>
      <w:r w:rsidR="00BD2098">
        <w:rPr>
          <w:rFonts w:ascii="Times New Roman" w:eastAsia="Gulim" w:hAnsi="Times New Roman"/>
          <w:sz w:val="28"/>
          <w:szCs w:val="28"/>
        </w:rPr>
        <w:t>3,2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Fruits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F117AF">
        <w:rPr>
          <w:rFonts w:ascii="Times New Roman" w:eastAsia="Gulim" w:hAnsi="Times New Roman"/>
          <w:sz w:val="28"/>
          <w:szCs w:val="28"/>
        </w:rPr>
        <w:t>+10,</w:t>
      </w:r>
      <w:r w:rsidR="00BD2098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>%)</w:t>
      </w:r>
      <w:r w:rsidR="00C34887">
        <w:rPr>
          <w:rFonts w:ascii="Times New Roman" w:eastAsia="Gulim" w:hAnsi="Times New Roman"/>
          <w:sz w:val="28"/>
          <w:szCs w:val="28"/>
        </w:rPr>
        <w:t xml:space="preserve">, les </w:t>
      </w:r>
      <w:r w:rsidR="00C34887" w:rsidRPr="00391850">
        <w:rPr>
          <w:rFonts w:ascii="Times New Roman" w:eastAsia="Gulim" w:hAnsi="Times New Roman"/>
          <w:sz w:val="28"/>
          <w:szCs w:val="28"/>
        </w:rPr>
        <w:t>‘‘</w:t>
      </w:r>
      <w:r w:rsidR="00C34887">
        <w:rPr>
          <w:rFonts w:ascii="Times New Roman" w:eastAsia="Gulim" w:hAnsi="Times New Roman"/>
          <w:sz w:val="28"/>
          <w:szCs w:val="28"/>
        </w:rPr>
        <w:t>Pain et céréales</w:t>
      </w:r>
      <w:r w:rsidR="00C34887" w:rsidRPr="00391850">
        <w:rPr>
          <w:rFonts w:ascii="Times New Roman" w:eastAsia="Gulim" w:hAnsi="Times New Roman"/>
          <w:sz w:val="28"/>
          <w:szCs w:val="28"/>
        </w:rPr>
        <w:t>’’</w:t>
      </w:r>
      <w:r w:rsidR="00C34887">
        <w:rPr>
          <w:rFonts w:ascii="Times New Roman" w:eastAsia="Gulim" w:hAnsi="Times New Roman"/>
          <w:sz w:val="28"/>
          <w:szCs w:val="28"/>
        </w:rPr>
        <w:t xml:space="preserve"> (+1,</w:t>
      </w:r>
      <w:r w:rsidR="00BD2098">
        <w:rPr>
          <w:rFonts w:ascii="Times New Roman" w:eastAsia="Gulim" w:hAnsi="Times New Roman"/>
          <w:sz w:val="28"/>
          <w:szCs w:val="28"/>
        </w:rPr>
        <w:t>4</w:t>
      </w:r>
      <w:r w:rsidR="00C34887">
        <w:rPr>
          <w:rFonts w:ascii="Times New Roman" w:eastAsia="Gulim" w:hAnsi="Times New Roman"/>
          <w:sz w:val="28"/>
          <w:szCs w:val="28"/>
        </w:rPr>
        <w:t xml:space="preserve">%) </w:t>
      </w:r>
      <w:r>
        <w:rPr>
          <w:rFonts w:ascii="Times New Roman" w:eastAsia="Gulim" w:hAnsi="Times New Roman"/>
          <w:sz w:val="28"/>
          <w:szCs w:val="28"/>
        </w:rPr>
        <w:t xml:space="preserve">et </w:t>
      </w:r>
      <w:r w:rsidR="001E04C7">
        <w:rPr>
          <w:rFonts w:ascii="Times New Roman" w:eastAsia="Gulim" w:hAnsi="Times New Roman"/>
          <w:sz w:val="28"/>
          <w:szCs w:val="28"/>
        </w:rPr>
        <w:t xml:space="preserve">des baisses pour les </w:t>
      </w:r>
      <w:r w:rsidR="001E04C7" w:rsidRPr="00391850">
        <w:rPr>
          <w:rFonts w:ascii="Times New Roman" w:eastAsia="Gulim" w:hAnsi="Times New Roman"/>
          <w:sz w:val="28"/>
          <w:szCs w:val="28"/>
        </w:rPr>
        <w:t>‘‘</w:t>
      </w:r>
      <w:r w:rsidR="001E04C7">
        <w:rPr>
          <w:rFonts w:ascii="Times New Roman" w:eastAsia="Gulim" w:hAnsi="Times New Roman"/>
          <w:sz w:val="28"/>
          <w:szCs w:val="28"/>
        </w:rPr>
        <w:t>Viandes</w:t>
      </w:r>
      <w:r w:rsidR="001E04C7" w:rsidRPr="00391850">
        <w:rPr>
          <w:rFonts w:ascii="Times New Roman" w:eastAsia="Gulim" w:hAnsi="Times New Roman"/>
          <w:sz w:val="28"/>
          <w:szCs w:val="28"/>
        </w:rPr>
        <w:t>’’</w:t>
      </w:r>
      <w:r w:rsidR="001E04C7">
        <w:rPr>
          <w:rFonts w:ascii="Times New Roman" w:eastAsia="Gulim" w:hAnsi="Times New Roman"/>
          <w:sz w:val="28"/>
          <w:szCs w:val="28"/>
        </w:rPr>
        <w:t xml:space="preserve"> (-3,5) et les </w:t>
      </w:r>
      <w:r w:rsidR="001E04C7" w:rsidRPr="00391850">
        <w:rPr>
          <w:rFonts w:ascii="Times New Roman" w:eastAsia="Gulim" w:hAnsi="Times New Roman"/>
          <w:sz w:val="28"/>
          <w:szCs w:val="28"/>
        </w:rPr>
        <w:t>‘‘</w:t>
      </w:r>
      <w:r w:rsidR="001E04C7">
        <w:rPr>
          <w:rFonts w:ascii="Times New Roman" w:eastAsia="Gulim" w:hAnsi="Times New Roman"/>
          <w:sz w:val="28"/>
          <w:szCs w:val="28"/>
        </w:rPr>
        <w:t>Poissons et Fruits de mer</w:t>
      </w:r>
      <w:r w:rsidR="001E04C7" w:rsidRPr="00391850">
        <w:rPr>
          <w:rFonts w:ascii="Times New Roman" w:eastAsia="Gulim" w:hAnsi="Times New Roman"/>
          <w:sz w:val="28"/>
          <w:szCs w:val="28"/>
        </w:rPr>
        <w:t>’’</w:t>
      </w:r>
      <w:r w:rsidR="001E04C7">
        <w:rPr>
          <w:rFonts w:ascii="Times New Roman" w:eastAsia="Gulim" w:hAnsi="Times New Roman"/>
          <w:sz w:val="28"/>
          <w:szCs w:val="28"/>
        </w:rPr>
        <w:t xml:space="preserve"> (-2,0).</w:t>
      </w:r>
    </w:p>
    <w:p w14:paraId="18879BD2" w14:textId="7098EBAE" w:rsidR="002E54E2" w:rsidRDefault="002E54E2" w:rsidP="00CF6725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produits non alimentaires, les hausses des prix ont été constatées</w:t>
      </w:r>
      <w:r w:rsidR="00F117AF">
        <w:rPr>
          <w:rFonts w:ascii="Times New Roman" w:eastAsia="Gulim" w:hAnsi="Times New Roman"/>
          <w:sz w:val="28"/>
          <w:szCs w:val="28"/>
        </w:rPr>
        <w:t xml:space="preserve"> principalement pour </w:t>
      </w:r>
      <w:r>
        <w:rPr>
          <w:rFonts w:ascii="Times New Roman" w:eastAsia="Gulim" w:hAnsi="Times New Roman"/>
          <w:sz w:val="28"/>
          <w:szCs w:val="28"/>
        </w:rPr>
        <w:t>l’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Enseignement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privé de (+</w:t>
      </w:r>
      <w:r w:rsidR="00F117AF">
        <w:rPr>
          <w:rFonts w:ascii="Times New Roman" w:eastAsia="Gulim" w:hAnsi="Times New Roman"/>
          <w:sz w:val="28"/>
          <w:szCs w:val="28"/>
        </w:rPr>
        <w:t>3,8</w:t>
      </w:r>
      <w:r>
        <w:rPr>
          <w:rFonts w:ascii="Times New Roman" w:eastAsia="Gulim" w:hAnsi="Times New Roman"/>
          <w:sz w:val="28"/>
          <w:szCs w:val="28"/>
        </w:rPr>
        <w:t>%)</w:t>
      </w:r>
      <w:r w:rsidR="002C6906">
        <w:rPr>
          <w:rFonts w:ascii="Times New Roman" w:eastAsia="Gulim" w:hAnsi="Times New Roman"/>
          <w:sz w:val="28"/>
          <w:szCs w:val="28"/>
        </w:rPr>
        <w:t xml:space="preserve">, les Loyers (+1,4) </w:t>
      </w:r>
      <w:r>
        <w:rPr>
          <w:rFonts w:ascii="Times New Roman" w:eastAsia="Gulim" w:hAnsi="Times New Roman"/>
          <w:sz w:val="28"/>
          <w:szCs w:val="28"/>
        </w:rPr>
        <w:t>et les Frais de</w:t>
      </w:r>
      <w:r w:rsidR="00F117AF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F117AF">
        <w:rPr>
          <w:rFonts w:ascii="Times New Roman" w:eastAsia="Gulim" w:hAnsi="Times New Roman"/>
          <w:sz w:val="28"/>
          <w:szCs w:val="28"/>
        </w:rPr>
        <w:t>assurances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F117AF">
        <w:rPr>
          <w:rFonts w:ascii="Times New Roman" w:eastAsia="Gulim" w:hAnsi="Times New Roman"/>
          <w:sz w:val="28"/>
          <w:szCs w:val="28"/>
        </w:rPr>
        <w:t>4,0</w:t>
      </w:r>
      <w:r>
        <w:rPr>
          <w:rFonts w:ascii="Times New Roman" w:eastAsia="Gulim" w:hAnsi="Times New Roman"/>
          <w:sz w:val="28"/>
          <w:szCs w:val="28"/>
        </w:rPr>
        <w:t xml:space="preserve">%) contre une baisse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de (-</w:t>
      </w:r>
      <w:r w:rsidR="002C6906">
        <w:rPr>
          <w:rFonts w:ascii="Times New Roman" w:eastAsia="Gulim" w:hAnsi="Times New Roman"/>
          <w:sz w:val="28"/>
          <w:szCs w:val="28"/>
        </w:rPr>
        <w:t>11,7</w:t>
      </w:r>
      <w:r>
        <w:rPr>
          <w:rFonts w:ascii="Times New Roman" w:eastAsia="Gulim" w:hAnsi="Times New Roman"/>
          <w:sz w:val="28"/>
          <w:szCs w:val="28"/>
        </w:rPr>
        <w:t>%).</w:t>
      </w:r>
    </w:p>
    <w:p w14:paraId="76D7A7EF" w14:textId="0333447A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27F4AA4A" w:rsidR="007C49D9" w:rsidRDefault="00A641E7" w:rsidP="0017772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B64E2F">
        <w:rPr>
          <w:rFonts w:ascii="Times New Roman" w:eastAsia="Gulim" w:hAnsi="Times New Roman"/>
          <w:sz w:val="28"/>
          <w:szCs w:val="28"/>
        </w:rPr>
        <w:t>d</w:t>
      </w:r>
      <w:r w:rsidR="00A37409">
        <w:rPr>
          <w:rFonts w:ascii="Times New Roman" w:eastAsia="Gulim" w:hAnsi="Times New Roman"/>
          <w:sz w:val="28"/>
          <w:szCs w:val="28"/>
        </w:rPr>
        <w:t xml:space="preserve">e </w:t>
      </w:r>
      <w:r w:rsidR="004E4762">
        <w:rPr>
          <w:rFonts w:ascii="Times New Roman" w:eastAsia="Gulim" w:hAnsi="Times New Roman"/>
          <w:sz w:val="28"/>
          <w:szCs w:val="28"/>
        </w:rPr>
        <w:t>Juillet</w:t>
      </w:r>
      <w:r w:rsidR="00106A49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20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39725B">
        <w:rPr>
          <w:rFonts w:ascii="Times New Roman" w:eastAsia="Gulim" w:hAnsi="Times New Roman"/>
          <w:sz w:val="28"/>
          <w:szCs w:val="28"/>
        </w:rPr>
        <w:t>baisse</w:t>
      </w:r>
      <w:r w:rsidR="002C0653">
        <w:rPr>
          <w:rFonts w:ascii="Times New Roman" w:eastAsia="Gulim" w:hAnsi="Times New Roman"/>
          <w:sz w:val="28"/>
          <w:szCs w:val="28"/>
        </w:rPr>
        <w:t xml:space="preserve"> de 0,</w:t>
      </w:r>
      <w:r w:rsidR="004E4762">
        <w:rPr>
          <w:rFonts w:ascii="Times New Roman" w:eastAsia="Gulim" w:hAnsi="Times New Roman"/>
          <w:sz w:val="28"/>
          <w:szCs w:val="28"/>
        </w:rPr>
        <w:t>3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106A49">
        <w:rPr>
          <w:rFonts w:ascii="Times New Roman" w:eastAsia="Gulim" w:hAnsi="Times New Roman"/>
          <w:sz w:val="28"/>
          <w:szCs w:val="28"/>
        </w:rPr>
        <w:t xml:space="preserve">en glissement mensuel </w:t>
      </w:r>
      <w:r w:rsidR="00BF6D79">
        <w:rPr>
          <w:rFonts w:ascii="Times New Roman" w:eastAsia="Gulim" w:hAnsi="Times New Roman"/>
          <w:sz w:val="28"/>
          <w:szCs w:val="28"/>
        </w:rPr>
        <w:t xml:space="preserve">et </w:t>
      </w:r>
      <w:r w:rsidR="004E4762">
        <w:rPr>
          <w:rFonts w:ascii="Times New Roman" w:eastAsia="Gulim" w:hAnsi="Times New Roman"/>
          <w:sz w:val="28"/>
          <w:szCs w:val="28"/>
        </w:rPr>
        <w:t>de 0,1% en glissement annuel</w:t>
      </w:r>
      <w:r w:rsidR="00106A49">
        <w:rPr>
          <w:rFonts w:ascii="Times New Roman" w:eastAsia="Gulim" w:hAnsi="Times New Roman"/>
          <w:sz w:val="28"/>
          <w:szCs w:val="28"/>
        </w:rPr>
        <w:t>.</w:t>
      </w:r>
    </w:p>
    <w:p w14:paraId="33A44EAE" w14:textId="77777777"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FBBDA52" w14:textId="4DDD1840" w:rsidR="00A74981" w:rsidRDefault="00A37409" w:rsidP="00956CF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inégale allant d’une baisse de </w:t>
      </w:r>
      <w:r w:rsidR="0017772C">
        <w:rPr>
          <w:rFonts w:ascii="Times New Roman" w:eastAsia="Gulim" w:hAnsi="Times New Roman"/>
          <w:sz w:val="28"/>
          <w:szCs w:val="28"/>
        </w:rPr>
        <w:t>1,1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17772C">
        <w:rPr>
          <w:rFonts w:ascii="Times New Roman" w:eastAsia="Gulim" w:hAnsi="Times New Roman"/>
          <w:sz w:val="28"/>
          <w:szCs w:val="28"/>
        </w:rPr>
        <w:t>Oujda</w:t>
      </w:r>
      <w:r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17772C">
        <w:rPr>
          <w:rFonts w:ascii="Times New Roman" w:eastAsia="Gulim" w:hAnsi="Times New Roman"/>
          <w:sz w:val="28"/>
          <w:szCs w:val="28"/>
        </w:rPr>
        <w:t>1,4</w:t>
      </w:r>
      <w:r>
        <w:rPr>
          <w:rFonts w:ascii="Times New Roman" w:eastAsia="Gulim" w:hAnsi="Times New Roman"/>
          <w:sz w:val="28"/>
          <w:szCs w:val="28"/>
        </w:rPr>
        <w:t>% à</w:t>
      </w:r>
      <w:r w:rsidR="008D3B85">
        <w:rPr>
          <w:rFonts w:ascii="Times New Roman" w:eastAsia="Gulim" w:hAnsi="Times New Roman"/>
          <w:sz w:val="28"/>
          <w:szCs w:val="28"/>
        </w:rPr>
        <w:t xml:space="preserve"> </w:t>
      </w:r>
      <w:r w:rsidR="0017772C">
        <w:rPr>
          <w:rFonts w:ascii="Times New Roman" w:eastAsia="Gulim" w:hAnsi="Times New Roman"/>
          <w:sz w:val="28"/>
          <w:szCs w:val="28"/>
        </w:rPr>
        <w:t>Beni Mellal</w:t>
      </w:r>
      <w:r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28E05" w14:textId="77777777" w:rsidR="00422651" w:rsidRDefault="00422651">
      <w:r>
        <w:separator/>
      </w:r>
    </w:p>
    <w:p w14:paraId="197F53B3" w14:textId="77777777" w:rsidR="00422651" w:rsidRDefault="00422651"/>
  </w:endnote>
  <w:endnote w:type="continuationSeparator" w:id="0">
    <w:p w14:paraId="4984F530" w14:textId="77777777" w:rsidR="00422651" w:rsidRDefault="00422651">
      <w:r>
        <w:continuationSeparator/>
      </w:r>
    </w:p>
    <w:p w14:paraId="0CBF1B6A" w14:textId="77777777" w:rsidR="00422651" w:rsidRDefault="00422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32BF0067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652BE9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469C48AF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652BE9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51BD2" w14:textId="77777777" w:rsidR="00422651" w:rsidRDefault="00422651">
      <w:r>
        <w:separator/>
      </w:r>
    </w:p>
    <w:p w14:paraId="042920C2" w14:textId="77777777" w:rsidR="00422651" w:rsidRDefault="00422651"/>
  </w:footnote>
  <w:footnote w:type="continuationSeparator" w:id="0">
    <w:p w14:paraId="2CD3DB55" w14:textId="77777777" w:rsidR="00422651" w:rsidRDefault="00422651">
      <w:r>
        <w:continuationSeparator/>
      </w:r>
    </w:p>
    <w:p w14:paraId="5692183B" w14:textId="77777777" w:rsidR="00422651" w:rsidRDefault="00422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E773B"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55181ACF" w14:textId="77777777"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8C950D1" w14:textId="77777777"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6E1"/>
    <w:rsid w:val="00111D45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BFD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5E"/>
    <w:rsid w:val="0056518A"/>
    <w:rsid w:val="005651A0"/>
    <w:rsid w:val="005654B7"/>
    <w:rsid w:val="005664B6"/>
    <w:rsid w:val="00566E2F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DB9"/>
    <w:rsid w:val="00651630"/>
    <w:rsid w:val="006517F4"/>
    <w:rsid w:val="006529B3"/>
    <w:rsid w:val="00652B47"/>
    <w:rsid w:val="00652BE9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22FD"/>
    <w:rsid w:val="007F2652"/>
    <w:rsid w:val="007F2734"/>
    <w:rsid w:val="007F2DF1"/>
    <w:rsid w:val="007F2F7D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89D"/>
    <w:rsid w:val="00840A04"/>
    <w:rsid w:val="00840F07"/>
    <w:rsid w:val="00841008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508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37791"/>
    <w:rsid w:val="0094008B"/>
    <w:rsid w:val="009404AA"/>
    <w:rsid w:val="009404F1"/>
    <w:rsid w:val="00940DE5"/>
    <w:rsid w:val="009411E6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210"/>
    <w:rsid w:val="00AC6F6F"/>
    <w:rsid w:val="00AC717F"/>
    <w:rsid w:val="00AC72F6"/>
    <w:rsid w:val="00AC735C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177"/>
    <w:rsid w:val="00FE4302"/>
    <w:rsid w:val="00FE5F2D"/>
    <w:rsid w:val="00FE6082"/>
    <w:rsid w:val="00FE65CC"/>
    <w:rsid w:val="00FE6DE2"/>
    <w:rsid w:val="00FE6F41"/>
    <w:rsid w:val="00FE75F6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\Note\07_2020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07_2020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/>
            </a:pPr>
            <a:r>
              <a:rPr lang="en-US" sz="1200"/>
              <a:t>Juillet 2019_Juillet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0.11391909344665248"/>
          <c:w val="0.90435184585085315"/>
          <c:h val="0.83971128608923895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43647</c:v>
                </c:pt>
                <c:pt idx="1">
                  <c:v>43678</c:v>
                </c:pt>
                <c:pt idx="2">
                  <c:v>43709</c:v>
                </c:pt>
                <c:pt idx="3">
                  <c:v>43739</c:v>
                </c:pt>
                <c:pt idx="4">
                  <c:v>43770</c:v>
                </c:pt>
                <c:pt idx="5">
                  <c:v>43800</c:v>
                </c:pt>
                <c:pt idx="6">
                  <c:v>43831</c:v>
                </c:pt>
                <c:pt idx="7">
                  <c:v>43862</c:v>
                </c:pt>
                <c:pt idx="8">
                  <c:v>43891</c:v>
                </c:pt>
                <c:pt idx="9">
                  <c:v>43922</c:v>
                </c:pt>
                <c:pt idx="10">
                  <c:v>43952</c:v>
                </c:pt>
                <c:pt idx="11">
                  <c:v>43983</c:v>
                </c:pt>
                <c:pt idx="12">
                  <c:v>44013</c:v>
                </c:pt>
              </c:numCache>
            </c:numRef>
          </c:cat>
          <c:val>
            <c:numRef>
              <c:f>Feuil7!$B$43:$B$55</c:f>
              <c:numCache>
                <c:formatCode>General</c:formatCode>
                <c:ptCount val="13"/>
                <c:pt idx="0">
                  <c:v>-0.5</c:v>
                </c:pt>
                <c:pt idx="1">
                  <c:v>0.2</c:v>
                </c:pt>
                <c:pt idx="2">
                  <c:v>-0.1</c:v>
                </c:pt>
                <c:pt idx="3">
                  <c:v>-0.1</c:v>
                </c:pt>
                <c:pt idx="4">
                  <c:v>0.5</c:v>
                </c:pt>
                <c:pt idx="5">
                  <c:v>-0.1</c:v>
                </c:pt>
                <c:pt idx="6">
                  <c:v>-0.1</c:v>
                </c:pt>
                <c:pt idx="7">
                  <c:v>-0.2</c:v>
                </c:pt>
                <c:pt idx="8">
                  <c:v>0.1</c:v>
                </c:pt>
                <c:pt idx="9">
                  <c:v>0</c:v>
                </c:pt>
                <c:pt idx="10">
                  <c:v>-0.2</c:v>
                </c:pt>
                <c:pt idx="11">
                  <c:v>-0.2</c:v>
                </c:pt>
                <c:pt idx="12">
                  <c:v>-0.3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9AF4-44BC-AC7F-06B74350CF69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43647</c:v>
                </c:pt>
                <c:pt idx="1">
                  <c:v>43678</c:v>
                </c:pt>
                <c:pt idx="2">
                  <c:v>43709</c:v>
                </c:pt>
                <c:pt idx="3">
                  <c:v>43739</c:v>
                </c:pt>
                <c:pt idx="4">
                  <c:v>43770</c:v>
                </c:pt>
                <c:pt idx="5">
                  <c:v>43800</c:v>
                </c:pt>
                <c:pt idx="6">
                  <c:v>43831</c:v>
                </c:pt>
                <c:pt idx="7">
                  <c:v>43862</c:v>
                </c:pt>
                <c:pt idx="8">
                  <c:v>43891</c:v>
                </c:pt>
                <c:pt idx="9">
                  <c:v>43922</c:v>
                </c:pt>
                <c:pt idx="10">
                  <c:v>43952</c:v>
                </c:pt>
                <c:pt idx="11">
                  <c:v>43983</c:v>
                </c:pt>
                <c:pt idx="12">
                  <c:v>44013</c:v>
                </c:pt>
              </c:numCache>
            </c:numRef>
          </c:cat>
          <c:val>
            <c:numRef>
              <c:f>Feuil7!$C$43:$C$55</c:f>
              <c:numCache>
                <c:formatCode>General</c:formatCode>
                <c:ptCount val="13"/>
                <c:pt idx="0">
                  <c:v>-0.9</c:v>
                </c:pt>
                <c:pt idx="1">
                  <c:v>0.4</c:v>
                </c:pt>
                <c:pt idx="2">
                  <c:v>-0.2</c:v>
                </c:pt>
                <c:pt idx="3">
                  <c:v>0.2</c:v>
                </c:pt>
                <c:pt idx="4">
                  <c:v>0.4</c:v>
                </c:pt>
                <c:pt idx="5">
                  <c:v>0</c:v>
                </c:pt>
                <c:pt idx="6">
                  <c:v>-0.2</c:v>
                </c:pt>
                <c:pt idx="7">
                  <c:v>-0.2</c:v>
                </c:pt>
                <c:pt idx="8">
                  <c:v>0.4</c:v>
                </c:pt>
                <c:pt idx="9">
                  <c:v>-0.1</c:v>
                </c:pt>
                <c:pt idx="10">
                  <c:v>-0.2</c:v>
                </c:pt>
                <c:pt idx="11">
                  <c:v>-0.3</c:v>
                </c:pt>
                <c:pt idx="12">
                  <c:v>-0.3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4C3F-4BE9-8C8C-B0905BB506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6779984"/>
        <c:axId val="686780528"/>
      </c:lineChart>
      <c:dateAx>
        <c:axId val="68677998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86780528"/>
        <c:crosses val="autoZero"/>
        <c:auto val="1"/>
        <c:lblOffset val="100"/>
        <c:baseTimeUnit val="months"/>
      </c:dateAx>
      <c:valAx>
        <c:axId val="686780528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8677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C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</a:rPr>
              <a:t>IPC : Glissement annuel</a:t>
            </a:r>
          </a:p>
          <a:p>
            <a:pPr>
              <a:defRPr>
                <a:solidFill>
                  <a:srgbClr val="C00000"/>
                </a:solidFill>
              </a:defRPr>
            </a:pPr>
            <a:r>
              <a:rPr lang="en-US" sz="1200" b="1">
                <a:solidFill>
                  <a:sysClr val="windowText" lastClr="000000"/>
                </a:solidFill>
              </a:rPr>
              <a:t>en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C00000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Feuil9!$B$47</c:f>
              <c:strCache>
                <c:ptCount val="1"/>
                <c:pt idx="0">
                  <c:v>Casablanca</c:v>
                </c:pt>
              </c:strCache>
            </c:strRef>
          </c:tx>
          <c:spPr>
            <a:ln w="28575" cap="rnd">
              <a:solidFill>
                <a:schemeClr val="accent2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Feuil9!$A$48:$A$78</c:f>
              <c:numCache>
                <c:formatCode>mmm\-yy</c:formatCode>
                <c:ptCount val="31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</c:numCache>
            </c:numRef>
          </c:cat>
          <c:val>
            <c:numRef>
              <c:f>Feuil9!$B$48:$B$78</c:f>
              <c:numCache>
                <c:formatCode>General</c:formatCode>
                <c:ptCount val="31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47-4D2E-B5F2-25544E0C78C7}"/>
            </c:ext>
          </c:extLst>
        </c:ser>
        <c:ser>
          <c:idx val="1"/>
          <c:order val="1"/>
          <c:tx>
            <c:strRef>
              <c:f>Feuil9!$C$47</c:f>
              <c:strCache>
                <c:ptCount val="1"/>
                <c:pt idx="0">
                  <c:v>Maroc</c:v>
                </c:pt>
              </c:strCache>
            </c:strRef>
          </c:tx>
          <c:spPr>
            <a:ln w="28575" cap="rnd">
              <a:solidFill>
                <a:schemeClr val="accent2">
                  <a:shade val="76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Feuil9!$A$48:$A$78</c:f>
              <c:numCache>
                <c:formatCode>mmm\-yy</c:formatCode>
                <c:ptCount val="31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</c:numCache>
            </c:numRef>
          </c:cat>
          <c:val>
            <c:numRef>
              <c:f>Feuil9!$C$48:$C$78</c:f>
              <c:numCache>
                <c:formatCode>General</c:formatCode>
                <c:ptCount val="31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47-4D2E-B5F2-25544E0C78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60123440"/>
        <c:axId val="2060127248"/>
      </c:lineChart>
      <c:dateAx>
        <c:axId val="206012344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60127248"/>
        <c:crosses val="autoZero"/>
        <c:auto val="1"/>
        <c:lblOffset val="100"/>
        <c:baseTimeUnit val="months"/>
      </c:dateAx>
      <c:valAx>
        <c:axId val="206012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60123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593FD2-EF53-4128-A196-9ED0B9DC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754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2020-09-01T10:01:00Z</dcterms:created>
  <dcterms:modified xsi:type="dcterms:W3CDTF">2020-09-01T11:05:00Z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