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6633C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="00B6633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 ا</w:t>
      </w:r>
      <w:r w:rsidR="00B6633C" w:rsidRPr="00B6633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لإ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ستدلالي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للأثمان عند ا</w:t>
      </w:r>
      <w:r w:rsidR="00B6633C" w:rsidRPr="00B6633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لإ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ستهلاك </w:t>
      </w:r>
    </w:p>
    <w:p w:rsidR="005B30EC" w:rsidRPr="005B30EC" w:rsidRDefault="00F626D2" w:rsidP="009F631B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FC335E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 w:bidi="ar-KW"/>
        </w:rPr>
        <w:t xml:space="preserve"> </w:t>
      </w:r>
      <w:r w:rsidR="009F631B" w:rsidRPr="009F631B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KW"/>
        </w:rPr>
        <w:t>نونبر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</w:p>
    <w:p w:rsidR="00A21E08" w:rsidRPr="00175EF6" w:rsidRDefault="00A21E08" w:rsidP="00A21E08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176C42" w:rsidRPr="0008432D" w:rsidRDefault="00B047E1" w:rsidP="009F631B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B047E1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إنخفاض</w:t>
      </w:r>
      <w:r w:rsidR="001727B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الرقم ا</w:t>
      </w:r>
      <w:r w:rsidR="00B6633C" w:rsidRPr="00B6633C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لإ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</w:t>
      </w:r>
      <w:r w:rsidR="00B6633C" w:rsidRPr="00B6633C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لإ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B94A1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 xml:space="preserve"> </w:t>
      </w:r>
      <w:r w:rsidR="009F631B" w:rsidRPr="009F631B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KW"/>
        </w:rPr>
        <w:t>نونبر</w:t>
      </w:r>
      <w:r w:rsidR="00B94A1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 xml:space="preserve"> </w:t>
      </w:r>
      <w:r w:rsidR="00B94A11" w:rsidRPr="00B94A11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KW"/>
        </w:rPr>
        <w:t>2020</w:t>
      </w:r>
      <w:r w:rsidR="00B94A11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EF55B7" w:rsidRDefault="00EF55B7" w:rsidP="00EF55B7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B047E1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9C36CF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9F631B" w:rsidRPr="009F631B">
        <w:rPr>
          <w:rFonts w:ascii="Arial" w:eastAsia="Times New Roman" w:hAnsi="Arial" w:cs="Arial"/>
          <w:sz w:val="32"/>
          <w:szCs w:val="32"/>
          <w:rtl/>
          <w:lang w:eastAsia="fr-FR"/>
        </w:rPr>
        <w:t>نونبر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>20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/>
        </w:rPr>
        <w:t>20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B047E1" w:rsidRPr="00396D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إنخفاض</w:t>
      </w:r>
      <w:r w:rsidR="00B047E1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ا</w:t>
      </w:r>
      <w:r w:rsidR="00B047E1">
        <w:rPr>
          <w:rFonts w:ascii="Arial" w:eastAsia="Times New Roman" w:hAnsi="Arial" w:cs="Arial"/>
          <w:sz w:val="32"/>
          <w:szCs w:val="32"/>
          <w:lang w:eastAsia="fr-FR" w:bidi="ar-MA"/>
        </w:rPr>
        <w:t xml:space="preserve"> </w:t>
      </w:r>
      <w:r w:rsidR="00B047E1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بنسبة</w:t>
      </w:r>
      <w:r w:rsidR="00B047E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396D6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B047E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FC335E" w:rsidRPr="00FC335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FC335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B047E1" w:rsidRPr="00396D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إنخفاض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D9756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B047E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</w:t>
      </w:r>
      <w:r w:rsidR="00396D6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B047E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9</w:t>
      </w:r>
      <w:r w:rsidR="00583BDA" w:rsidRPr="00583BD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B047E1" w:rsidRPr="00732E3B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إ</w:t>
      </w:r>
      <w:r w:rsidR="00B047E1">
        <w:rPr>
          <w:rFonts w:ascii="Arial" w:eastAsia="Times New Roman" w:hAnsi="Arial" w:cs="Arial" w:hint="cs"/>
          <w:sz w:val="32"/>
          <w:szCs w:val="32"/>
          <w:rtl/>
          <w:lang w:eastAsia="fr-FR"/>
        </w:rPr>
        <w:t>رتفاع</w:t>
      </w:r>
      <w:r w:rsidR="00396D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B53A3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F1E8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396D6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5B30EC" w:rsidRDefault="00D34F39" w:rsidP="00B047E1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B047E1" w:rsidRPr="00396D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إنخفاض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9F631B" w:rsidRPr="00396D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أكتوبر</w:t>
      </w:r>
      <w:r w:rsidR="00583BD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B39DC" w:rsidRPr="007A052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9F631B" w:rsidRPr="009F631B">
        <w:rPr>
          <w:rFonts w:ascii="Arial" w:eastAsia="Times New Roman" w:hAnsi="Arial" w:cs="Arial"/>
          <w:sz w:val="32"/>
          <w:szCs w:val="32"/>
          <w:rtl/>
          <w:lang w:eastAsia="fr-FR"/>
        </w:rPr>
        <w:t>نونبر</w:t>
      </w:r>
      <w:r w:rsidR="00B94A1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2020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الى </w:t>
      </w:r>
      <w:r w:rsidR="00B047E1" w:rsidRPr="00396D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إنخفاض</w:t>
      </w:r>
      <w:r w:rsidR="001727B8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A1A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047E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B047E1" w:rsidRPr="00B047E1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الفواكه</w:t>
      </w:r>
      <w:r w:rsidR="00B047E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B047E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047E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 </w:t>
      </w:r>
      <w:r w:rsidR="00B047E1">
        <w:rPr>
          <w:rFonts w:ascii="Arial" w:eastAsia="Times New Roman" w:hAnsi="Arial" w:cs="Arial" w:hint="cs"/>
          <w:sz w:val="24"/>
          <w:szCs w:val="24"/>
          <w:rtl/>
          <w:lang w:eastAsia="fr-FR"/>
        </w:rPr>
        <w:t>9</w:t>
      </w:r>
      <w:r w:rsidR="00B047E1">
        <w:rPr>
          <w:rFonts w:ascii="Arial" w:eastAsia="Times New Roman" w:hAnsi="Arial" w:cs="Arial" w:hint="cs"/>
          <w:sz w:val="24"/>
          <w:szCs w:val="24"/>
          <w:rtl/>
          <w:lang w:eastAsia="fr-FR"/>
        </w:rPr>
        <w:t>,</w:t>
      </w:r>
      <w:r w:rsidR="00B047E1">
        <w:rPr>
          <w:rFonts w:ascii="Arial" w:eastAsia="Times New Roman" w:hAnsi="Arial" w:cs="Arial" w:hint="cs"/>
          <w:sz w:val="24"/>
          <w:szCs w:val="24"/>
          <w:rtl/>
          <w:lang w:eastAsia="fr-FR"/>
        </w:rPr>
        <w:t>4</w:t>
      </w:r>
      <w:r w:rsidR="00B047E1" w:rsidRPr="00B82AF8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B047E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047E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05145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"االلحوم" ب </w:t>
      </w:r>
      <w:r w:rsidR="00B047E1">
        <w:rPr>
          <w:rFonts w:ascii="Arial" w:eastAsia="Times New Roman" w:hAnsi="Arial" w:cs="Arial" w:hint="cs"/>
          <w:sz w:val="24"/>
          <w:szCs w:val="24"/>
          <w:rtl/>
          <w:lang w:eastAsia="fr-FR"/>
        </w:rPr>
        <w:t>1</w:t>
      </w:r>
      <w:r w:rsidR="0005145A">
        <w:rPr>
          <w:rFonts w:ascii="Arial" w:eastAsia="Times New Roman" w:hAnsi="Arial" w:cs="Arial" w:hint="cs"/>
          <w:sz w:val="24"/>
          <w:szCs w:val="24"/>
          <w:rtl/>
          <w:lang w:eastAsia="fr-FR"/>
        </w:rPr>
        <w:t>,</w:t>
      </w:r>
      <w:r w:rsidR="00B047E1">
        <w:rPr>
          <w:rFonts w:ascii="Arial" w:eastAsia="Times New Roman" w:hAnsi="Arial" w:cs="Arial" w:hint="cs"/>
          <w:sz w:val="24"/>
          <w:szCs w:val="24"/>
          <w:rtl/>
          <w:lang w:eastAsia="fr-FR"/>
        </w:rPr>
        <w:t>5</w:t>
      </w:r>
      <w:r w:rsidR="0005145A" w:rsidRPr="00B82AF8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05145A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05145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B82AF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الخضر</w:t>
      </w:r>
      <w:r w:rsidR="00B8224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 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B047E1">
        <w:rPr>
          <w:rFonts w:ascii="Arial" w:eastAsia="Times New Roman" w:hAnsi="Arial" w:cs="Arial" w:hint="cs"/>
          <w:sz w:val="24"/>
          <w:szCs w:val="24"/>
          <w:rtl/>
          <w:lang w:eastAsia="fr-FR"/>
        </w:rPr>
        <w:t>0</w:t>
      </w:r>
      <w:r w:rsidR="00396D69">
        <w:rPr>
          <w:rFonts w:ascii="Arial" w:eastAsia="Times New Roman" w:hAnsi="Arial" w:cs="Arial" w:hint="cs"/>
          <w:sz w:val="24"/>
          <w:szCs w:val="24"/>
          <w:rtl/>
          <w:lang w:eastAsia="fr-FR"/>
        </w:rPr>
        <w:t>,</w:t>
      </w:r>
      <w:r w:rsidR="00B047E1">
        <w:rPr>
          <w:rFonts w:ascii="Arial" w:eastAsia="Times New Roman" w:hAnsi="Arial" w:cs="Arial" w:hint="cs"/>
          <w:sz w:val="24"/>
          <w:szCs w:val="24"/>
          <w:rtl/>
          <w:lang w:eastAsia="fr-FR"/>
        </w:rPr>
        <w:t>5</w:t>
      </w:r>
      <w:r w:rsidR="00350220" w:rsidRPr="00350220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B94A11"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  <w:r w:rsidR="00B8224E" w:rsidRPr="00B82AF8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</w:p>
    <w:p w:rsidR="009C1447" w:rsidRPr="003F1569" w:rsidRDefault="009C1447" w:rsidP="009C1447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lang w:eastAsia="fr-FR" w:bidi="ar-MA"/>
        </w:rPr>
      </w:pPr>
    </w:p>
    <w:p w:rsidR="00CD34B0" w:rsidRDefault="005B30EC" w:rsidP="00B047E1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732E3B" w:rsidRPr="00732E3B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B047E1" w:rsidRPr="00396D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إنخفاض</w:t>
      </w:r>
      <w:r w:rsidR="00B047E1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ا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بنسبة </w:t>
      </w:r>
      <w:r w:rsidR="0053073D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B047E1">
        <w:rPr>
          <w:rFonts w:ascii="Arial" w:eastAsia="Times New Roman" w:hAnsi="Arial" w:cs="Arial" w:hint="cs"/>
          <w:sz w:val="24"/>
          <w:szCs w:val="24"/>
          <w:rtl/>
          <w:lang w:eastAsia="fr-FR"/>
        </w:rPr>
        <w:t>7</w:t>
      </w:r>
      <w:r w:rsidR="005C070E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C47405" w:rsidRPr="005C070E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F626D2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AC2D7E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B047E1" w:rsidRPr="009F631B">
        <w:rPr>
          <w:rFonts w:ascii="Arial" w:eastAsia="Times New Roman" w:hAnsi="Arial" w:cs="Arial"/>
          <w:sz w:val="32"/>
          <w:szCs w:val="32"/>
          <w:rtl/>
          <w:lang w:eastAsia="fr-FR"/>
        </w:rPr>
        <w:t>نونبر</w:t>
      </w:r>
      <w:r w:rsidR="00144A2C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9C144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CD34B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CD34B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CD34B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CD34B0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D34B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53073D" w:rsidRPr="00396D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إنخفاض</w:t>
      </w:r>
      <w:r w:rsidR="00B377E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لل</w:t>
      </w:r>
      <w:r w:rsidR="00B377EE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الاستدلالي</w:t>
      </w:r>
      <w:r w:rsidR="0053073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3073D" w:rsidRPr="0053073D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بمدينة </w:t>
      </w:r>
      <w:r w:rsidR="00B047E1" w:rsidRPr="00B047E1">
        <w:rPr>
          <w:rFonts w:ascii="Arial" w:eastAsia="Times New Roman" w:hAnsi="Arial" w:cs="Arial"/>
          <w:sz w:val="32"/>
          <w:szCs w:val="32"/>
          <w:rtl/>
          <w:lang w:eastAsia="fr-FR" w:bidi="ar-MA"/>
        </w:rPr>
        <w:t>بني ملال</w:t>
      </w:r>
      <w:r w:rsidR="00B377E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571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بنسبة </w:t>
      </w:r>
      <w:r w:rsidR="00B047E1">
        <w:rPr>
          <w:rFonts w:ascii="Arial" w:eastAsia="Times New Roman" w:hAnsi="Arial" w:cs="Arial" w:hint="cs"/>
          <w:sz w:val="24"/>
          <w:szCs w:val="24"/>
          <w:rtl/>
          <w:lang w:eastAsia="fr-FR"/>
        </w:rPr>
        <w:t>1</w:t>
      </w:r>
      <w:r w:rsidR="00B377EE" w:rsidRPr="00377175">
        <w:rPr>
          <w:rFonts w:ascii="Arial" w:eastAsia="Times New Roman" w:hAnsi="Arial" w:cs="Arial" w:hint="cs"/>
          <w:sz w:val="24"/>
          <w:szCs w:val="24"/>
          <w:rtl/>
          <w:lang w:eastAsia="fr-FR"/>
        </w:rPr>
        <w:t>,</w:t>
      </w:r>
      <w:r w:rsidR="00B047E1">
        <w:rPr>
          <w:rFonts w:ascii="Arial" w:eastAsia="Times New Roman" w:hAnsi="Arial" w:cs="Arial" w:hint="cs"/>
          <w:sz w:val="24"/>
          <w:szCs w:val="24"/>
          <w:rtl/>
          <w:lang w:eastAsia="fr-FR"/>
        </w:rPr>
        <w:t>7</w:t>
      </w:r>
      <w:r w:rsidR="00B377EE" w:rsidRPr="00B82AF8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B047E1"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</w:p>
    <w:p w:rsidR="005C070E" w:rsidRDefault="005C070E" w:rsidP="00CD34B0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8D1E3E" w:rsidRDefault="008D1E3E" w:rsidP="005C070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EB086D" w:rsidRDefault="00EB086D" w:rsidP="00EB086D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1C351F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796418" w:rsidRDefault="00796418" w:rsidP="00796418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835F66" w:rsidRDefault="00835F66" w:rsidP="00835F66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D87512" w:rsidRDefault="00D87512" w:rsidP="00D87512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A82B5C" w:rsidRDefault="00A82B5C" w:rsidP="00A82B5C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C813AE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الاستدلالي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الاستهلاك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253929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7D539F" w:rsidRDefault="0079641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396D69">
              <w:rPr>
                <w:rFonts w:ascii="Arial" w:hAnsi="Arial" w:cs="Arial"/>
                <w:b/>
                <w:bCs/>
                <w:sz w:val="24"/>
                <w:szCs w:val="24"/>
                <w:rtl/>
                <w:lang w:bidi="ar-KW"/>
              </w:rPr>
              <w:t>أكتوبر</w:t>
            </w:r>
            <w:r w:rsidR="0045243A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 xml:space="preserve"> 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7D539F" w:rsidRDefault="00796418" w:rsidP="007F3AFE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96418">
              <w:rPr>
                <w:rFonts w:ascii="Arial" w:hAnsi="Arial" w:cs="Arial"/>
                <w:b/>
                <w:bCs/>
                <w:sz w:val="24"/>
                <w:szCs w:val="24"/>
                <w:rtl/>
                <w:lang w:bidi="ar-KW"/>
              </w:rPr>
              <w:t>نونبر</w:t>
            </w:r>
            <w:r w:rsidR="007F3AFE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 xml:space="preserve"> 2020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253929" w:rsidRPr="007D539F" w:rsidRDefault="00253929" w:rsidP="0045243A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79641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103,1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796418" w:rsidP="00C5714D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102,</w:t>
            </w:r>
            <w:r w:rsidR="00C55CEB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C55CEB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-0,9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79641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C55CEB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C55CEB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-1,0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C5714D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C5714D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796418" w:rsidP="00C5714D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103,59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C55CEB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103,</w:t>
            </w:r>
            <w:r w:rsidR="00C55CE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C55CEB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79641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C55CEB" w:rsidP="00C5714D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C5714D" w:rsidP="00C55CEB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C55CEB">
              <w:rPr>
                <w:rFonts w:ascii="Arial" w:hAnsi="Arial" w:cs="Arial" w:hint="cs"/>
                <w:sz w:val="20"/>
                <w:szCs w:val="20"/>
                <w:rtl/>
              </w:rPr>
              <w:t>5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45243A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5243A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796418" w:rsidP="007F3AFE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</w:t>
            </w:r>
            <w:r w:rsidR="00377175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5243A" w:rsidP="00C55CEB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C55CEB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796418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</w:t>
            </w:r>
            <w:r w:rsidR="00377175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C55CEB" w:rsidP="00C55CEB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796418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C55CEB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</w:t>
            </w:r>
            <w:r w:rsidR="00C55CEB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377175" w:rsidP="00C55CEB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-0,</w:t>
            </w:r>
            <w:r w:rsidR="00C55CEB"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</w:t>
            </w:r>
            <w:r w:rsidR="00377175">
              <w:rPr>
                <w:rFonts w:ascii="Arial" w:hAnsi="Arial" w:cs="Arial" w:hint="cs"/>
                <w:sz w:val="20"/>
                <w:szCs w:val="20"/>
                <w:rtl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</w:t>
            </w:r>
            <w:r w:rsidR="00377175">
              <w:rPr>
                <w:rFonts w:ascii="Arial" w:hAnsi="Arial" w:cs="Arial" w:hint="cs"/>
                <w:sz w:val="20"/>
                <w:szCs w:val="20"/>
                <w:rtl/>
              </w:rPr>
              <w:t>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5243A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796418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C55CEB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96,</w:t>
            </w:r>
            <w:r w:rsidR="00C55CEB">
              <w:rPr>
                <w:rFonts w:ascii="Arial" w:hAnsi="Arial" w:cs="Arial" w:hint="cs"/>
                <w:sz w:val="20"/>
                <w:szCs w:val="20"/>
                <w:rtl/>
              </w:rPr>
              <w:t>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C55CEB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</w:t>
            </w:r>
            <w:r w:rsidR="00377175"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377175" w:rsidP="00D8751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377175" w:rsidP="0039151F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5243A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835F66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</w:t>
            </w:r>
            <w:r w:rsidR="0039151F">
              <w:rPr>
                <w:rFonts w:ascii="Arial" w:hAnsi="Arial" w:cs="Arial" w:hint="cs"/>
                <w:sz w:val="20"/>
                <w:szCs w:val="20"/>
                <w:rtl/>
              </w:rPr>
              <w:t>,</w:t>
            </w:r>
            <w:r w:rsidR="00377175">
              <w:rPr>
                <w:rFonts w:ascii="Arial" w:hAnsi="Arial" w:cs="Arial" w:hint="cs"/>
                <w:sz w:val="20"/>
                <w:szCs w:val="20"/>
                <w:rtl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C55CEB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C55CEB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1,2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796418" w:rsidP="0037717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5243A" w:rsidP="00C55CEB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C55CEB">
              <w:rPr>
                <w:rFonts w:ascii="Arial" w:hAnsi="Arial" w:cs="Arial" w:hint="cs"/>
                <w:sz w:val="20"/>
                <w:szCs w:val="20"/>
                <w:rtl/>
              </w:rPr>
              <w:t>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C55CEB" w:rsidP="00C55CEB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796418" w:rsidP="007F3AFE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377175" w:rsidP="00C55CEB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103,</w:t>
            </w:r>
            <w:r w:rsidR="00C55CE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C55CEB" w:rsidP="0045243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-0,3</w:t>
            </w:r>
            <w:bookmarkStart w:id="0" w:name="_GoBack"/>
            <w:bookmarkEnd w:id="0"/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 w:bidi="ar-KW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MA" w:vendorID="64" w:dllVersion="131078" w:nlCheck="1" w:checkStyle="0"/>
  <w:activeWritingStyle w:appName="MSWord" w:lang="ar-SA" w:vendorID="64" w:dllVersion="131078" w:nlCheck="1" w:checkStyle="0"/>
  <w:activeWritingStyle w:appName="MSWord" w:lang="ar-KW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20957"/>
    <w:rsid w:val="00021195"/>
    <w:rsid w:val="00021F3D"/>
    <w:rsid w:val="0002428D"/>
    <w:rsid w:val="00032975"/>
    <w:rsid w:val="000344A9"/>
    <w:rsid w:val="00034BE6"/>
    <w:rsid w:val="000433F4"/>
    <w:rsid w:val="0005145A"/>
    <w:rsid w:val="0006008B"/>
    <w:rsid w:val="00062D86"/>
    <w:rsid w:val="0006734C"/>
    <w:rsid w:val="00072591"/>
    <w:rsid w:val="0008432D"/>
    <w:rsid w:val="000905DA"/>
    <w:rsid w:val="00091763"/>
    <w:rsid w:val="000A059B"/>
    <w:rsid w:val="000C268E"/>
    <w:rsid w:val="000C4BE1"/>
    <w:rsid w:val="000D11AD"/>
    <w:rsid w:val="000D4618"/>
    <w:rsid w:val="000D6610"/>
    <w:rsid w:val="000E06DC"/>
    <w:rsid w:val="000E5F35"/>
    <w:rsid w:val="000F2F69"/>
    <w:rsid w:val="00100F99"/>
    <w:rsid w:val="00105067"/>
    <w:rsid w:val="00105DEB"/>
    <w:rsid w:val="001106AB"/>
    <w:rsid w:val="001129EA"/>
    <w:rsid w:val="001173D2"/>
    <w:rsid w:val="00117A13"/>
    <w:rsid w:val="00126030"/>
    <w:rsid w:val="00132E4E"/>
    <w:rsid w:val="00133E8A"/>
    <w:rsid w:val="001413A5"/>
    <w:rsid w:val="00144A2C"/>
    <w:rsid w:val="00145389"/>
    <w:rsid w:val="00150FD1"/>
    <w:rsid w:val="00154A48"/>
    <w:rsid w:val="001639C3"/>
    <w:rsid w:val="0017046F"/>
    <w:rsid w:val="001727B8"/>
    <w:rsid w:val="001751FD"/>
    <w:rsid w:val="00175EF6"/>
    <w:rsid w:val="00176C42"/>
    <w:rsid w:val="00185E8A"/>
    <w:rsid w:val="00191882"/>
    <w:rsid w:val="001A1F47"/>
    <w:rsid w:val="001A2286"/>
    <w:rsid w:val="001A500E"/>
    <w:rsid w:val="001A5B34"/>
    <w:rsid w:val="001B39DC"/>
    <w:rsid w:val="001B6468"/>
    <w:rsid w:val="001C0A2C"/>
    <w:rsid w:val="001C351F"/>
    <w:rsid w:val="001C5C00"/>
    <w:rsid w:val="001D1F16"/>
    <w:rsid w:val="001D4C04"/>
    <w:rsid w:val="001D7070"/>
    <w:rsid w:val="001E000C"/>
    <w:rsid w:val="001E1A09"/>
    <w:rsid w:val="001E223B"/>
    <w:rsid w:val="001F720D"/>
    <w:rsid w:val="00201772"/>
    <w:rsid w:val="00203612"/>
    <w:rsid w:val="002105ED"/>
    <w:rsid w:val="0022033A"/>
    <w:rsid w:val="002236A8"/>
    <w:rsid w:val="00253929"/>
    <w:rsid w:val="00253DA5"/>
    <w:rsid w:val="00254FA0"/>
    <w:rsid w:val="002606CB"/>
    <w:rsid w:val="00266608"/>
    <w:rsid w:val="00270C52"/>
    <w:rsid w:val="002722DF"/>
    <w:rsid w:val="0027379D"/>
    <w:rsid w:val="00282C30"/>
    <w:rsid w:val="00285C0B"/>
    <w:rsid w:val="002873FD"/>
    <w:rsid w:val="00290119"/>
    <w:rsid w:val="002919CA"/>
    <w:rsid w:val="00294F4A"/>
    <w:rsid w:val="002A1AA6"/>
    <w:rsid w:val="002A2D5E"/>
    <w:rsid w:val="002A2E98"/>
    <w:rsid w:val="002B2181"/>
    <w:rsid w:val="002B363A"/>
    <w:rsid w:val="002B7E5A"/>
    <w:rsid w:val="002C5E7D"/>
    <w:rsid w:val="002D3AE1"/>
    <w:rsid w:val="002D56D5"/>
    <w:rsid w:val="002D7591"/>
    <w:rsid w:val="002E1754"/>
    <w:rsid w:val="002E4A85"/>
    <w:rsid w:val="002E4AD7"/>
    <w:rsid w:val="002F2D57"/>
    <w:rsid w:val="002F5A66"/>
    <w:rsid w:val="002F6B87"/>
    <w:rsid w:val="0031719D"/>
    <w:rsid w:val="003235B9"/>
    <w:rsid w:val="00332CB0"/>
    <w:rsid w:val="00334CCF"/>
    <w:rsid w:val="003420B6"/>
    <w:rsid w:val="00342D7A"/>
    <w:rsid w:val="00345221"/>
    <w:rsid w:val="00350220"/>
    <w:rsid w:val="00370E4A"/>
    <w:rsid w:val="00377175"/>
    <w:rsid w:val="0039151F"/>
    <w:rsid w:val="00395945"/>
    <w:rsid w:val="00396D69"/>
    <w:rsid w:val="003A199A"/>
    <w:rsid w:val="003A4937"/>
    <w:rsid w:val="003A58AB"/>
    <w:rsid w:val="003C3F52"/>
    <w:rsid w:val="003C6496"/>
    <w:rsid w:val="003D21B9"/>
    <w:rsid w:val="003D6A98"/>
    <w:rsid w:val="003E5D51"/>
    <w:rsid w:val="003F1569"/>
    <w:rsid w:val="0040038F"/>
    <w:rsid w:val="00401F90"/>
    <w:rsid w:val="00411203"/>
    <w:rsid w:val="00412878"/>
    <w:rsid w:val="0041495E"/>
    <w:rsid w:val="0042362B"/>
    <w:rsid w:val="00423FA7"/>
    <w:rsid w:val="004243C8"/>
    <w:rsid w:val="00425FC9"/>
    <w:rsid w:val="00440DA1"/>
    <w:rsid w:val="004418D4"/>
    <w:rsid w:val="0044243B"/>
    <w:rsid w:val="004463E3"/>
    <w:rsid w:val="0045243A"/>
    <w:rsid w:val="004546E9"/>
    <w:rsid w:val="00460DEE"/>
    <w:rsid w:val="00464E00"/>
    <w:rsid w:val="00465011"/>
    <w:rsid w:val="00467F01"/>
    <w:rsid w:val="00476F31"/>
    <w:rsid w:val="00481421"/>
    <w:rsid w:val="004838CA"/>
    <w:rsid w:val="00485042"/>
    <w:rsid w:val="00496298"/>
    <w:rsid w:val="004A3751"/>
    <w:rsid w:val="004A4376"/>
    <w:rsid w:val="004A4CB6"/>
    <w:rsid w:val="004B2E17"/>
    <w:rsid w:val="004C7973"/>
    <w:rsid w:val="004D0D52"/>
    <w:rsid w:val="004E0210"/>
    <w:rsid w:val="004E290D"/>
    <w:rsid w:val="004F1FAC"/>
    <w:rsid w:val="004F22B2"/>
    <w:rsid w:val="004F3E01"/>
    <w:rsid w:val="0050043D"/>
    <w:rsid w:val="0050152C"/>
    <w:rsid w:val="005154A9"/>
    <w:rsid w:val="00516D3D"/>
    <w:rsid w:val="0053073D"/>
    <w:rsid w:val="0053200B"/>
    <w:rsid w:val="005363F8"/>
    <w:rsid w:val="00546A83"/>
    <w:rsid w:val="00550363"/>
    <w:rsid w:val="00553D44"/>
    <w:rsid w:val="005564A1"/>
    <w:rsid w:val="0057109A"/>
    <w:rsid w:val="00571C9D"/>
    <w:rsid w:val="00580B9E"/>
    <w:rsid w:val="00581552"/>
    <w:rsid w:val="00583BDA"/>
    <w:rsid w:val="00595B62"/>
    <w:rsid w:val="005A32F4"/>
    <w:rsid w:val="005A7A9A"/>
    <w:rsid w:val="005B30EC"/>
    <w:rsid w:val="005B3827"/>
    <w:rsid w:val="005C070E"/>
    <w:rsid w:val="005C1612"/>
    <w:rsid w:val="005C4CB0"/>
    <w:rsid w:val="005D0FE3"/>
    <w:rsid w:val="005D6DD8"/>
    <w:rsid w:val="005E1AEE"/>
    <w:rsid w:val="005F5A7A"/>
    <w:rsid w:val="00601777"/>
    <w:rsid w:val="00602A11"/>
    <w:rsid w:val="006050B3"/>
    <w:rsid w:val="006139A6"/>
    <w:rsid w:val="006210E8"/>
    <w:rsid w:val="0062124D"/>
    <w:rsid w:val="00645213"/>
    <w:rsid w:val="00661941"/>
    <w:rsid w:val="0066289B"/>
    <w:rsid w:val="00663281"/>
    <w:rsid w:val="00664133"/>
    <w:rsid w:val="0066449F"/>
    <w:rsid w:val="00666FCA"/>
    <w:rsid w:val="00671596"/>
    <w:rsid w:val="00671B9A"/>
    <w:rsid w:val="00674212"/>
    <w:rsid w:val="00685DAF"/>
    <w:rsid w:val="006875F1"/>
    <w:rsid w:val="00690B43"/>
    <w:rsid w:val="006D01A5"/>
    <w:rsid w:val="006D30B3"/>
    <w:rsid w:val="006D32B8"/>
    <w:rsid w:val="006D61D1"/>
    <w:rsid w:val="006D7650"/>
    <w:rsid w:val="006F49F3"/>
    <w:rsid w:val="007002AC"/>
    <w:rsid w:val="00701773"/>
    <w:rsid w:val="00701D2C"/>
    <w:rsid w:val="00703604"/>
    <w:rsid w:val="007053C3"/>
    <w:rsid w:val="00711697"/>
    <w:rsid w:val="00711ACD"/>
    <w:rsid w:val="00715FAE"/>
    <w:rsid w:val="0072136D"/>
    <w:rsid w:val="00721B49"/>
    <w:rsid w:val="007239FF"/>
    <w:rsid w:val="0072735E"/>
    <w:rsid w:val="00730EB2"/>
    <w:rsid w:val="00732E3B"/>
    <w:rsid w:val="00740B28"/>
    <w:rsid w:val="00744FFA"/>
    <w:rsid w:val="00750725"/>
    <w:rsid w:val="007622DB"/>
    <w:rsid w:val="00766C62"/>
    <w:rsid w:val="0077000A"/>
    <w:rsid w:val="0077337A"/>
    <w:rsid w:val="007734B0"/>
    <w:rsid w:val="00782D29"/>
    <w:rsid w:val="00792066"/>
    <w:rsid w:val="007930B8"/>
    <w:rsid w:val="0079641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F2CBD"/>
    <w:rsid w:val="007F3AFE"/>
    <w:rsid w:val="007F677B"/>
    <w:rsid w:val="0080286F"/>
    <w:rsid w:val="00802D7F"/>
    <w:rsid w:val="00810682"/>
    <w:rsid w:val="00815628"/>
    <w:rsid w:val="00835F66"/>
    <w:rsid w:val="0084494E"/>
    <w:rsid w:val="0084505C"/>
    <w:rsid w:val="00847C0B"/>
    <w:rsid w:val="00851FA2"/>
    <w:rsid w:val="00862B27"/>
    <w:rsid w:val="00864EBE"/>
    <w:rsid w:val="00864FB9"/>
    <w:rsid w:val="00882119"/>
    <w:rsid w:val="00884692"/>
    <w:rsid w:val="0089223E"/>
    <w:rsid w:val="00897D97"/>
    <w:rsid w:val="008A4EF7"/>
    <w:rsid w:val="008A5C95"/>
    <w:rsid w:val="008A5CA3"/>
    <w:rsid w:val="008D1397"/>
    <w:rsid w:val="008D1E3E"/>
    <w:rsid w:val="008D3CCC"/>
    <w:rsid w:val="008D4D10"/>
    <w:rsid w:val="008D5CB4"/>
    <w:rsid w:val="008E0CD1"/>
    <w:rsid w:val="008E38F1"/>
    <w:rsid w:val="008E65C9"/>
    <w:rsid w:val="008E6A0F"/>
    <w:rsid w:val="008E6BEC"/>
    <w:rsid w:val="008F018D"/>
    <w:rsid w:val="008F0BAA"/>
    <w:rsid w:val="008F1B1E"/>
    <w:rsid w:val="008F1E88"/>
    <w:rsid w:val="008F7415"/>
    <w:rsid w:val="00905F33"/>
    <w:rsid w:val="00906C2A"/>
    <w:rsid w:val="00907B62"/>
    <w:rsid w:val="00910CFB"/>
    <w:rsid w:val="00915DAB"/>
    <w:rsid w:val="00916174"/>
    <w:rsid w:val="0092085D"/>
    <w:rsid w:val="00922F34"/>
    <w:rsid w:val="00924854"/>
    <w:rsid w:val="00933746"/>
    <w:rsid w:val="00943CC5"/>
    <w:rsid w:val="00943F14"/>
    <w:rsid w:val="009464D5"/>
    <w:rsid w:val="00946579"/>
    <w:rsid w:val="00950E4C"/>
    <w:rsid w:val="00951832"/>
    <w:rsid w:val="009575DA"/>
    <w:rsid w:val="009805E2"/>
    <w:rsid w:val="00983033"/>
    <w:rsid w:val="00985BBB"/>
    <w:rsid w:val="0098707B"/>
    <w:rsid w:val="009A3706"/>
    <w:rsid w:val="009A50A9"/>
    <w:rsid w:val="009B1983"/>
    <w:rsid w:val="009B330C"/>
    <w:rsid w:val="009C1128"/>
    <w:rsid w:val="009C1447"/>
    <w:rsid w:val="009C36CF"/>
    <w:rsid w:val="009C4394"/>
    <w:rsid w:val="009E2CB7"/>
    <w:rsid w:val="009F5240"/>
    <w:rsid w:val="009F631B"/>
    <w:rsid w:val="009F6B31"/>
    <w:rsid w:val="00A04AD1"/>
    <w:rsid w:val="00A072C1"/>
    <w:rsid w:val="00A2155E"/>
    <w:rsid w:val="00A21E08"/>
    <w:rsid w:val="00A22976"/>
    <w:rsid w:val="00A22D39"/>
    <w:rsid w:val="00A243DB"/>
    <w:rsid w:val="00A3341B"/>
    <w:rsid w:val="00A342E3"/>
    <w:rsid w:val="00A43547"/>
    <w:rsid w:val="00A55874"/>
    <w:rsid w:val="00A643F2"/>
    <w:rsid w:val="00A71A07"/>
    <w:rsid w:val="00A82B5C"/>
    <w:rsid w:val="00A83756"/>
    <w:rsid w:val="00A84D4E"/>
    <w:rsid w:val="00AA0608"/>
    <w:rsid w:val="00AA5E06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32E"/>
    <w:rsid w:val="00AE716A"/>
    <w:rsid w:val="00AF3759"/>
    <w:rsid w:val="00AF3974"/>
    <w:rsid w:val="00B047E1"/>
    <w:rsid w:val="00B0499B"/>
    <w:rsid w:val="00B06887"/>
    <w:rsid w:val="00B142D5"/>
    <w:rsid w:val="00B22C31"/>
    <w:rsid w:val="00B32AD1"/>
    <w:rsid w:val="00B34FA2"/>
    <w:rsid w:val="00B35332"/>
    <w:rsid w:val="00B377EE"/>
    <w:rsid w:val="00B40145"/>
    <w:rsid w:val="00B41241"/>
    <w:rsid w:val="00B41F5B"/>
    <w:rsid w:val="00B53A31"/>
    <w:rsid w:val="00B56913"/>
    <w:rsid w:val="00B63777"/>
    <w:rsid w:val="00B63D1C"/>
    <w:rsid w:val="00B6633C"/>
    <w:rsid w:val="00B67658"/>
    <w:rsid w:val="00B72CD2"/>
    <w:rsid w:val="00B8224E"/>
    <w:rsid w:val="00B82AF8"/>
    <w:rsid w:val="00B94A11"/>
    <w:rsid w:val="00BA42DA"/>
    <w:rsid w:val="00BA7BF1"/>
    <w:rsid w:val="00BE74D9"/>
    <w:rsid w:val="00BF6EA3"/>
    <w:rsid w:val="00BF71F3"/>
    <w:rsid w:val="00C003E0"/>
    <w:rsid w:val="00C009EE"/>
    <w:rsid w:val="00C07015"/>
    <w:rsid w:val="00C10D41"/>
    <w:rsid w:val="00C127C3"/>
    <w:rsid w:val="00C1293B"/>
    <w:rsid w:val="00C153E4"/>
    <w:rsid w:val="00C20D4B"/>
    <w:rsid w:val="00C23430"/>
    <w:rsid w:val="00C376E7"/>
    <w:rsid w:val="00C3790C"/>
    <w:rsid w:val="00C46201"/>
    <w:rsid w:val="00C47405"/>
    <w:rsid w:val="00C47790"/>
    <w:rsid w:val="00C55CEB"/>
    <w:rsid w:val="00C5714D"/>
    <w:rsid w:val="00C67B57"/>
    <w:rsid w:val="00C7470A"/>
    <w:rsid w:val="00C74AC8"/>
    <w:rsid w:val="00C74DC8"/>
    <w:rsid w:val="00C754A4"/>
    <w:rsid w:val="00C813AE"/>
    <w:rsid w:val="00C9272D"/>
    <w:rsid w:val="00CA4176"/>
    <w:rsid w:val="00CA4E92"/>
    <w:rsid w:val="00CB0C8F"/>
    <w:rsid w:val="00CB5518"/>
    <w:rsid w:val="00CC2F6D"/>
    <w:rsid w:val="00CD34B0"/>
    <w:rsid w:val="00CD543B"/>
    <w:rsid w:val="00CE1D9D"/>
    <w:rsid w:val="00CE266A"/>
    <w:rsid w:val="00CF008B"/>
    <w:rsid w:val="00D10A62"/>
    <w:rsid w:val="00D219FC"/>
    <w:rsid w:val="00D32C6D"/>
    <w:rsid w:val="00D34F39"/>
    <w:rsid w:val="00D4488B"/>
    <w:rsid w:val="00D5752F"/>
    <w:rsid w:val="00D6130E"/>
    <w:rsid w:val="00D67B96"/>
    <w:rsid w:val="00D71BFC"/>
    <w:rsid w:val="00D72410"/>
    <w:rsid w:val="00D77024"/>
    <w:rsid w:val="00D81465"/>
    <w:rsid w:val="00D865D2"/>
    <w:rsid w:val="00D87512"/>
    <w:rsid w:val="00D8793F"/>
    <w:rsid w:val="00D92A59"/>
    <w:rsid w:val="00D94475"/>
    <w:rsid w:val="00D97566"/>
    <w:rsid w:val="00DB150F"/>
    <w:rsid w:val="00DB718B"/>
    <w:rsid w:val="00DC27FC"/>
    <w:rsid w:val="00DC37C9"/>
    <w:rsid w:val="00DD1C8C"/>
    <w:rsid w:val="00DD25D4"/>
    <w:rsid w:val="00DD5810"/>
    <w:rsid w:val="00DE03EB"/>
    <w:rsid w:val="00DF0979"/>
    <w:rsid w:val="00E26CF2"/>
    <w:rsid w:val="00E33666"/>
    <w:rsid w:val="00E33B59"/>
    <w:rsid w:val="00E372C8"/>
    <w:rsid w:val="00E40243"/>
    <w:rsid w:val="00E434AA"/>
    <w:rsid w:val="00E569F4"/>
    <w:rsid w:val="00E60D8A"/>
    <w:rsid w:val="00E63C2C"/>
    <w:rsid w:val="00E711C9"/>
    <w:rsid w:val="00E72D79"/>
    <w:rsid w:val="00E853D3"/>
    <w:rsid w:val="00E86893"/>
    <w:rsid w:val="00E8739D"/>
    <w:rsid w:val="00E95A4B"/>
    <w:rsid w:val="00E96827"/>
    <w:rsid w:val="00E974E2"/>
    <w:rsid w:val="00EA0A72"/>
    <w:rsid w:val="00EB0604"/>
    <w:rsid w:val="00EB086D"/>
    <w:rsid w:val="00EB12C7"/>
    <w:rsid w:val="00EC3609"/>
    <w:rsid w:val="00ED4B43"/>
    <w:rsid w:val="00EE0B95"/>
    <w:rsid w:val="00EE37A1"/>
    <w:rsid w:val="00EE7168"/>
    <w:rsid w:val="00EF55B7"/>
    <w:rsid w:val="00F00D3B"/>
    <w:rsid w:val="00F0427E"/>
    <w:rsid w:val="00F26866"/>
    <w:rsid w:val="00F33800"/>
    <w:rsid w:val="00F37348"/>
    <w:rsid w:val="00F4560A"/>
    <w:rsid w:val="00F53B2D"/>
    <w:rsid w:val="00F61062"/>
    <w:rsid w:val="00F626D2"/>
    <w:rsid w:val="00F74794"/>
    <w:rsid w:val="00F76C3E"/>
    <w:rsid w:val="00F96CA5"/>
    <w:rsid w:val="00FA3CE9"/>
    <w:rsid w:val="00FB4CBB"/>
    <w:rsid w:val="00FB7BD9"/>
    <w:rsid w:val="00FC0321"/>
    <w:rsid w:val="00FC1600"/>
    <w:rsid w:val="00FC335E"/>
    <w:rsid w:val="00FD05C3"/>
    <w:rsid w:val="00FD1B33"/>
    <w:rsid w:val="00FD3028"/>
    <w:rsid w:val="00FD5D26"/>
    <w:rsid w:val="00FE7DF2"/>
    <w:rsid w:val="00FF3543"/>
    <w:rsid w:val="00FF3843"/>
    <w:rsid w:val="00FF3EF4"/>
    <w:rsid w:val="00FF49C9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F157C-95A6-46E6-AE71-1BC0DDC5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HCP-CASA</dc:creator>
  <cp:lastModifiedBy>salim</cp:lastModifiedBy>
  <cp:revision>3</cp:revision>
  <cp:lastPrinted>2020-12-25T10:35:00Z</cp:lastPrinted>
  <dcterms:created xsi:type="dcterms:W3CDTF">2020-12-25T10:18:00Z</dcterms:created>
  <dcterms:modified xsi:type="dcterms:W3CDTF">2020-12-25T10:55:00Z</dcterms:modified>
</cp:coreProperties>
</file>