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693096" w:rsidRDefault="00841008" w:rsidP="003F074A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09572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  <w:p w:rsidR="00693096" w:rsidRPr="00CC0C52" w:rsidRDefault="008C78C6" w:rsidP="003203B0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Décembre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201</w:t>
            </w:r>
            <w:r w:rsidR="001E04E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9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 en 2006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478</w:t>
      </w:r>
      <w:r w:rsidRPr="000A5E6E">
        <w:rPr>
          <w:sz w:val="22"/>
          <w:szCs w:val="22"/>
          <w:lang w:eastAsia="fr-FR"/>
        </w:rPr>
        <w:t xml:space="preserve"> articles, 1067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>relevant 1425locataires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 soit 30% par rapport au niveau national</w:t>
      </w:r>
      <w:r w:rsidRPr="000A5E6E">
        <w:rPr>
          <w:sz w:val="22"/>
          <w:szCs w:val="22"/>
          <w:lang w:eastAsia="fr-FR"/>
        </w:rPr>
        <w:t xml:space="preserve">. </w:t>
      </w:r>
    </w:p>
    <w:p w:rsidR="00693096" w:rsidRPr="000A5E6E" w:rsidRDefault="00693096" w:rsidP="00D10953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D10953">
        <w:rPr>
          <w:sz w:val="22"/>
          <w:szCs w:val="22"/>
          <w:lang w:eastAsia="fr-FR"/>
        </w:rPr>
        <w:t>24,068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17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8C78C6" w:rsidP="00D7362D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Légère baisse</w:t>
      </w:r>
      <w:r w:rsidR="003B764E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Décembre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201</w:t>
      </w:r>
      <w:r w:rsidR="00EC7896">
        <w:rPr>
          <w:rFonts w:ascii="Times New Roman" w:eastAsia="Gulim" w:hAnsi="Times New Roman"/>
          <w:b/>
          <w:bCs/>
          <w:sz w:val="28"/>
          <w:szCs w:val="28"/>
        </w:rPr>
        <w:t>9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 Casablanca: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D7362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une</w:t>
      </w:r>
      <w:r w:rsidR="00DD394E">
        <w:rPr>
          <w:rFonts w:ascii="Times New Roman" w:eastAsia="Gulim" w:hAnsi="Times New Roman"/>
          <w:sz w:val="28"/>
          <w:szCs w:val="28"/>
        </w:rPr>
        <w:t xml:space="preserve"> </w:t>
      </w:r>
      <w:r w:rsidR="00D7362D">
        <w:rPr>
          <w:rFonts w:ascii="Times New Roman" w:eastAsia="Gulim" w:hAnsi="Times New Roman"/>
          <w:sz w:val="28"/>
          <w:szCs w:val="28"/>
        </w:rPr>
        <w:t>légère baisse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E97D50">
        <w:rPr>
          <w:rFonts w:ascii="Times New Roman" w:eastAsia="Gulim" w:hAnsi="Times New Roman"/>
          <w:sz w:val="28"/>
          <w:szCs w:val="28"/>
        </w:rPr>
        <w:t>de 0</w:t>
      </w:r>
      <w:r w:rsidR="00B5296A">
        <w:rPr>
          <w:rFonts w:ascii="Times New Roman" w:eastAsia="Gulim" w:hAnsi="Times New Roman"/>
          <w:sz w:val="28"/>
          <w:szCs w:val="28"/>
        </w:rPr>
        <w:t>,</w:t>
      </w:r>
      <w:r w:rsidR="00D7362D">
        <w:rPr>
          <w:rFonts w:ascii="Times New Roman" w:eastAsia="Gulim" w:hAnsi="Times New Roman"/>
          <w:sz w:val="28"/>
          <w:szCs w:val="28"/>
        </w:rPr>
        <w:t>1</w:t>
      </w:r>
      <w:r w:rsidR="00E97D50">
        <w:rPr>
          <w:rFonts w:ascii="Times New Roman" w:eastAsia="Gulim" w:hAnsi="Times New Roman"/>
          <w:sz w:val="28"/>
          <w:szCs w:val="28"/>
        </w:rPr>
        <w:t xml:space="preserve">% </w:t>
      </w: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B5296A">
        <w:rPr>
          <w:rFonts w:ascii="Times New Roman" w:eastAsia="Gulim" w:hAnsi="Times New Roman"/>
          <w:sz w:val="28"/>
          <w:szCs w:val="28"/>
        </w:rPr>
        <w:t>d</w:t>
      </w:r>
      <w:r w:rsidR="006F0E92">
        <w:rPr>
          <w:rFonts w:ascii="Times New Roman" w:eastAsia="Gulim" w:hAnsi="Times New Roman"/>
          <w:sz w:val="28"/>
          <w:szCs w:val="28"/>
        </w:rPr>
        <w:t xml:space="preserve">e </w:t>
      </w:r>
      <w:r w:rsidR="00D7362D">
        <w:rPr>
          <w:rFonts w:ascii="Times New Roman" w:eastAsia="Gulim" w:hAnsi="Times New Roman"/>
          <w:sz w:val="28"/>
          <w:szCs w:val="28"/>
        </w:rPr>
        <w:t>Décembre</w:t>
      </w:r>
      <w:r>
        <w:rPr>
          <w:rFonts w:ascii="Times New Roman" w:eastAsia="Gulim" w:hAnsi="Times New Roman"/>
          <w:sz w:val="28"/>
          <w:szCs w:val="28"/>
        </w:rPr>
        <w:t xml:space="preserve"> 201</w:t>
      </w:r>
      <w:r w:rsidR="00EC7896">
        <w:rPr>
          <w:rFonts w:ascii="Times New Roman" w:eastAsia="Gulim" w:hAnsi="Times New Roman"/>
          <w:sz w:val="28"/>
          <w:szCs w:val="28"/>
        </w:rPr>
        <w:t>9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 à une </w:t>
      </w:r>
      <w:r w:rsidR="00D7362D">
        <w:rPr>
          <w:rFonts w:ascii="Times New Roman" w:eastAsia="Gulim" w:hAnsi="Times New Roman"/>
          <w:sz w:val="28"/>
          <w:szCs w:val="28"/>
        </w:rPr>
        <w:t>baisse</w:t>
      </w:r>
      <w:r w:rsidR="00E97D50">
        <w:rPr>
          <w:rFonts w:ascii="Times New Roman" w:eastAsia="Gulim" w:hAnsi="Times New Roman"/>
          <w:sz w:val="28"/>
          <w:szCs w:val="28"/>
        </w:rPr>
        <w:t xml:space="preserve"> de </w:t>
      </w:r>
      <w:r w:rsidR="00D7362D">
        <w:rPr>
          <w:rFonts w:ascii="Times New Roman" w:eastAsia="Gulim" w:hAnsi="Times New Roman"/>
          <w:sz w:val="28"/>
          <w:szCs w:val="28"/>
        </w:rPr>
        <w:t>0,1</w:t>
      </w:r>
      <w:r w:rsidR="00E97D50">
        <w:rPr>
          <w:rFonts w:ascii="Times New Roman" w:eastAsia="Gulim" w:hAnsi="Times New Roman"/>
          <w:sz w:val="28"/>
          <w:szCs w:val="28"/>
        </w:rPr>
        <w:t>%</w:t>
      </w:r>
      <w:r w:rsidR="00606EE6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l’indice des produits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E93571">
        <w:rPr>
          <w:rFonts w:ascii="Times New Roman" w:eastAsia="Gulim" w:hAnsi="Times New Roman"/>
          <w:sz w:val="28"/>
          <w:szCs w:val="28"/>
        </w:rPr>
        <w:t xml:space="preserve">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>e l’indice des produits non 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493439" w:rsidRPr="00493439" w:rsidRDefault="00D7362D" w:rsidP="00C816B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 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D57C32" w:rsidRDefault="00B55A9F" w:rsidP="00D7362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53975</wp:posOffset>
            </wp:positionV>
            <wp:extent cx="1704975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479" y="21221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7D50">
        <w:rPr>
          <w:rFonts w:ascii="Times New Roman" w:eastAsia="Gulim" w:hAnsi="Times New Roman"/>
          <w:sz w:val="28"/>
          <w:szCs w:val="28"/>
        </w:rPr>
        <w:t xml:space="preserve">Les </w:t>
      </w:r>
      <w:r w:rsidR="00D7362D">
        <w:rPr>
          <w:rFonts w:ascii="Times New Roman" w:eastAsia="Gulim" w:hAnsi="Times New Roman"/>
          <w:sz w:val="28"/>
          <w:szCs w:val="28"/>
        </w:rPr>
        <w:t>baisses</w:t>
      </w:r>
      <w:r w:rsidR="00606EE6">
        <w:rPr>
          <w:rFonts w:ascii="Times New Roman" w:eastAsia="Gulim" w:hAnsi="Times New Roman"/>
          <w:sz w:val="28"/>
          <w:szCs w:val="28"/>
        </w:rPr>
        <w:t xml:space="preserve"> d</w:t>
      </w:r>
      <w:r w:rsidR="002C08A6">
        <w:rPr>
          <w:rFonts w:ascii="Times New Roman" w:eastAsia="Gulim" w:hAnsi="Times New Roman"/>
          <w:sz w:val="28"/>
          <w:szCs w:val="28"/>
        </w:rPr>
        <w:t xml:space="preserve">es 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D7362D">
        <w:rPr>
          <w:rFonts w:ascii="Times New Roman" w:eastAsia="Gulim" w:hAnsi="Times New Roman"/>
          <w:sz w:val="28"/>
          <w:szCs w:val="28"/>
        </w:rPr>
        <w:t>Novembre</w:t>
      </w:r>
      <w:r w:rsidR="007853BE">
        <w:rPr>
          <w:rFonts w:ascii="Times New Roman" w:eastAsia="Gulim" w:hAnsi="Times New Roman"/>
          <w:sz w:val="28"/>
          <w:szCs w:val="28"/>
        </w:rPr>
        <w:t xml:space="preserve"> et </w:t>
      </w:r>
      <w:r w:rsidR="00D7362D">
        <w:rPr>
          <w:rFonts w:ascii="Times New Roman" w:eastAsia="Gulim" w:hAnsi="Times New Roman"/>
          <w:sz w:val="28"/>
          <w:szCs w:val="28"/>
        </w:rPr>
        <w:t>Décembre</w:t>
      </w:r>
      <w:r w:rsidR="00AD3B48">
        <w:rPr>
          <w:rFonts w:ascii="Times New Roman" w:eastAsia="Gulim" w:hAnsi="Times New Roman"/>
          <w:sz w:val="28"/>
          <w:szCs w:val="28"/>
        </w:rPr>
        <w:t xml:space="preserve"> </w:t>
      </w:r>
      <w:r w:rsidR="00743E3A">
        <w:rPr>
          <w:rFonts w:ascii="Times New Roman" w:eastAsia="Gulim" w:hAnsi="Times New Roman"/>
          <w:sz w:val="28"/>
          <w:szCs w:val="28"/>
        </w:rPr>
        <w:t>2019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E97D50">
        <w:rPr>
          <w:rFonts w:ascii="Times New Roman" w:eastAsia="Gulim" w:hAnsi="Times New Roman"/>
          <w:sz w:val="28"/>
          <w:szCs w:val="28"/>
        </w:rPr>
        <w:t xml:space="preserve">concernent principalement </w:t>
      </w:r>
      <w:r w:rsidR="007853BE">
        <w:rPr>
          <w:rFonts w:ascii="Times New Roman" w:eastAsia="Gulim" w:hAnsi="Times New Roman"/>
          <w:sz w:val="28"/>
          <w:szCs w:val="28"/>
        </w:rPr>
        <w:t>l</w:t>
      </w:r>
      <w:r w:rsidR="00606EE6">
        <w:rPr>
          <w:rFonts w:ascii="Times New Roman" w:eastAsia="Gulim" w:hAnsi="Times New Roman"/>
          <w:sz w:val="28"/>
          <w:szCs w:val="28"/>
        </w:rPr>
        <w:t>es prix d</w:t>
      </w:r>
      <w:r w:rsidR="00BC3A35">
        <w:rPr>
          <w:rFonts w:ascii="Times New Roman" w:eastAsia="Gulim" w:hAnsi="Times New Roman"/>
          <w:sz w:val="28"/>
          <w:szCs w:val="28"/>
        </w:rPr>
        <w:t>es</w:t>
      </w:r>
      <w:r w:rsidR="00BE14E0">
        <w:rPr>
          <w:rFonts w:ascii="Times New Roman" w:eastAsia="Gulim" w:hAnsi="Times New Roman"/>
          <w:sz w:val="28"/>
          <w:szCs w:val="28"/>
        </w:rPr>
        <w:t xml:space="preserve">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D7362D">
        <w:rPr>
          <w:rFonts w:ascii="Times New Roman" w:eastAsia="Gulim" w:hAnsi="Times New Roman"/>
          <w:sz w:val="28"/>
          <w:szCs w:val="28"/>
        </w:rPr>
        <w:t>Poissons et fruits de mer</w:t>
      </w:r>
      <w:r w:rsidR="00D7362D" w:rsidRPr="009C0D33">
        <w:rPr>
          <w:rFonts w:ascii="Times New Roman" w:eastAsia="Gulim" w:hAnsi="Times New Roman"/>
          <w:sz w:val="28"/>
          <w:szCs w:val="28"/>
        </w:rPr>
        <w:t>’’</w:t>
      </w:r>
      <w:r w:rsidR="00D7362D">
        <w:rPr>
          <w:rFonts w:ascii="Times New Roman" w:eastAsia="Gulim" w:hAnsi="Times New Roman"/>
          <w:sz w:val="28"/>
          <w:szCs w:val="28"/>
        </w:rPr>
        <w:t xml:space="preserve"> de 2,6% et des </w:t>
      </w:r>
      <w:r w:rsidR="00C21267" w:rsidRPr="009C0D33">
        <w:rPr>
          <w:rFonts w:ascii="Times New Roman" w:eastAsia="Gulim" w:hAnsi="Times New Roman"/>
          <w:sz w:val="28"/>
          <w:szCs w:val="28"/>
        </w:rPr>
        <w:t>‘‘</w:t>
      </w:r>
      <w:r w:rsidR="00AD3B48">
        <w:rPr>
          <w:rFonts w:ascii="Times New Roman" w:eastAsia="Gulim" w:hAnsi="Times New Roman"/>
          <w:sz w:val="28"/>
          <w:szCs w:val="28"/>
        </w:rPr>
        <w:t>Légumes</w:t>
      </w:r>
      <w:r w:rsidR="00C21267" w:rsidRPr="009C0D33">
        <w:rPr>
          <w:rFonts w:ascii="Times New Roman" w:eastAsia="Gulim" w:hAnsi="Times New Roman"/>
          <w:sz w:val="28"/>
          <w:szCs w:val="28"/>
        </w:rPr>
        <w:t>’’</w:t>
      </w:r>
      <w:r w:rsidR="00075816">
        <w:rPr>
          <w:rFonts w:ascii="Times New Roman" w:eastAsia="Gulim" w:hAnsi="Times New Roman"/>
          <w:sz w:val="28"/>
          <w:szCs w:val="28"/>
        </w:rPr>
        <w:t xml:space="preserve"> </w:t>
      </w:r>
      <w:r w:rsidR="00D7362D">
        <w:rPr>
          <w:rFonts w:ascii="Times New Roman" w:eastAsia="Gulim" w:hAnsi="Times New Roman"/>
          <w:sz w:val="28"/>
          <w:szCs w:val="28"/>
        </w:rPr>
        <w:t>de 0,6%</w:t>
      </w:r>
      <w:r w:rsidR="00AD3B48">
        <w:rPr>
          <w:rFonts w:ascii="Times New Roman" w:eastAsia="Gulim" w:hAnsi="Times New Roman"/>
          <w:sz w:val="28"/>
          <w:szCs w:val="28"/>
        </w:rPr>
        <w:t>.</w:t>
      </w:r>
      <w:r w:rsidR="00D7362D">
        <w:rPr>
          <w:rFonts w:ascii="Times New Roman" w:eastAsia="Gulim" w:hAnsi="Times New Roman"/>
          <w:sz w:val="28"/>
          <w:szCs w:val="28"/>
        </w:rPr>
        <w:t xml:space="preserve"> Cette hausse a été atténuée par la hausse des prix du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D7362D">
        <w:rPr>
          <w:rFonts w:ascii="Times New Roman" w:eastAsia="Gulim" w:hAnsi="Times New Roman"/>
          <w:sz w:val="28"/>
          <w:szCs w:val="28"/>
        </w:rPr>
        <w:t>Lait, Fromage et Œufs</w:t>
      </w:r>
      <w:r w:rsidR="00D7362D" w:rsidRPr="009C0D33">
        <w:rPr>
          <w:rFonts w:ascii="Times New Roman" w:eastAsia="Gulim" w:hAnsi="Times New Roman"/>
          <w:sz w:val="28"/>
          <w:szCs w:val="28"/>
        </w:rPr>
        <w:t>’’</w:t>
      </w:r>
      <w:r w:rsidR="00D7362D">
        <w:rPr>
          <w:rFonts w:ascii="Times New Roman" w:eastAsia="Gulim" w:hAnsi="Times New Roman"/>
          <w:sz w:val="28"/>
          <w:szCs w:val="28"/>
        </w:rPr>
        <w:t xml:space="preserve"> de 0,8%.</w:t>
      </w:r>
    </w:p>
    <w:p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97226C" w:rsidRPr="001B6B04" w:rsidTr="0097226C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97226C" w:rsidRPr="003109A6" w:rsidRDefault="0097226C" w:rsidP="0097226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Nov- 2019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Déc- 2019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97226C" w:rsidRPr="001B6B04" w:rsidTr="0097226C">
        <w:trPr>
          <w:trHeight w:val="340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97226C" w:rsidRPr="008E7CC9" w:rsidRDefault="0097226C" w:rsidP="0097226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97226C" w:rsidRPr="008E7CC9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35,307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97226C" w:rsidRPr="008E7CC9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128,3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97226C" w:rsidRPr="008E7CC9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128,1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97226C" w:rsidRPr="008E7CC9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97226C" w:rsidRPr="001B6B04" w:rsidTr="0097226C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7226C" w:rsidRPr="003109A6" w:rsidRDefault="0097226C" w:rsidP="009722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6,069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124,6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124,9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97226C" w:rsidRPr="001B6B04" w:rsidTr="0097226C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97226C" w:rsidRPr="003109A6" w:rsidRDefault="0097226C" w:rsidP="009722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9,570</w:t>
            </w:r>
          </w:p>
        </w:tc>
        <w:tc>
          <w:tcPr>
            <w:tcW w:w="1510" w:type="dxa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117,5</w:t>
            </w:r>
          </w:p>
        </w:tc>
        <w:tc>
          <w:tcPr>
            <w:tcW w:w="1559" w:type="dxa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97226C" w:rsidRPr="001B6B04" w:rsidTr="0097226C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97226C" w:rsidRPr="003109A6" w:rsidRDefault="0097226C" w:rsidP="009722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1,788</w:t>
            </w:r>
          </w:p>
        </w:tc>
        <w:tc>
          <w:tcPr>
            <w:tcW w:w="1510" w:type="dxa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155,2</w:t>
            </w:r>
          </w:p>
        </w:tc>
        <w:tc>
          <w:tcPr>
            <w:tcW w:w="1559" w:type="dxa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-2,6</w:t>
            </w:r>
          </w:p>
        </w:tc>
      </w:tr>
      <w:tr w:rsidR="0097226C" w:rsidRPr="001B6B04" w:rsidTr="0097226C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97226C" w:rsidRPr="003109A6" w:rsidRDefault="0097226C" w:rsidP="009722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3,699</w:t>
            </w:r>
          </w:p>
        </w:tc>
        <w:tc>
          <w:tcPr>
            <w:tcW w:w="1510" w:type="dxa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122,2</w:t>
            </w:r>
          </w:p>
        </w:tc>
        <w:tc>
          <w:tcPr>
            <w:tcW w:w="1559" w:type="dxa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97226C" w:rsidRPr="001B6B04" w:rsidTr="0097226C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97226C" w:rsidRPr="003109A6" w:rsidRDefault="0097226C" w:rsidP="009722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3,439</w:t>
            </w:r>
          </w:p>
        </w:tc>
        <w:tc>
          <w:tcPr>
            <w:tcW w:w="1510" w:type="dxa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141,1</w:t>
            </w:r>
          </w:p>
        </w:tc>
        <w:tc>
          <w:tcPr>
            <w:tcW w:w="1559" w:type="dxa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97226C" w:rsidRPr="001B6B04" w:rsidTr="0097226C">
        <w:trPr>
          <w:trHeight w:val="3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97226C" w:rsidRPr="003109A6" w:rsidRDefault="0097226C" w:rsidP="009722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2,483</w:t>
            </w:r>
          </w:p>
        </w:tc>
        <w:tc>
          <w:tcPr>
            <w:tcW w:w="1510" w:type="dxa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150,1</w:t>
            </w:r>
          </w:p>
        </w:tc>
        <w:tc>
          <w:tcPr>
            <w:tcW w:w="1559" w:type="dxa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97226C" w:rsidRPr="001B6B04" w:rsidTr="0097226C">
        <w:trPr>
          <w:trHeight w:val="42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97226C" w:rsidRPr="003109A6" w:rsidRDefault="0097226C" w:rsidP="009722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4,236</w:t>
            </w:r>
          </w:p>
        </w:tc>
        <w:tc>
          <w:tcPr>
            <w:tcW w:w="1510" w:type="dxa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140,1</w:t>
            </w:r>
          </w:p>
        </w:tc>
        <w:tc>
          <w:tcPr>
            <w:tcW w:w="1559" w:type="dxa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97226C" w:rsidRPr="001B6B04" w:rsidTr="0097226C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97226C" w:rsidRPr="003109A6" w:rsidRDefault="0097226C" w:rsidP="009722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1,195</w:t>
            </w:r>
          </w:p>
        </w:tc>
        <w:tc>
          <w:tcPr>
            <w:tcW w:w="1510" w:type="dxa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112,6</w:t>
            </w:r>
          </w:p>
        </w:tc>
        <w:tc>
          <w:tcPr>
            <w:tcW w:w="1559" w:type="dxa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97226C" w:rsidRPr="001B6B04" w:rsidTr="0097226C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7226C" w:rsidRPr="003109A6" w:rsidRDefault="0097226C" w:rsidP="009722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1,079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140,4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-0,9</w:t>
            </w:r>
          </w:p>
        </w:tc>
      </w:tr>
      <w:tr w:rsidR="0097226C" w:rsidRPr="001B6B04" w:rsidTr="0097226C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26C" w:rsidRPr="003109A6" w:rsidRDefault="0097226C" w:rsidP="009722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1,749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132,2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97226C" w:rsidRPr="001B6B04" w:rsidTr="0097226C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97226C" w:rsidRPr="008E7CC9" w:rsidRDefault="0097226C" w:rsidP="0097226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97226C" w:rsidRPr="008E7CC9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97226C" w:rsidRPr="008E7CC9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158,8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97226C" w:rsidRPr="008E7CC9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158,8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97226C" w:rsidRPr="008E7CC9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97226C" w:rsidRPr="001B6B04" w:rsidTr="0097226C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7226C" w:rsidRPr="003109A6" w:rsidRDefault="0097226C" w:rsidP="009722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0,008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132,1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132,4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97226C" w:rsidRPr="003109A6" w:rsidRDefault="00CF58A5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97226C" w:rsidRPr="001B6B04" w:rsidTr="0097226C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7226C" w:rsidRPr="003109A6" w:rsidRDefault="0097226C" w:rsidP="0097226C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1,557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158,9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7226C" w:rsidRPr="003109A6" w:rsidRDefault="00CF58A5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158,9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97226C" w:rsidRPr="003109A6" w:rsidRDefault="00CF58A5" w:rsidP="0097226C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97226C" w:rsidRPr="001B6B04" w:rsidTr="0097226C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97226C" w:rsidRPr="003109A6" w:rsidRDefault="0097226C" w:rsidP="0097226C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36,872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97226C" w:rsidRPr="003109A6" w:rsidRDefault="0097226C" w:rsidP="009722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97226C" w:rsidRPr="003109A6" w:rsidRDefault="00CF58A5" w:rsidP="009722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97226C" w:rsidRPr="003109A6" w:rsidRDefault="00CF58A5" w:rsidP="009722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</w:tbl>
    <w:p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67A4B" w:rsidRDefault="00765848" w:rsidP="00207E5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Légère </w:t>
      </w:r>
      <w:r w:rsidR="00207E53">
        <w:rPr>
          <w:rFonts w:ascii="Times New Roman" w:eastAsia="Gulim" w:hAnsi="Times New Roman"/>
          <w:b/>
          <w:bCs/>
          <w:sz w:val="28"/>
          <w:szCs w:val="28"/>
        </w:rPr>
        <w:t>baisse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0502E7" w:rsidRDefault="00267A4B" w:rsidP="00207E5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207E53">
        <w:rPr>
          <w:rFonts w:ascii="Times New Roman" w:eastAsia="Gulim" w:hAnsi="Times New Roman"/>
          <w:sz w:val="28"/>
          <w:szCs w:val="28"/>
        </w:rPr>
        <w:t>baisses</w:t>
      </w:r>
      <w:r w:rsidR="00D50E4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des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207E53">
        <w:rPr>
          <w:rFonts w:ascii="Times New Roman" w:eastAsia="Gulim" w:hAnsi="Times New Roman"/>
          <w:sz w:val="28"/>
          <w:szCs w:val="28"/>
        </w:rPr>
        <w:t>Novembre</w:t>
      </w:r>
      <w:r w:rsidR="006804DE">
        <w:rPr>
          <w:rFonts w:ascii="Times New Roman" w:eastAsia="Gulim" w:hAnsi="Times New Roman"/>
          <w:sz w:val="28"/>
          <w:szCs w:val="28"/>
        </w:rPr>
        <w:t xml:space="preserve"> et </w:t>
      </w:r>
      <w:r w:rsidR="00207E53">
        <w:rPr>
          <w:rFonts w:ascii="Times New Roman" w:eastAsia="Gulim" w:hAnsi="Times New Roman"/>
          <w:sz w:val="28"/>
          <w:szCs w:val="28"/>
        </w:rPr>
        <w:t>Décembre</w:t>
      </w:r>
      <w:r w:rsidR="00377D15">
        <w:rPr>
          <w:rFonts w:ascii="Times New Roman" w:eastAsia="Gulim" w:hAnsi="Times New Roman" w:hint="cs"/>
          <w:sz w:val="28"/>
          <w:szCs w:val="28"/>
          <w:rtl/>
        </w:rPr>
        <w:t xml:space="preserve"> </w:t>
      </w:r>
      <w:r w:rsidR="001123B6">
        <w:rPr>
          <w:rFonts w:ascii="Times New Roman" w:eastAsia="Gulim" w:hAnsi="Times New Roman"/>
          <w:sz w:val="28"/>
          <w:szCs w:val="28"/>
        </w:rPr>
        <w:t>201</w:t>
      </w:r>
      <w:r w:rsidR="0082206A">
        <w:rPr>
          <w:rFonts w:ascii="Times New Roman" w:eastAsia="Gulim" w:hAnsi="Times New Roman"/>
          <w:sz w:val="28"/>
          <w:szCs w:val="28"/>
        </w:rPr>
        <w:t>9</w:t>
      </w:r>
      <w:r w:rsidR="001123B6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principalement </w:t>
      </w:r>
      <w:r w:rsidR="007A5717">
        <w:rPr>
          <w:rFonts w:ascii="Times New Roman" w:eastAsia="Gulim" w:hAnsi="Times New Roman"/>
          <w:sz w:val="28"/>
          <w:szCs w:val="28"/>
        </w:rPr>
        <w:t xml:space="preserve">les </w:t>
      </w:r>
      <w:r w:rsidR="007A5717" w:rsidRPr="009C0D33">
        <w:rPr>
          <w:rFonts w:ascii="Times New Roman" w:eastAsia="Gulim" w:hAnsi="Times New Roman"/>
          <w:sz w:val="28"/>
          <w:szCs w:val="28"/>
        </w:rPr>
        <w:t>‘‘</w:t>
      </w:r>
      <w:r w:rsidR="00207E53">
        <w:rPr>
          <w:rFonts w:ascii="Times New Roman" w:eastAsia="Gulim" w:hAnsi="Times New Roman"/>
          <w:sz w:val="28"/>
          <w:szCs w:val="28"/>
        </w:rPr>
        <w:t>Carburants et Lubrifiants</w:t>
      </w:r>
      <w:r w:rsidR="00207E53" w:rsidRPr="00391850">
        <w:rPr>
          <w:rFonts w:ascii="Times New Roman" w:eastAsia="Gulim" w:hAnsi="Times New Roman"/>
          <w:sz w:val="28"/>
          <w:szCs w:val="28"/>
        </w:rPr>
        <w:t>’’</w:t>
      </w:r>
      <w:r w:rsidR="005C2DE5">
        <w:rPr>
          <w:rFonts w:ascii="Times New Roman" w:eastAsia="Gulim" w:hAnsi="Times New Roman"/>
          <w:sz w:val="28"/>
          <w:szCs w:val="28"/>
        </w:rPr>
        <w:t xml:space="preserve"> </w:t>
      </w:r>
      <w:r w:rsidR="002E7C49">
        <w:rPr>
          <w:rFonts w:ascii="Times New Roman" w:eastAsia="Gulim" w:hAnsi="Times New Roman"/>
          <w:sz w:val="28"/>
          <w:szCs w:val="28"/>
        </w:rPr>
        <w:t xml:space="preserve">et les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207E53">
        <w:rPr>
          <w:rFonts w:ascii="Times New Roman" w:eastAsia="Gulim" w:hAnsi="Times New Roman"/>
          <w:sz w:val="28"/>
          <w:szCs w:val="28"/>
        </w:rPr>
        <w:t>Voitures automobiles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2E7C49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3827B0">
        <w:rPr>
          <w:rFonts w:ascii="Times New Roman" w:eastAsia="Gulim" w:hAnsi="Times New Roman"/>
          <w:sz w:val="28"/>
          <w:szCs w:val="28"/>
        </w:rPr>
        <w:t>,</w:t>
      </w:r>
      <w:r w:rsidR="00786EBD">
        <w:rPr>
          <w:rFonts w:ascii="Times New Roman" w:eastAsia="Gulim" w:hAnsi="Times New Roman"/>
          <w:sz w:val="28"/>
          <w:szCs w:val="28"/>
        </w:rPr>
        <w:t xml:space="preserve"> </w:t>
      </w:r>
      <w:r w:rsidR="00922D15">
        <w:rPr>
          <w:rFonts w:ascii="Times New Roman" w:eastAsia="Gulim" w:hAnsi="Times New Roman"/>
          <w:sz w:val="28"/>
          <w:szCs w:val="28"/>
        </w:rPr>
        <w:t>respective</w:t>
      </w:r>
      <w:r w:rsidR="003827B0">
        <w:rPr>
          <w:rFonts w:ascii="Times New Roman" w:eastAsia="Gulim" w:hAnsi="Times New Roman"/>
          <w:sz w:val="28"/>
          <w:szCs w:val="28"/>
        </w:rPr>
        <w:t>ment</w:t>
      </w:r>
      <w:r w:rsidR="00027466">
        <w:rPr>
          <w:rFonts w:ascii="Times New Roman" w:eastAsia="Gulim" w:hAnsi="Times New Roman"/>
          <w:sz w:val="28"/>
          <w:szCs w:val="28"/>
        </w:rPr>
        <w:t xml:space="preserve">, </w:t>
      </w:r>
      <w:r w:rsidR="00207E53">
        <w:rPr>
          <w:rFonts w:ascii="Times New Roman" w:eastAsia="Gulim" w:hAnsi="Times New Roman"/>
          <w:sz w:val="28"/>
          <w:szCs w:val="28"/>
        </w:rPr>
        <w:t>0,3</w:t>
      </w:r>
      <w:r w:rsidR="003827B0">
        <w:rPr>
          <w:rFonts w:ascii="Times New Roman" w:eastAsia="Gulim" w:hAnsi="Times New Roman"/>
          <w:sz w:val="28"/>
          <w:szCs w:val="28"/>
        </w:rPr>
        <w:t xml:space="preserve">% et </w:t>
      </w:r>
      <w:r w:rsidR="00207E53">
        <w:rPr>
          <w:rFonts w:ascii="Times New Roman" w:eastAsia="Gulim" w:hAnsi="Times New Roman"/>
          <w:sz w:val="28"/>
          <w:szCs w:val="28"/>
        </w:rPr>
        <w:t>0,8</w:t>
      </w:r>
      <w:r w:rsidR="003827B0">
        <w:rPr>
          <w:rFonts w:ascii="Times New Roman" w:eastAsia="Gulim" w:hAnsi="Times New Roman"/>
          <w:sz w:val="28"/>
          <w:szCs w:val="28"/>
        </w:rPr>
        <w:t xml:space="preserve">% </w:t>
      </w:r>
      <w:r w:rsidR="00D50E4F">
        <w:rPr>
          <w:rFonts w:ascii="Times New Roman" w:eastAsia="Gulim" w:hAnsi="Times New Roman"/>
          <w:sz w:val="28"/>
          <w:szCs w:val="28"/>
        </w:rPr>
        <w:t xml:space="preserve">contre une </w:t>
      </w:r>
      <w:r w:rsidR="00786EBD">
        <w:rPr>
          <w:rFonts w:ascii="Times New Roman" w:eastAsia="Gulim" w:hAnsi="Times New Roman"/>
          <w:sz w:val="28"/>
          <w:szCs w:val="28"/>
        </w:rPr>
        <w:t>quasi-stagnation</w:t>
      </w:r>
      <w:r w:rsidR="00D50E4F">
        <w:rPr>
          <w:rFonts w:ascii="Times New Roman" w:eastAsia="Gulim" w:hAnsi="Times New Roman"/>
          <w:sz w:val="28"/>
          <w:szCs w:val="28"/>
        </w:rPr>
        <w:t xml:space="preserve"> des prix des autres </w:t>
      </w:r>
      <w:r w:rsidR="00B16F84">
        <w:rPr>
          <w:rFonts w:ascii="Times New Roman" w:eastAsia="Gulim" w:hAnsi="Times New Roman"/>
          <w:sz w:val="28"/>
          <w:szCs w:val="28"/>
        </w:rPr>
        <w:t>biens</w:t>
      </w:r>
      <w:r w:rsidR="00D50E4F">
        <w:rPr>
          <w:rFonts w:ascii="Times New Roman" w:eastAsia="Gulim" w:hAnsi="Times New Roman"/>
          <w:sz w:val="28"/>
          <w:szCs w:val="28"/>
        </w:rPr>
        <w:t xml:space="preserve"> et services.</w:t>
      </w:r>
    </w:p>
    <w:p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:rsidR="00DF1497" w:rsidRDefault="00557DA3" w:rsidP="00047DA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Mois : </w:t>
      </w:r>
      <w:r w:rsidR="00047DA9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Décembre</w:t>
      </w:r>
      <w:r w:rsidR="00D2049B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:2019</w:t>
      </w:r>
    </w:p>
    <w:p w:rsidR="00CB4CB9" w:rsidRPr="00956A42" w:rsidRDefault="00CB4CB9" w:rsidP="00047DA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:rsidTr="00CB4CB9">
        <w:trPr>
          <w:trHeight w:val="73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36,872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FF1430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6584E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CB4CB9" w:rsidRPr="004E0DA4" w:rsidTr="00CB4CB9">
        <w:trPr>
          <w:trHeight w:val="73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63,128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FF1430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6584E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CB4CB9" w:rsidRPr="00534BE7" w:rsidTr="00CB4CB9">
        <w:trPr>
          <w:trHeight w:val="6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3,526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FF1430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6584E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CB4CB9" w:rsidRPr="004E0DA4" w:rsidTr="00CB4CB9">
        <w:trPr>
          <w:trHeight w:val="69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14,148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FF1430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-0,5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6584E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CB4CB9" w:rsidRPr="004E0DA4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4,175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FF1430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6584E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CB4CB9" w:rsidRPr="004E0DA4" w:rsidTr="00CB4CB9">
        <w:trPr>
          <w:trHeight w:val="712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8,427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FF1430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6584E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CB4CB9" w:rsidRPr="004E0DA4" w:rsidTr="00CB4CB9">
        <w:trPr>
          <w:trHeight w:val="56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10,581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FF1430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6584E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3,1</w:t>
            </w:r>
          </w:p>
        </w:tc>
      </w:tr>
      <w:tr w:rsidR="00CB4CB9" w:rsidRPr="004E0DA4" w:rsidTr="00CB4CB9">
        <w:trPr>
          <w:trHeight w:val="56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FF1430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6584E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-1,4</w:t>
            </w:r>
          </w:p>
        </w:tc>
      </w:tr>
      <w:tr w:rsidR="00CB4CB9" w:rsidRPr="004E0DA4" w:rsidTr="00CB4CB9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2,731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FF1430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6584E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CB4CB9" w:rsidRPr="004E0DA4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8,813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6584E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6584E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CB4CB9" w:rsidRPr="004E0DA4" w:rsidTr="00CB4CB9">
        <w:trPr>
          <w:trHeight w:val="55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1,064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6584E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6584E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3,7</w:t>
            </w:r>
          </w:p>
        </w:tc>
      </w:tr>
      <w:tr w:rsidR="00CB4CB9" w:rsidRPr="004E0DA4" w:rsidTr="00CB4CB9">
        <w:trPr>
          <w:trHeight w:val="69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6,556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6584E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6584E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CB4CB9" w:rsidRPr="004E0DA4" w:rsidTr="00CB4CB9">
        <w:trPr>
          <w:trHeight w:val="832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86584E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86584E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</w:t>
            </w:r>
            <w:r w:rsidR="00C64524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,0</w:t>
            </w:r>
          </w:p>
        </w:tc>
      </w:tr>
    </w:tbl>
    <w:p w:rsidR="00DF1497" w:rsidRDefault="00DF1497" w:rsidP="00E413CB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CB4CB9" w:rsidRDefault="00CB4CB9" w:rsidP="00E413CB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CB4CB9" w:rsidRDefault="00CB4CB9" w:rsidP="00E413CB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CB4CB9" w:rsidRDefault="00CB4CB9" w:rsidP="00E413CB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F1588E" w:rsidRDefault="00D615DD" w:rsidP="00C64524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hausse de </w:t>
      </w:r>
      <w:r w:rsidR="00C64524">
        <w:rPr>
          <w:rFonts w:ascii="Times New Roman" w:eastAsia="Gulim" w:hAnsi="Times New Roman"/>
          <w:b/>
          <w:bCs/>
          <w:sz w:val="28"/>
          <w:szCs w:val="28"/>
        </w:rPr>
        <w:t>1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3722B" w:rsidRDefault="00D615DD" w:rsidP="00561E6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4B6DA8"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C64524">
        <w:rPr>
          <w:rFonts w:ascii="Times New Roman" w:eastAsia="Gulim" w:hAnsi="Times New Roman"/>
          <w:sz w:val="28"/>
          <w:szCs w:val="28"/>
        </w:rPr>
        <w:t>1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C64524">
        <w:rPr>
          <w:rFonts w:ascii="Times New Roman" w:eastAsia="Gulim" w:hAnsi="Times New Roman"/>
          <w:sz w:val="28"/>
          <w:szCs w:val="28"/>
        </w:rPr>
        <w:t>hausse</w:t>
      </w:r>
      <w:r w:rsidR="00754DC9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alimentaires de </w:t>
      </w:r>
      <w:r w:rsidR="00623F00">
        <w:rPr>
          <w:rFonts w:ascii="Times New Roman" w:eastAsia="Gulim" w:hAnsi="Times New Roman"/>
          <w:sz w:val="28"/>
          <w:szCs w:val="28"/>
        </w:rPr>
        <w:t>0,</w:t>
      </w:r>
      <w:r w:rsidR="00C64524">
        <w:rPr>
          <w:rFonts w:ascii="Times New Roman" w:eastAsia="Gulim" w:hAnsi="Times New Roman"/>
          <w:sz w:val="28"/>
          <w:szCs w:val="28"/>
        </w:rPr>
        <w:t>3</w:t>
      </w:r>
      <w:r w:rsidRPr="00D615DD">
        <w:rPr>
          <w:rFonts w:ascii="Times New Roman" w:eastAsia="Gulim" w:hAnsi="Times New Roman"/>
          <w:sz w:val="28"/>
          <w:szCs w:val="28"/>
        </w:rPr>
        <w:t xml:space="preserve">% et </w:t>
      </w:r>
      <w:r w:rsidR="00561E6B">
        <w:rPr>
          <w:rFonts w:ascii="Times New Roman" w:eastAsia="Gulim" w:hAnsi="Times New Roman"/>
          <w:sz w:val="28"/>
          <w:szCs w:val="28"/>
        </w:rPr>
        <w:t xml:space="preserve">de l’indice </w:t>
      </w:r>
      <w:r w:rsidRPr="00D615DD">
        <w:rPr>
          <w:rFonts w:ascii="Times New Roman" w:eastAsia="Gulim" w:hAnsi="Times New Roman"/>
          <w:sz w:val="28"/>
          <w:szCs w:val="28"/>
        </w:rPr>
        <w:t xml:space="preserve">des produits non alimentaires de </w:t>
      </w:r>
      <w:r w:rsidR="001C382D">
        <w:rPr>
          <w:rFonts w:ascii="Times New Roman" w:eastAsia="Gulim" w:hAnsi="Times New Roman"/>
          <w:sz w:val="28"/>
          <w:szCs w:val="28"/>
        </w:rPr>
        <w:t>1</w:t>
      </w:r>
      <w:r w:rsidR="00FB51E9">
        <w:rPr>
          <w:rFonts w:ascii="Times New Roman" w:eastAsia="Gulim" w:hAnsi="Times New Roman"/>
          <w:sz w:val="28"/>
          <w:szCs w:val="28"/>
        </w:rPr>
        <w:t>,</w:t>
      </w:r>
      <w:r w:rsidR="00C64524">
        <w:rPr>
          <w:rFonts w:ascii="Times New Roman" w:eastAsia="Gulim" w:hAnsi="Times New Roman"/>
          <w:sz w:val="28"/>
          <w:szCs w:val="28"/>
        </w:rPr>
        <w:t>5</w:t>
      </w:r>
      <w:r w:rsidRPr="00D615DD">
        <w:rPr>
          <w:rFonts w:ascii="Times New Roman" w:eastAsia="Gulim" w:hAnsi="Times New Roman"/>
          <w:sz w:val="28"/>
          <w:szCs w:val="28"/>
        </w:rPr>
        <w:t>%.</w:t>
      </w:r>
    </w:p>
    <w:p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3442C0" w:rsidRDefault="00C64524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B3C1A34" wp14:editId="56B8A678">
            <wp:extent cx="5133975" cy="2790825"/>
            <wp:effectExtent l="0" t="0" r="9525" b="9525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67E99" w:rsidRDefault="00367E99" w:rsidP="00B9139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334A19" w:rsidRDefault="00334A19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7C49D9" w:rsidRDefault="00A641E7" w:rsidP="00F06EC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363257">
        <w:rPr>
          <w:rFonts w:ascii="Times New Roman" w:eastAsia="Gulim" w:hAnsi="Times New Roman"/>
          <w:sz w:val="28"/>
          <w:szCs w:val="28"/>
        </w:rPr>
        <w:t>d</w:t>
      </w:r>
      <w:r w:rsidR="00961E83">
        <w:rPr>
          <w:rFonts w:ascii="Times New Roman" w:eastAsia="Gulim" w:hAnsi="Times New Roman"/>
          <w:sz w:val="28"/>
          <w:szCs w:val="28"/>
        </w:rPr>
        <w:t xml:space="preserve">e </w:t>
      </w:r>
      <w:r w:rsidR="00844FE5">
        <w:rPr>
          <w:rFonts w:ascii="Times New Roman" w:eastAsia="Gulim" w:hAnsi="Times New Roman"/>
          <w:sz w:val="28"/>
          <w:szCs w:val="28"/>
        </w:rPr>
        <w:t>Décembre</w:t>
      </w:r>
      <w:r w:rsidR="00FF7C3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201</w:t>
      </w:r>
      <w:r w:rsidR="008336BC">
        <w:rPr>
          <w:rFonts w:ascii="Times New Roman" w:eastAsia="Gulim" w:hAnsi="Times New Roman"/>
          <w:sz w:val="28"/>
          <w:szCs w:val="28"/>
        </w:rPr>
        <w:t>9</w:t>
      </w:r>
      <w:r w:rsidR="006F08B7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F06EC0">
        <w:rPr>
          <w:rFonts w:ascii="Times New Roman" w:eastAsia="Gulim" w:hAnsi="Times New Roman"/>
          <w:sz w:val="28"/>
          <w:szCs w:val="28"/>
        </w:rPr>
        <w:t>stagnation par rapport au mois précédent.</w:t>
      </w:r>
    </w:p>
    <w:p w:rsidR="00A74981" w:rsidRDefault="00A74981" w:rsidP="00A74981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bookmarkStart w:id="0" w:name="_GoBack"/>
      <w:bookmarkEnd w:id="0"/>
    </w:p>
    <w:sectPr w:rsidR="00A74981" w:rsidSect="00F71EC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B4A" w:rsidRDefault="00F61B4A">
      <w:r>
        <w:separator/>
      </w:r>
    </w:p>
    <w:p w:rsidR="00F61B4A" w:rsidRDefault="00F61B4A"/>
  </w:endnote>
  <w:endnote w:type="continuationSeparator" w:id="0">
    <w:p w:rsidR="00F61B4A" w:rsidRDefault="00F61B4A">
      <w:r>
        <w:continuationSeparator/>
      </w:r>
    </w:p>
    <w:p w:rsidR="00F61B4A" w:rsidRDefault="00F61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64181E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1A2018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64181E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1A2018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B4A" w:rsidRDefault="00F61B4A">
      <w:r>
        <w:separator/>
      </w:r>
    </w:p>
    <w:p w:rsidR="00F61B4A" w:rsidRDefault="00F61B4A"/>
  </w:footnote>
  <w:footnote w:type="continuationSeparator" w:id="0">
    <w:p w:rsidR="00F61B4A" w:rsidRDefault="00F61B4A">
      <w:r>
        <w:continuationSeparator/>
      </w:r>
    </w:p>
    <w:p w:rsidR="00F61B4A" w:rsidRDefault="00F61B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F0414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9A554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8AF"/>
    <w:rsid w:val="00060D20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4BB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6AE6"/>
    <w:rsid w:val="000D753E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130A"/>
    <w:rsid w:val="000F172D"/>
    <w:rsid w:val="000F1FEF"/>
    <w:rsid w:val="000F25E1"/>
    <w:rsid w:val="000F26CD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64CF"/>
    <w:rsid w:val="000F6AAA"/>
    <w:rsid w:val="000F6C73"/>
    <w:rsid w:val="000F7388"/>
    <w:rsid w:val="000F73AA"/>
    <w:rsid w:val="000F79B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CE8"/>
    <w:rsid w:val="001076DE"/>
    <w:rsid w:val="00107C4D"/>
    <w:rsid w:val="00107FC1"/>
    <w:rsid w:val="0011023F"/>
    <w:rsid w:val="0011049D"/>
    <w:rsid w:val="0011063E"/>
    <w:rsid w:val="001108D6"/>
    <w:rsid w:val="001116E1"/>
    <w:rsid w:val="00111D45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66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7E"/>
    <w:rsid w:val="0016042F"/>
    <w:rsid w:val="00160903"/>
    <w:rsid w:val="00160EC1"/>
    <w:rsid w:val="00161885"/>
    <w:rsid w:val="00162732"/>
    <w:rsid w:val="001628E0"/>
    <w:rsid w:val="00162B79"/>
    <w:rsid w:val="00162C0D"/>
    <w:rsid w:val="00162F8C"/>
    <w:rsid w:val="00163D76"/>
    <w:rsid w:val="00163F5D"/>
    <w:rsid w:val="00164143"/>
    <w:rsid w:val="001642FB"/>
    <w:rsid w:val="00165CCD"/>
    <w:rsid w:val="001667BE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8F"/>
    <w:rsid w:val="0019443B"/>
    <w:rsid w:val="001946A3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5E4"/>
    <w:rsid w:val="0020181A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4266"/>
    <w:rsid w:val="00224720"/>
    <w:rsid w:val="00225C63"/>
    <w:rsid w:val="00225D31"/>
    <w:rsid w:val="00225EC8"/>
    <w:rsid w:val="002277FE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B66"/>
    <w:rsid w:val="00244781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C91"/>
    <w:rsid w:val="00270EBB"/>
    <w:rsid w:val="0027175B"/>
    <w:rsid w:val="00271E18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8C1"/>
    <w:rsid w:val="002A49B9"/>
    <w:rsid w:val="002A4A07"/>
    <w:rsid w:val="002A4D9C"/>
    <w:rsid w:val="002A516F"/>
    <w:rsid w:val="002A5226"/>
    <w:rsid w:val="002A695F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DF7"/>
    <w:rsid w:val="002D330A"/>
    <w:rsid w:val="002D37FE"/>
    <w:rsid w:val="002D38B2"/>
    <w:rsid w:val="002D3B0C"/>
    <w:rsid w:val="002D4C33"/>
    <w:rsid w:val="002D5120"/>
    <w:rsid w:val="002D568D"/>
    <w:rsid w:val="002D5BFD"/>
    <w:rsid w:val="002D681C"/>
    <w:rsid w:val="002D6CC4"/>
    <w:rsid w:val="002D7425"/>
    <w:rsid w:val="002D75CA"/>
    <w:rsid w:val="002D780B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698A"/>
    <w:rsid w:val="002E72E1"/>
    <w:rsid w:val="002E747B"/>
    <w:rsid w:val="002E757E"/>
    <w:rsid w:val="002E7596"/>
    <w:rsid w:val="002E7C49"/>
    <w:rsid w:val="002F0279"/>
    <w:rsid w:val="002F103C"/>
    <w:rsid w:val="002F1A16"/>
    <w:rsid w:val="002F22CC"/>
    <w:rsid w:val="002F3070"/>
    <w:rsid w:val="002F30D0"/>
    <w:rsid w:val="002F39D3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A7"/>
    <w:rsid w:val="00342B3C"/>
    <w:rsid w:val="00342C3E"/>
    <w:rsid w:val="0034340C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F4A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7E9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85C"/>
    <w:rsid w:val="003818E9"/>
    <w:rsid w:val="00381A0C"/>
    <w:rsid w:val="00382443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B38"/>
    <w:rsid w:val="00397D9E"/>
    <w:rsid w:val="003A07F4"/>
    <w:rsid w:val="003A101E"/>
    <w:rsid w:val="003A1103"/>
    <w:rsid w:val="003A17C3"/>
    <w:rsid w:val="003A1BDA"/>
    <w:rsid w:val="003A1C99"/>
    <w:rsid w:val="003A214C"/>
    <w:rsid w:val="003A26A6"/>
    <w:rsid w:val="003A430E"/>
    <w:rsid w:val="003A4490"/>
    <w:rsid w:val="003A4502"/>
    <w:rsid w:val="003A457C"/>
    <w:rsid w:val="003A4953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E60"/>
    <w:rsid w:val="003B4266"/>
    <w:rsid w:val="003B433C"/>
    <w:rsid w:val="003B4FF3"/>
    <w:rsid w:val="003B52A5"/>
    <w:rsid w:val="003B53D1"/>
    <w:rsid w:val="003B63CB"/>
    <w:rsid w:val="003B65E5"/>
    <w:rsid w:val="003B71A3"/>
    <w:rsid w:val="003B764E"/>
    <w:rsid w:val="003B7819"/>
    <w:rsid w:val="003C120B"/>
    <w:rsid w:val="003C1267"/>
    <w:rsid w:val="003C1E1C"/>
    <w:rsid w:val="003C1F6D"/>
    <w:rsid w:val="003C2543"/>
    <w:rsid w:val="003C2BD7"/>
    <w:rsid w:val="003C3906"/>
    <w:rsid w:val="003C4269"/>
    <w:rsid w:val="003C4690"/>
    <w:rsid w:val="003C4DF9"/>
    <w:rsid w:val="003C540E"/>
    <w:rsid w:val="003C5945"/>
    <w:rsid w:val="003C66C9"/>
    <w:rsid w:val="003C6788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A62"/>
    <w:rsid w:val="004764A3"/>
    <w:rsid w:val="0047664D"/>
    <w:rsid w:val="0047684E"/>
    <w:rsid w:val="00476DE5"/>
    <w:rsid w:val="004804AB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873"/>
    <w:rsid w:val="00561BD5"/>
    <w:rsid w:val="00561E6B"/>
    <w:rsid w:val="00562C00"/>
    <w:rsid w:val="00562C64"/>
    <w:rsid w:val="00564ACF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F5"/>
    <w:rsid w:val="005B0FFA"/>
    <w:rsid w:val="005B105B"/>
    <w:rsid w:val="005B213C"/>
    <w:rsid w:val="005B28E2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76D1"/>
    <w:rsid w:val="005E01B5"/>
    <w:rsid w:val="005E06ED"/>
    <w:rsid w:val="005E0AD7"/>
    <w:rsid w:val="005E16E1"/>
    <w:rsid w:val="005E1D33"/>
    <w:rsid w:val="005E1E24"/>
    <w:rsid w:val="005E2301"/>
    <w:rsid w:val="005E235A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E7C3A"/>
    <w:rsid w:val="005F01A4"/>
    <w:rsid w:val="005F046A"/>
    <w:rsid w:val="005F0A3E"/>
    <w:rsid w:val="005F0DD7"/>
    <w:rsid w:val="005F16F2"/>
    <w:rsid w:val="005F1819"/>
    <w:rsid w:val="005F1CE3"/>
    <w:rsid w:val="005F1DE8"/>
    <w:rsid w:val="005F25CF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61BA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232F"/>
    <w:rsid w:val="006A2668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A78F2"/>
    <w:rsid w:val="006B0EAE"/>
    <w:rsid w:val="006B1B7B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C9A"/>
    <w:rsid w:val="006C60AF"/>
    <w:rsid w:val="006C6200"/>
    <w:rsid w:val="006C6466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FEB"/>
    <w:rsid w:val="007170C6"/>
    <w:rsid w:val="00720033"/>
    <w:rsid w:val="00720D6F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53A"/>
    <w:rsid w:val="00746CBA"/>
    <w:rsid w:val="00746D7D"/>
    <w:rsid w:val="00746E37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72"/>
    <w:rsid w:val="00781243"/>
    <w:rsid w:val="00781759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0E2"/>
    <w:rsid w:val="0079230A"/>
    <w:rsid w:val="00792514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611"/>
    <w:rsid w:val="007D0A76"/>
    <w:rsid w:val="007D0F5A"/>
    <w:rsid w:val="007D1DF6"/>
    <w:rsid w:val="007D2A44"/>
    <w:rsid w:val="007D312E"/>
    <w:rsid w:val="007D4350"/>
    <w:rsid w:val="007D436C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8E4"/>
    <w:rsid w:val="007E2949"/>
    <w:rsid w:val="007E316C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243"/>
    <w:rsid w:val="00801832"/>
    <w:rsid w:val="0080209C"/>
    <w:rsid w:val="008026AC"/>
    <w:rsid w:val="00802985"/>
    <w:rsid w:val="00803032"/>
    <w:rsid w:val="008032F1"/>
    <w:rsid w:val="0080333F"/>
    <w:rsid w:val="00803365"/>
    <w:rsid w:val="00803669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DD4"/>
    <w:rsid w:val="00833E5B"/>
    <w:rsid w:val="00833F65"/>
    <w:rsid w:val="00835181"/>
    <w:rsid w:val="008359DC"/>
    <w:rsid w:val="008359EA"/>
    <w:rsid w:val="00836451"/>
    <w:rsid w:val="0083709F"/>
    <w:rsid w:val="00837EAC"/>
    <w:rsid w:val="0084000E"/>
    <w:rsid w:val="0084015F"/>
    <w:rsid w:val="008403CF"/>
    <w:rsid w:val="0084089D"/>
    <w:rsid w:val="00840F07"/>
    <w:rsid w:val="00841008"/>
    <w:rsid w:val="008418D6"/>
    <w:rsid w:val="008422C1"/>
    <w:rsid w:val="008427F6"/>
    <w:rsid w:val="00842D8F"/>
    <w:rsid w:val="00842F6F"/>
    <w:rsid w:val="008430B0"/>
    <w:rsid w:val="00843598"/>
    <w:rsid w:val="008440A9"/>
    <w:rsid w:val="00844668"/>
    <w:rsid w:val="00844FE5"/>
    <w:rsid w:val="008458BC"/>
    <w:rsid w:val="00845BA6"/>
    <w:rsid w:val="00846175"/>
    <w:rsid w:val="00846B17"/>
    <w:rsid w:val="00846B5E"/>
    <w:rsid w:val="00846BE3"/>
    <w:rsid w:val="00847508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584E"/>
    <w:rsid w:val="00865B9F"/>
    <w:rsid w:val="00865CE4"/>
    <w:rsid w:val="008665FB"/>
    <w:rsid w:val="00866BA8"/>
    <w:rsid w:val="00867317"/>
    <w:rsid w:val="0086758A"/>
    <w:rsid w:val="00867B45"/>
    <w:rsid w:val="0087025B"/>
    <w:rsid w:val="00871C40"/>
    <w:rsid w:val="00871CA7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359"/>
    <w:rsid w:val="008929C2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8A8"/>
    <w:rsid w:val="008E220F"/>
    <w:rsid w:val="008E39D8"/>
    <w:rsid w:val="008E427C"/>
    <w:rsid w:val="008E449C"/>
    <w:rsid w:val="008E49C8"/>
    <w:rsid w:val="008E53F8"/>
    <w:rsid w:val="008E62E5"/>
    <w:rsid w:val="008E6C43"/>
    <w:rsid w:val="008E6D44"/>
    <w:rsid w:val="008E7A08"/>
    <w:rsid w:val="008E7CC9"/>
    <w:rsid w:val="008E7ED9"/>
    <w:rsid w:val="008F07B1"/>
    <w:rsid w:val="008F0D09"/>
    <w:rsid w:val="008F1077"/>
    <w:rsid w:val="008F1319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81E"/>
    <w:rsid w:val="00935F0A"/>
    <w:rsid w:val="00935F9F"/>
    <w:rsid w:val="009361C5"/>
    <w:rsid w:val="00936B30"/>
    <w:rsid w:val="0094008B"/>
    <w:rsid w:val="009404AA"/>
    <w:rsid w:val="009404F1"/>
    <w:rsid w:val="00940DE5"/>
    <w:rsid w:val="009411E6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11AE"/>
    <w:rsid w:val="00951209"/>
    <w:rsid w:val="009513F4"/>
    <w:rsid w:val="009516A1"/>
    <w:rsid w:val="009516FE"/>
    <w:rsid w:val="00951A39"/>
    <w:rsid w:val="00951EE5"/>
    <w:rsid w:val="00952108"/>
    <w:rsid w:val="009540F0"/>
    <w:rsid w:val="00954380"/>
    <w:rsid w:val="009549E4"/>
    <w:rsid w:val="009549FA"/>
    <w:rsid w:val="00954EEE"/>
    <w:rsid w:val="009560F1"/>
    <w:rsid w:val="00956650"/>
    <w:rsid w:val="00956A42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AA5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632"/>
    <w:rsid w:val="009E1D47"/>
    <w:rsid w:val="009E2661"/>
    <w:rsid w:val="009E2C7C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C2A"/>
    <w:rsid w:val="009F31D4"/>
    <w:rsid w:val="009F3EC6"/>
    <w:rsid w:val="009F4307"/>
    <w:rsid w:val="009F50F6"/>
    <w:rsid w:val="009F589E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EB5"/>
    <w:rsid w:val="00A3688A"/>
    <w:rsid w:val="00A36EEE"/>
    <w:rsid w:val="00A3716D"/>
    <w:rsid w:val="00A37394"/>
    <w:rsid w:val="00A3743B"/>
    <w:rsid w:val="00A375B2"/>
    <w:rsid w:val="00A377EF"/>
    <w:rsid w:val="00A402A4"/>
    <w:rsid w:val="00A40A6F"/>
    <w:rsid w:val="00A418A8"/>
    <w:rsid w:val="00A42005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2F6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5ED6"/>
    <w:rsid w:val="00B6625D"/>
    <w:rsid w:val="00B70264"/>
    <w:rsid w:val="00B70372"/>
    <w:rsid w:val="00B70B57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30F4"/>
    <w:rsid w:val="00BF38AC"/>
    <w:rsid w:val="00BF3F2E"/>
    <w:rsid w:val="00BF6004"/>
    <w:rsid w:val="00BF604C"/>
    <w:rsid w:val="00BF6573"/>
    <w:rsid w:val="00BF6B9E"/>
    <w:rsid w:val="00BF72EB"/>
    <w:rsid w:val="00BF7C7C"/>
    <w:rsid w:val="00C002A6"/>
    <w:rsid w:val="00C00D20"/>
    <w:rsid w:val="00C0132E"/>
    <w:rsid w:val="00C015A6"/>
    <w:rsid w:val="00C016E4"/>
    <w:rsid w:val="00C01824"/>
    <w:rsid w:val="00C01BE5"/>
    <w:rsid w:val="00C0237D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594"/>
    <w:rsid w:val="00C07783"/>
    <w:rsid w:val="00C078D3"/>
    <w:rsid w:val="00C07A87"/>
    <w:rsid w:val="00C07E06"/>
    <w:rsid w:val="00C11767"/>
    <w:rsid w:val="00C11987"/>
    <w:rsid w:val="00C11E43"/>
    <w:rsid w:val="00C126E8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E64"/>
    <w:rsid w:val="00C34F0F"/>
    <w:rsid w:val="00C35A36"/>
    <w:rsid w:val="00C35A72"/>
    <w:rsid w:val="00C35CDF"/>
    <w:rsid w:val="00C36967"/>
    <w:rsid w:val="00C36F20"/>
    <w:rsid w:val="00C37B8E"/>
    <w:rsid w:val="00C37FD3"/>
    <w:rsid w:val="00C400C9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2B6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7084"/>
    <w:rsid w:val="00CC74CA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34"/>
    <w:rsid w:val="00CF68FB"/>
    <w:rsid w:val="00CF6CDE"/>
    <w:rsid w:val="00CF772F"/>
    <w:rsid w:val="00CF7C7B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B20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DB4"/>
    <w:rsid w:val="00D65292"/>
    <w:rsid w:val="00D65547"/>
    <w:rsid w:val="00D65C8F"/>
    <w:rsid w:val="00D6744B"/>
    <w:rsid w:val="00D67622"/>
    <w:rsid w:val="00D678B0"/>
    <w:rsid w:val="00D702C7"/>
    <w:rsid w:val="00D70481"/>
    <w:rsid w:val="00D70E83"/>
    <w:rsid w:val="00D71BD7"/>
    <w:rsid w:val="00D71DC4"/>
    <w:rsid w:val="00D72054"/>
    <w:rsid w:val="00D728FD"/>
    <w:rsid w:val="00D72982"/>
    <w:rsid w:val="00D7362D"/>
    <w:rsid w:val="00D737BD"/>
    <w:rsid w:val="00D73D57"/>
    <w:rsid w:val="00D74623"/>
    <w:rsid w:val="00D74824"/>
    <w:rsid w:val="00D74A8A"/>
    <w:rsid w:val="00D74B26"/>
    <w:rsid w:val="00D74C52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12C6"/>
    <w:rsid w:val="00E21D0B"/>
    <w:rsid w:val="00E21EDD"/>
    <w:rsid w:val="00E2228B"/>
    <w:rsid w:val="00E22AF4"/>
    <w:rsid w:val="00E233D1"/>
    <w:rsid w:val="00E247B3"/>
    <w:rsid w:val="00E24D9B"/>
    <w:rsid w:val="00E251B6"/>
    <w:rsid w:val="00E26399"/>
    <w:rsid w:val="00E300BB"/>
    <w:rsid w:val="00E3026D"/>
    <w:rsid w:val="00E302D2"/>
    <w:rsid w:val="00E30756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4E78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F0"/>
    <w:rsid w:val="00E5004A"/>
    <w:rsid w:val="00E513E0"/>
    <w:rsid w:val="00E520BE"/>
    <w:rsid w:val="00E522AD"/>
    <w:rsid w:val="00E52B5D"/>
    <w:rsid w:val="00E52DDE"/>
    <w:rsid w:val="00E53006"/>
    <w:rsid w:val="00E5336C"/>
    <w:rsid w:val="00E53DA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2E1"/>
    <w:rsid w:val="00E65505"/>
    <w:rsid w:val="00E65B16"/>
    <w:rsid w:val="00E66404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BB6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BD8"/>
    <w:rsid w:val="00F10404"/>
    <w:rsid w:val="00F10BCB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437B"/>
    <w:rsid w:val="00F3609D"/>
    <w:rsid w:val="00F3644B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CCD"/>
    <w:rsid w:val="00F44D4E"/>
    <w:rsid w:val="00F44ECD"/>
    <w:rsid w:val="00F4531B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A23"/>
    <w:rsid w:val="00FD6B16"/>
    <w:rsid w:val="00FD7056"/>
    <w:rsid w:val="00FD74A9"/>
    <w:rsid w:val="00FD74EB"/>
    <w:rsid w:val="00FE08F9"/>
    <w:rsid w:val="00FE1526"/>
    <w:rsid w:val="00FE1B2F"/>
    <w:rsid w:val="00FE1F73"/>
    <w:rsid w:val="00FE278A"/>
    <w:rsid w:val="00FE3F5A"/>
    <w:rsid w:val="00FE4302"/>
    <w:rsid w:val="00FE5F2D"/>
    <w:rsid w:val="00FE6082"/>
    <w:rsid w:val="00FE65CC"/>
    <w:rsid w:val="00FE6DE2"/>
    <w:rsid w:val="00FE6F41"/>
    <w:rsid w:val="00FE75F6"/>
    <w:rsid w:val="00FE7769"/>
    <w:rsid w:val="00FF0193"/>
    <w:rsid w:val="00FF0334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rix_salim\Note\Note_2019\Note_12_2019\12_2019xlsx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fr-FR" sz="1200"/>
              <a:t>   IPC:Glissement annuel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0752757302402648E-2"/>
          <c:y val="0.12551623981740728"/>
          <c:w val="0.89234586521755199"/>
          <c:h val="0.70475889641701761"/>
        </c:manualLayout>
      </c:layout>
      <c:lineChart>
        <c:grouping val="standard"/>
        <c:varyColors val="0"/>
        <c:ser>
          <c:idx val="0"/>
          <c:order val="0"/>
          <c:tx>
            <c:strRef>
              <c:f>GRAPH!$B$6</c:f>
              <c:strCache>
                <c:ptCount val="1"/>
                <c:pt idx="0">
                  <c:v>Casablanca</c:v>
                </c:pt>
              </c:strCache>
            </c:strRef>
          </c:tx>
          <c:marker>
            <c:symbol val="none"/>
          </c:marker>
          <c:dLbls>
            <c:dLbl>
              <c:idx val="12"/>
              <c:layout>
                <c:manualLayout>
                  <c:x val="0"/>
                  <c:y val="1.2383904954017033E-2"/>
                </c:manualLayout>
              </c:layout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41-42F9-86A8-4212CBC4BD9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GRAPH!$A$85:$A$97</c:f>
              <c:numCache>
                <c:formatCode>mmm\-yy</c:formatCode>
                <c:ptCount val="13"/>
                <c:pt idx="0">
                  <c:v>43435</c:v>
                </c:pt>
                <c:pt idx="1">
                  <c:v>43466</c:v>
                </c:pt>
                <c:pt idx="2">
                  <c:v>43497</c:v>
                </c:pt>
                <c:pt idx="3">
                  <c:v>43525</c:v>
                </c:pt>
                <c:pt idx="4">
                  <c:v>43556</c:v>
                </c:pt>
                <c:pt idx="5">
                  <c:v>43586</c:v>
                </c:pt>
                <c:pt idx="6">
                  <c:v>43617</c:v>
                </c:pt>
                <c:pt idx="7">
                  <c:v>43647</c:v>
                </c:pt>
                <c:pt idx="8">
                  <c:v>43678</c:v>
                </c:pt>
                <c:pt idx="9">
                  <c:v>43709</c:v>
                </c:pt>
                <c:pt idx="10">
                  <c:v>43739</c:v>
                </c:pt>
                <c:pt idx="11">
                  <c:v>43770</c:v>
                </c:pt>
                <c:pt idx="12">
                  <c:v>43800</c:v>
                </c:pt>
              </c:numCache>
            </c:numRef>
          </c:cat>
          <c:val>
            <c:numRef>
              <c:f>GRAPH!$B$85:$B$97</c:f>
              <c:numCache>
                <c:formatCode>0.0%</c:formatCode>
                <c:ptCount val="13"/>
                <c:pt idx="0">
                  <c:v>7.4000000000000003E-3</c:v>
                </c:pt>
                <c:pt idx="1">
                  <c:v>1.6000000000000001E-3</c:v>
                </c:pt>
                <c:pt idx="2">
                  <c:v>7.4000000000000003E-3</c:v>
                </c:pt>
                <c:pt idx="3">
                  <c:v>4.8999999999999998E-3</c:v>
                </c:pt>
                <c:pt idx="4">
                  <c:v>8.2000000000000007E-3</c:v>
                </c:pt>
                <c:pt idx="5">
                  <c:v>8.0999999999999996E-3</c:v>
                </c:pt>
                <c:pt idx="6">
                  <c:v>5.7000000000000002E-3</c:v>
                </c:pt>
                <c:pt idx="7">
                  <c:v>8.9999999999999993E-3</c:v>
                </c:pt>
                <c:pt idx="8">
                  <c:v>1.3899999999999999E-2</c:v>
                </c:pt>
                <c:pt idx="9">
                  <c:v>3.2000000000000002E-3</c:v>
                </c:pt>
                <c:pt idx="10">
                  <c:v>3.2000000000000002E-3</c:v>
                </c:pt>
                <c:pt idx="11">
                  <c:v>3.2000000000000002E-3</c:v>
                </c:pt>
                <c:pt idx="12">
                  <c:v>9.7999999999999997E-3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2F41-42F9-86A8-4212CBC4BD96}"/>
            </c:ext>
          </c:extLst>
        </c:ser>
        <c:ser>
          <c:idx val="1"/>
          <c:order val="1"/>
          <c:tx>
            <c:strRef>
              <c:f>GRAPH!$C$6</c:f>
              <c:strCache>
                <c:ptCount val="1"/>
                <c:pt idx="0">
                  <c:v>Maroc</c:v>
                </c:pt>
              </c:strCache>
            </c:strRef>
          </c:tx>
          <c:marker>
            <c:symbol val="none"/>
          </c:marker>
          <c:dLbls>
            <c:dLbl>
              <c:idx val="12"/>
              <c:layout>
                <c:manualLayout>
                  <c:x val="-2.1103114318153531E-2"/>
                  <c:y val="-2.063984159002839E-2"/>
                </c:manualLayout>
              </c:layout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41-42F9-86A8-4212CBC4BD9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GRAPH!$A$85:$A$97</c:f>
              <c:numCache>
                <c:formatCode>mmm\-yy</c:formatCode>
                <c:ptCount val="13"/>
                <c:pt idx="0">
                  <c:v>43435</c:v>
                </c:pt>
                <c:pt idx="1">
                  <c:v>43466</c:v>
                </c:pt>
                <c:pt idx="2">
                  <c:v>43497</c:v>
                </c:pt>
                <c:pt idx="3">
                  <c:v>43525</c:v>
                </c:pt>
                <c:pt idx="4">
                  <c:v>43556</c:v>
                </c:pt>
                <c:pt idx="5">
                  <c:v>43586</c:v>
                </c:pt>
                <c:pt idx="6">
                  <c:v>43617</c:v>
                </c:pt>
                <c:pt idx="7">
                  <c:v>43647</c:v>
                </c:pt>
                <c:pt idx="8">
                  <c:v>43678</c:v>
                </c:pt>
                <c:pt idx="9">
                  <c:v>43709</c:v>
                </c:pt>
                <c:pt idx="10">
                  <c:v>43739</c:v>
                </c:pt>
                <c:pt idx="11">
                  <c:v>43770</c:v>
                </c:pt>
                <c:pt idx="12">
                  <c:v>43800</c:v>
                </c:pt>
              </c:numCache>
            </c:numRef>
          </c:cat>
          <c:val>
            <c:numRef>
              <c:f>GRAPH!$C$85:$C$97</c:f>
              <c:numCache>
                <c:formatCode>0.0%</c:formatCode>
                <c:ptCount val="13"/>
                <c:pt idx="0">
                  <c:v>8.0000000000000004E-4</c:v>
                </c:pt>
                <c:pt idx="1">
                  <c:v>-5.0000000000000001E-3</c:v>
                </c:pt>
                <c:pt idx="2">
                  <c:v>0</c:v>
                </c:pt>
                <c:pt idx="3" formatCode="0%">
                  <c:v>-8.0000000000000004E-4</c:v>
                </c:pt>
                <c:pt idx="4">
                  <c:v>1.6999999999999999E-3</c:v>
                </c:pt>
                <c:pt idx="5">
                  <c:v>3.3E-3</c:v>
                </c:pt>
                <c:pt idx="6">
                  <c:v>2.5000000000000001E-3</c:v>
                </c:pt>
                <c:pt idx="7">
                  <c:v>3.3E-3</c:v>
                </c:pt>
                <c:pt idx="8">
                  <c:v>7.4999999999999997E-3</c:v>
                </c:pt>
                <c:pt idx="9">
                  <c:v>2.5000000000000001E-3</c:v>
                </c:pt>
                <c:pt idx="10">
                  <c:v>6.7000000000000002E-3</c:v>
                </c:pt>
                <c:pt idx="11">
                  <c:v>4.1000000000000003E-3</c:v>
                </c:pt>
                <c:pt idx="12">
                  <c:v>1.17E-2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2F41-42F9-86A8-4212CBC4BD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8049152"/>
        <c:axId val="68075520"/>
      </c:lineChart>
      <c:dateAx>
        <c:axId val="6804915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crossAx val="68075520"/>
        <c:crosses val="autoZero"/>
        <c:auto val="1"/>
        <c:lblOffset val="100"/>
        <c:baseTimeUnit val="months"/>
      </c:dateAx>
      <c:valAx>
        <c:axId val="68075520"/>
        <c:scaling>
          <c:orientation val="minMax"/>
        </c:scaling>
        <c:delete val="0"/>
        <c:axPos val="l"/>
        <c:numFmt formatCode="0.0%" sourceLinked="0"/>
        <c:majorTickMark val="none"/>
        <c:minorTickMark val="none"/>
        <c:tickLblPos val="nextTo"/>
        <c:crossAx val="680491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C030FFA-F6DA-4445-998B-BD78A265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2020-02-06T09:30:00Z</dcterms:created>
  <dcterms:modified xsi:type="dcterms:W3CDTF">2020-02-10T11:10:00Z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