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</w:t>
            </w:r>
            <w:bookmarkStart w:id="0" w:name="_GoBack"/>
            <w:bookmarkEnd w:id="0"/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538DB654" w:rsidR="00693096" w:rsidRPr="00287695" w:rsidRDefault="00AD6BD7" w:rsidP="008415F0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Mai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3F2A7E8C" w:rsidR="002D2180" w:rsidRPr="00D3493A" w:rsidRDefault="0067283B" w:rsidP="00AD6BD7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AD6BD7">
        <w:rPr>
          <w:rFonts w:ascii="Times New Roman" w:eastAsia="Gulim" w:hAnsi="Times New Roman"/>
          <w:b/>
          <w:bCs/>
          <w:sz w:val="28"/>
          <w:szCs w:val="28"/>
        </w:rPr>
        <w:t>Mai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10888D40" w:rsidR="002D2180" w:rsidRDefault="002D2180" w:rsidP="006A707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9D11B1">
        <w:rPr>
          <w:rFonts w:ascii="Times New Roman" w:eastAsia="Gulim" w:hAnsi="Times New Roman"/>
          <w:sz w:val="28"/>
          <w:szCs w:val="28"/>
        </w:rPr>
        <w:t xml:space="preserve">hausse de </w:t>
      </w:r>
      <w:r w:rsidR="00AD6BD7">
        <w:rPr>
          <w:rFonts w:ascii="Times New Roman" w:eastAsia="Gulim" w:hAnsi="Times New Roman"/>
          <w:sz w:val="28"/>
          <w:szCs w:val="28"/>
        </w:rPr>
        <w:t>0,3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9D11B1">
        <w:rPr>
          <w:rFonts w:ascii="Times New Roman" w:eastAsia="Gulim" w:hAnsi="Times New Roman"/>
          <w:sz w:val="28"/>
          <w:szCs w:val="28"/>
        </w:rPr>
        <w:t>d</w:t>
      </w:r>
      <w:r w:rsidR="00AD6BD7">
        <w:rPr>
          <w:rFonts w:ascii="Times New Roman" w:eastAsia="Gulim" w:hAnsi="Times New Roman"/>
          <w:sz w:val="28"/>
          <w:szCs w:val="28"/>
        </w:rPr>
        <w:t>e Mai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9D11B1">
        <w:rPr>
          <w:rFonts w:ascii="Times New Roman" w:eastAsia="Gulim" w:hAnsi="Times New Roman"/>
          <w:sz w:val="28"/>
          <w:szCs w:val="28"/>
        </w:rPr>
        <w:t>hausse</w:t>
      </w:r>
      <w:r w:rsidR="000053AB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6A7070">
        <w:rPr>
          <w:rFonts w:ascii="Times New Roman" w:eastAsia="Gulim" w:hAnsi="Times New Roman"/>
          <w:sz w:val="28"/>
          <w:szCs w:val="28"/>
        </w:rPr>
        <w:t>0,6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6A7070">
        <w:rPr>
          <w:rFonts w:ascii="Times New Roman" w:eastAsia="Gulim" w:hAnsi="Times New Roman"/>
          <w:sz w:val="28"/>
          <w:szCs w:val="28"/>
        </w:rPr>
        <w:t>1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43E625F" w14:textId="412226CB" w:rsidR="005F7A48" w:rsidRDefault="00841A88" w:rsidP="00B063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6C5A58B4" w:rsidR="00D57C32" w:rsidRDefault="00B06305" w:rsidP="00AC5AC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3BF87AED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479" y="21073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841A88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AC5AC6">
        <w:rPr>
          <w:rFonts w:ascii="Times New Roman" w:eastAsia="Gulim" w:hAnsi="Times New Roman"/>
          <w:sz w:val="28"/>
          <w:szCs w:val="28"/>
        </w:rPr>
        <w:t>Avril</w:t>
      </w:r>
      <w:r w:rsidR="002A43D4">
        <w:rPr>
          <w:rFonts w:ascii="Times New Roman" w:eastAsia="Gulim" w:hAnsi="Times New Roman"/>
          <w:sz w:val="28"/>
          <w:szCs w:val="28"/>
        </w:rPr>
        <w:t xml:space="preserve"> et </w:t>
      </w:r>
      <w:r w:rsidR="00AC5AC6">
        <w:rPr>
          <w:rFonts w:ascii="Times New Roman" w:eastAsia="Gulim" w:hAnsi="Times New Roman"/>
          <w:sz w:val="28"/>
          <w:szCs w:val="28"/>
        </w:rPr>
        <w:t>Mai</w:t>
      </w:r>
      <w:r w:rsidR="008415F0">
        <w:rPr>
          <w:rFonts w:ascii="Times New Roman" w:eastAsia="Gulim" w:hAnsi="Times New Roman"/>
          <w:sz w:val="28"/>
          <w:szCs w:val="28"/>
        </w:rPr>
        <w:t xml:space="preserve">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1A88">
        <w:rPr>
          <w:rFonts w:ascii="Times New Roman" w:eastAsia="Gulim" w:hAnsi="Times New Roman"/>
          <w:sz w:val="28"/>
          <w:szCs w:val="28"/>
        </w:rPr>
        <w:t xml:space="preserve">les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9E5B0A">
        <w:rPr>
          <w:rFonts w:ascii="Times New Roman" w:eastAsia="Gulim" w:hAnsi="Times New Roman"/>
          <w:sz w:val="28"/>
          <w:szCs w:val="28"/>
        </w:rPr>
        <w:t>Légumes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9E5B0A">
        <w:rPr>
          <w:rFonts w:ascii="Times New Roman" w:eastAsia="Gulim" w:hAnsi="Times New Roman"/>
          <w:sz w:val="28"/>
          <w:szCs w:val="28"/>
        </w:rPr>
        <w:t xml:space="preserve"> avec </w:t>
      </w:r>
      <w:r w:rsidR="00841A88">
        <w:rPr>
          <w:rFonts w:ascii="Times New Roman" w:eastAsia="Gulim" w:hAnsi="Times New Roman"/>
          <w:sz w:val="28"/>
          <w:szCs w:val="28"/>
        </w:rPr>
        <w:t>3,8</w:t>
      </w:r>
      <w:r w:rsidR="009E5B0A">
        <w:rPr>
          <w:rFonts w:ascii="Times New Roman" w:eastAsia="Gulim" w:hAnsi="Times New Roman"/>
          <w:sz w:val="28"/>
          <w:szCs w:val="28"/>
        </w:rPr>
        <w:t xml:space="preserve">%, </w:t>
      </w:r>
      <w:r w:rsidR="00F71F0B">
        <w:rPr>
          <w:rFonts w:ascii="Times New Roman" w:eastAsia="Gulim" w:hAnsi="Times New Roman"/>
          <w:sz w:val="28"/>
          <w:szCs w:val="28"/>
        </w:rPr>
        <w:t xml:space="preserve">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Viandes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AC5AC6">
        <w:rPr>
          <w:rFonts w:ascii="Times New Roman" w:eastAsia="Gulim" w:hAnsi="Times New Roman"/>
          <w:sz w:val="28"/>
          <w:szCs w:val="28"/>
        </w:rPr>
        <w:t>3,1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9E5B0A">
        <w:rPr>
          <w:rFonts w:ascii="Times New Roman" w:eastAsia="Gulim" w:hAnsi="Times New Roman"/>
          <w:sz w:val="28"/>
          <w:szCs w:val="28"/>
        </w:rPr>
        <w:t xml:space="preserve"> et </w:t>
      </w:r>
      <w:r w:rsidR="001172EB">
        <w:rPr>
          <w:rFonts w:ascii="Times New Roman" w:eastAsia="Gulim" w:hAnsi="Times New Roman"/>
          <w:sz w:val="28"/>
          <w:szCs w:val="28"/>
        </w:rPr>
        <w:t xml:space="preserve">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841A88">
        <w:rPr>
          <w:rFonts w:ascii="Times New Roman" w:eastAsia="Gulim" w:hAnsi="Times New Roman"/>
          <w:sz w:val="28"/>
          <w:szCs w:val="28"/>
        </w:rPr>
        <w:t>4,</w:t>
      </w:r>
      <w:r w:rsidR="00AC5AC6">
        <w:rPr>
          <w:rFonts w:ascii="Times New Roman" w:eastAsia="Gulim" w:hAnsi="Times New Roman"/>
          <w:sz w:val="28"/>
          <w:szCs w:val="28"/>
        </w:rPr>
        <w:t>1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140A74">
        <w:rPr>
          <w:rFonts w:ascii="Times New Roman" w:eastAsia="Gulim" w:hAnsi="Times New Roman"/>
          <w:sz w:val="28"/>
          <w:szCs w:val="28"/>
        </w:rPr>
        <w:t xml:space="preserve">.  </w:t>
      </w:r>
      <w:r w:rsidR="00AC5AC6">
        <w:rPr>
          <w:rFonts w:ascii="Times New Roman" w:eastAsia="Gulim" w:hAnsi="Times New Roman"/>
          <w:sz w:val="28"/>
          <w:szCs w:val="28"/>
        </w:rPr>
        <w:t xml:space="preserve">Cette hausse a été atténuée par la baisse des prix des </w:t>
      </w:r>
      <w:r w:rsidR="00AC5AC6" w:rsidRPr="009C0D33">
        <w:rPr>
          <w:rFonts w:ascii="Times New Roman" w:eastAsia="Gulim" w:hAnsi="Times New Roman"/>
          <w:sz w:val="28"/>
          <w:szCs w:val="28"/>
        </w:rPr>
        <w:t>‘‘</w:t>
      </w:r>
      <w:r w:rsidR="00AC5AC6">
        <w:rPr>
          <w:rFonts w:ascii="Times New Roman" w:eastAsia="Gulim" w:hAnsi="Times New Roman"/>
          <w:sz w:val="28"/>
          <w:szCs w:val="28"/>
        </w:rPr>
        <w:t>Fruits</w:t>
      </w:r>
      <w:r w:rsidR="00AC5AC6" w:rsidRPr="009C0D33">
        <w:rPr>
          <w:rFonts w:ascii="Times New Roman" w:eastAsia="Gulim" w:hAnsi="Times New Roman"/>
          <w:sz w:val="28"/>
          <w:szCs w:val="28"/>
        </w:rPr>
        <w:t>’’</w:t>
      </w:r>
      <w:r w:rsidR="00AC5AC6">
        <w:rPr>
          <w:rFonts w:ascii="Times New Roman" w:eastAsia="Gulim" w:hAnsi="Times New Roman"/>
          <w:sz w:val="28"/>
          <w:szCs w:val="28"/>
        </w:rPr>
        <w:t xml:space="preserve"> avec 6,7%.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4211FEAE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780A1E" w:rsidRPr="001B6B04" w14:paraId="2126FF1D" w14:textId="77777777" w:rsidTr="00780A1E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64FD25B4" w14:textId="41FAC551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5B87635F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780A1E" w:rsidRPr="001B6B04" w14:paraId="02018970" w14:textId="77777777" w:rsidTr="00780A1E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780A1E" w:rsidRPr="008E7CC9" w:rsidRDefault="00780A1E" w:rsidP="00780A1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780A1E" w:rsidRPr="008E7CC9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FEBEF53" w14:textId="4C709DC6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05D8363E" w:rsidR="00780A1E" w:rsidRPr="008E7CC9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74A3BC0E" w:rsidR="00780A1E" w:rsidRPr="008E7CC9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780A1E" w:rsidRPr="001B6B04" w14:paraId="5D364F85" w14:textId="77777777" w:rsidTr="00780A1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4B09088" w14:textId="17619D9B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2719689D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51E0F0A4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780A1E" w:rsidRPr="001B6B04" w14:paraId="6C5B7EC2" w14:textId="77777777" w:rsidTr="00780A1E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2EA4F882" w14:textId="16E813A2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107,0</w:t>
            </w:r>
          </w:p>
        </w:tc>
        <w:tc>
          <w:tcPr>
            <w:tcW w:w="1559" w:type="dxa"/>
            <w:vAlign w:val="center"/>
          </w:tcPr>
          <w:p w14:paraId="19B6DA7B" w14:textId="6F4B20A2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12325B56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780A1E" w:rsidRPr="001B6B04" w14:paraId="1CA1F63D" w14:textId="77777777" w:rsidTr="00780A1E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31FD1A07" w14:textId="6045FCE6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1559" w:type="dxa"/>
            <w:vAlign w:val="center"/>
          </w:tcPr>
          <w:p w14:paraId="1B002BD9" w14:textId="3C1E3471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5D2508F4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</w:t>
            </w:r>
          </w:p>
        </w:tc>
      </w:tr>
      <w:tr w:rsidR="00780A1E" w:rsidRPr="001B6B04" w14:paraId="06AE38F6" w14:textId="77777777" w:rsidTr="00780A1E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7CA86DC7" w14:textId="7803F598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559" w:type="dxa"/>
            <w:vAlign w:val="center"/>
          </w:tcPr>
          <w:p w14:paraId="63EED3B1" w14:textId="77C3BC70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3E44DEAE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780A1E" w:rsidRPr="001B6B04" w14:paraId="25813806" w14:textId="77777777" w:rsidTr="00780A1E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5E465344" w14:textId="4AF1B397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98,3</w:t>
            </w:r>
          </w:p>
        </w:tc>
        <w:tc>
          <w:tcPr>
            <w:tcW w:w="1559" w:type="dxa"/>
            <w:vAlign w:val="center"/>
          </w:tcPr>
          <w:p w14:paraId="0FCEC70D" w14:textId="01FE8AF5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74E162FC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780A1E" w:rsidRPr="001B6B04" w14:paraId="3F04F2F8" w14:textId="77777777" w:rsidTr="00780A1E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3BF60D9C" w14:textId="35838CEF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121,6</w:t>
            </w:r>
          </w:p>
        </w:tc>
        <w:tc>
          <w:tcPr>
            <w:tcW w:w="1559" w:type="dxa"/>
            <w:vAlign w:val="center"/>
          </w:tcPr>
          <w:p w14:paraId="7D34A147" w14:textId="7A9E630A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1C064149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-6,7</w:t>
            </w:r>
          </w:p>
        </w:tc>
      </w:tr>
      <w:tr w:rsidR="00780A1E" w:rsidRPr="001B6B04" w14:paraId="350AE782" w14:textId="77777777" w:rsidTr="00780A1E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430E4409" w14:textId="12C287F1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1559" w:type="dxa"/>
            <w:vAlign w:val="center"/>
          </w:tcPr>
          <w:p w14:paraId="50DCE4A4" w14:textId="4D122D9C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64221A4D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780A1E" w:rsidRPr="001B6B04" w14:paraId="542952A6" w14:textId="77777777" w:rsidTr="00780A1E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736423AA" w14:textId="4BE5D73B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99,3</w:t>
            </w:r>
          </w:p>
        </w:tc>
        <w:tc>
          <w:tcPr>
            <w:tcW w:w="1559" w:type="dxa"/>
            <w:vAlign w:val="center"/>
          </w:tcPr>
          <w:p w14:paraId="69718176" w14:textId="2A1ACD64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572C12B5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80A1E" w:rsidRPr="001B6B04" w14:paraId="0AD3C8E0" w14:textId="77777777" w:rsidTr="00780A1E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792E80" w14:textId="4B7ED27E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85,7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5458FD65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705E1F59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780A1E" w:rsidRPr="001B6B04" w14:paraId="6353966C" w14:textId="77777777" w:rsidTr="00780A1E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665FE" w14:textId="5B5E005E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5DEF11EE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4B880A0A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80A1E" w:rsidRPr="001B6B04" w14:paraId="1B88FAD4" w14:textId="77777777" w:rsidTr="00780A1E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780A1E" w:rsidRPr="008E7CC9" w:rsidRDefault="00780A1E" w:rsidP="00780A1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780A1E" w:rsidRPr="008E7CC9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5D0616" w14:textId="4040F2C3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4AD583C3" w:rsidR="00780A1E" w:rsidRPr="008E7CC9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331EDB07" w:rsidR="00780A1E" w:rsidRPr="008E7CC9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80A1E" w:rsidRPr="001B6B04" w14:paraId="5A8C36EF" w14:textId="77777777" w:rsidTr="00780A1E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C434CE" w14:textId="16ADE9CD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53793070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2EF33F17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80A1E" w:rsidRPr="001B6B04" w14:paraId="1254012C" w14:textId="77777777" w:rsidTr="00780A1E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952A52" w14:textId="28EF117A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6565C4A1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05D0EB36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80A1E" w:rsidRPr="001B6B04" w14:paraId="6C36C82B" w14:textId="77777777" w:rsidTr="00780A1E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780A1E" w:rsidRPr="003109A6" w:rsidRDefault="00780A1E" w:rsidP="00780A1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23A7579" w14:textId="767E2B0A" w:rsidR="00780A1E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36B3F1BA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3D848A2D" w:rsidR="00780A1E" w:rsidRPr="003109A6" w:rsidRDefault="00780A1E" w:rsidP="00780A1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393D0568" w14:textId="4D259D3A" w:rsidR="00163BAD" w:rsidRDefault="00267A4B" w:rsidP="00E30E2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B72B7D">
        <w:rPr>
          <w:rFonts w:ascii="Times New Roman" w:eastAsia="Gulim" w:hAnsi="Times New Roman"/>
          <w:sz w:val="28"/>
          <w:szCs w:val="28"/>
        </w:rPr>
        <w:t>Avril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B72B7D">
        <w:rPr>
          <w:rFonts w:ascii="Times New Roman" w:eastAsia="Gulim" w:hAnsi="Times New Roman"/>
          <w:sz w:val="28"/>
          <w:szCs w:val="28"/>
        </w:rPr>
        <w:t>Mai</w:t>
      </w:r>
      <w:r w:rsidR="005E2CA1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792547">
        <w:rPr>
          <w:rFonts w:ascii="Times New Roman" w:eastAsia="Gulim" w:hAnsi="Times New Roman"/>
          <w:sz w:val="28"/>
          <w:szCs w:val="28"/>
        </w:rPr>
        <w:t xml:space="preserve">les </w:t>
      </w:r>
      <w:r w:rsidR="001F4695" w:rsidRPr="009C0D33">
        <w:rPr>
          <w:rFonts w:ascii="Times New Roman" w:eastAsia="Gulim" w:hAnsi="Times New Roman"/>
          <w:sz w:val="28"/>
          <w:szCs w:val="28"/>
        </w:rPr>
        <w:t>‘‘</w:t>
      </w:r>
      <w:r w:rsidR="001F4695">
        <w:rPr>
          <w:rFonts w:ascii="Times New Roman" w:eastAsia="Gulim" w:hAnsi="Times New Roman"/>
          <w:sz w:val="28"/>
          <w:szCs w:val="28"/>
        </w:rPr>
        <w:t>Articles d’habillements et chaussures</w:t>
      </w:r>
      <w:r w:rsidR="001F4695" w:rsidRPr="00391850">
        <w:rPr>
          <w:rFonts w:ascii="Times New Roman" w:eastAsia="Gulim" w:hAnsi="Times New Roman"/>
          <w:sz w:val="28"/>
          <w:szCs w:val="28"/>
        </w:rPr>
        <w:t>’’</w:t>
      </w:r>
      <w:r w:rsidR="001F4695">
        <w:rPr>
          <w:rFonts w:ascii="Times New Roman" w:eastAsia="Gulim" w:hAnsi="Times New Roman"/>
          <w:sz w:val="28"/>
          <w:szCs w:val="28"/>
        </w:rPr>
        <w:t xml:space="preserve"> avec 0,</w:t>
      </w:r>
      <w:r w:rsidR="00B72B7D">
        <w:rPr>
          <w:rFonts w:ascii="Times New Roman" w:eastAsia="Gulim" w:hAnsi="Times New Roman"/>
          <w:sz w:val="28"/>
          <w:szCs w:val="28"/>
        </w:rPr>
        <w:t>8</w:t>
      </w:r>
      <w:r w:rsidR="001F4695">
        <w:rPr>
          <w:rFonts w:ascii="Times New Roman" w:eastAsia="Gulim" w:hAnsi="Times New Roman"/>
          <w:sz w:val="28"/>
          <w:szCs w:val="28"/>
        </w:rPr>
        <w:t xml:space="preserve">%, le </w:t>
      </w:r>
      <w:r w:rsidR="001F4695" w:rsidRPr="009C0D33">
        <w:rPr>
          <w:rFonts w:ascii="Times New Roman" w:eastAsia="Gulim" w:hAnsi="Times New Roman"/>
          <w:sz w:val="28"/>
          <w:szCs w:val="28"/>
        </w:rPr>
        <w:t>‘‘</w:t>
      </w:r>
      <w:r w:rsidR="001F4695">
        <w:rPr>
          <w:rFonts w:ascii="Times New Roman" w:eastAsia="Gulim" w:hAnsi="Times New Roman"/>
          <w:sz w:val="28"/>
          <w:szCs w:val="28"/>
        </w:rPr>
        <w:t>Loyer</w:t>
      </w:r>
      <w:r w:rsidR="001F4695" w:rsidRPr="00391850">
        <w:rPr>
          <w:rFonts w:ascii="Times New Roman" w:eastAsia="Gulim" w:hAnsi="Times New Roman"/>
          <w:sz w:val="28"/>
          <w:szCs w:val="28"/>
        </w:rPr>
        <w:t>’’</w:t>
      </w:r>
      <w:r w:rsidR="001F4695">
        <w:rPr>
          <w:rFonts w:ascii="Times New Roman" w:eastAsia="Gulim" w:hAnsi="Times New Roman"/>
          <w:sz w:val="28"/>
          <w:szCs w:val="28"/>
        </w:rPr>
        <w:t xml:space="preserve"> avec 0,</w:t>
      </w:r>
      <w:r w:rsidR="00B72B7D">
        <w:rPr>
          <w:rFonts w:ascii="Times New Roman" w:eastAsia="Gulim" w:hAnsi="Times New Roman"/>
          <w:sz w:val="28"/>
          <w:szCs w:val="28"/>
        </w:rPr>
        <w:t>6</w:t>
      </w:r>
      <w:r w:rsidR="00E30E2D">
        <w:rPr>
          <w:rFonts w:ascii="Times New Roman" w:eastAsia="Gulim" w:hAnsi="Times New Roman"/>
          <w:sz w:val="28"/>
          <w:szCs w:val="28"/>
        </w:rPr>
        <w:t xml:space="preserve">%, </w:t>
      </w:r>
      <w:r w:rsidR="001F4695">
        <w:rPr>
          <w:rFonts w:ascii="Times New Roman" w:eastAsia="Gulim" w:hAnsi="Times New Roman"/>
          <w:sz w:val="28"/>
          <w:szCs w:val="28"/>
        </w:rPr>
        <w:t xml:space="preserve">le </w:t>
      </w:r>
      <w:r w:rsidR="001F4695" w:rsidRPr="009C0D33">
        <w:rPr>
          <w:rFonts w:ascii="Times New Roman" w:eastAsia="Gulim" w:hAnsi="Times New Roman"/>
          <w:sz w:val="28"/>
          <w:szCs w:val="28"/>
        </w:rPr>
        <w:t>‘‘</w:t>
      </w:r>
      <w:r w:rsidR="001F4695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1F4695" w:rsidRPr="00391850">
        <w:rPr>
          <w:rFonts w:ascii="Times New Roman" w:eastAsia="Gulim" w:hAnsi="Times New Roman"/>
          <w:sz w:val="28"/>
          <w:szCs w:val="28"/>
        </w:rPr>
        <w:t>’’</w:t>
      </w:r>
      <w:r w:rsidR="001F4695">
        <w:rPr>
          <w:rFonts w:ascii="Times New Roman" w:eastAsia="Gulim" w:hAnsi="Times New Roman"/>
          <w:sz w:val="28"/>
          <w:szCs w:val="28"/>
        </w:rPr>
        <w:t xml:space="preserve"> avec 1,</w:t>
      </w:r>
      <w:r w:rsidR="00E30E2D">
        <w:rPr>
          <w:rFonts w:ascii="Times New Roman" w:eastAsia="Gulim" w:hAnsi="Times New Roman"/>
          <w:sz w:val="28"/>
          <w:szCs w:val="28"/>
        </w:rPr>
        <w:t>3</w:t>
      </w:r>
      <w:r w:rsidR="001F4695">
        <w:rPr>
          <w:rFonts w:ascii="Times New Roman" w:eastAsia="Gulim" w:hAnsi="Times New Roman"/>
          <w:sz w:val="28"/>
          <w:szCs w:val="28"/>
        </w:rPr>
        <w:t xml:space="preserve">% </w:t>
      </w:r>
      <w:r w:rsidR="00E30E2D">
        <w:rPr>
          <w:rFonts w:ascii="Times New Roman" w:eastAsia="Gulim" w:hAnsi="Times New Roman"/>
          <w:sz w:val="28"/>
          <w:szCs w:val="28"/>
        </w:rPr>
        <w:t xml:space="preserve">et 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Carburants et Lubrifiants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E30E2D">
        <w:rPr>
          <w:rFonts w:ascii="Times New Roman" w:eastAsia="Gulim" w:hAnsi="Times New Roman"/>
          <w:sz w:val="28"/>
          <w:szCs w:val="28"/>
        </w:rPr>
        <w:t>0,6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1F4695">
        <w:rPr>
          <w:rFonts w:ascii="Times New Roman" w:eastAsia="Gulim" w:hAnsi="Times New Roman"/>
          <w:sz w:val="28"/>
          <w:szCs w:val="28"/>
        </w:rPr>
        <w:t>.</w:t>
      </w:r>
    </w:p>
    <w:p w14:paraId="76A360F4" w14:textId="27ED8DE0" w:rsidR="001F4695" w:rsidRDefault="00845C10" w:rsidP="001F469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F689B72" wp14:editId="0779CBDF">
            <wp:extent cx="5400675" cy="2572385"/>
            <wp:effectExtent l="0" t="0" r="9525" b="1841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368162E9" w:rsidR="00CB4CB9" w:rsidRPr="00956A42" w:rsidRDefault="00B93C3B" w:rsidP="0038278F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38278F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Mai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5E2CA1">
        <w:trPr>
          <w:trHeight w:val="53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1954D613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7A54C93F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6524C1CF" w14:textId="77777777" w:rsidTr="005E2CA1">
        <w:trPr>
          <w:trHeight w:val="39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2BA3AE45" w:rsidR="00CB4CB9" w:rsidRPr="004E0DA4" w:rsidRDefault="0038278F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7E6B9752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1A6B76ED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26D5EF9A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2D47E99D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5EBD63D1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7762AEFB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3EBF3A5B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03DE36BF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4516FAC7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3C2F128E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0C3DE6A0" w:rsidR="00163BAD" w:rsidRPr="004E0DA4" w:rsidRDefault="0038278F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10,7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4F654E75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4B96D003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286F1176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70C3A68A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129392BC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39804ABD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5651CA10" w:rsidR="00CB4CB9" w:rsidRPr="004E0DA4" w:rsidRDefault="0038278F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2558ED32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0F2D2261" w:rsidR="00CB4CB9" w:rsidRPr="004E0DA4" w:rsidRDefault="0038278F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139F5D75" w:rsidR="00CB4CB9" w:rsidRPr="004E0DA4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37D271CC" w:rsidR="00CB4CB9" w:rsidRPr="005E0AD7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18959FFD" w:rsidR="00CB4CB9" w:rsidRPr="005E0AD7" w:rsidRDefault="0038278F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</w:tbl>
    <w:p w14:paraId="608BF836" w14:textId="633B7C02" w:rsidR="00F1588E" w:rsidRDefault="00D615DD" w:rsidP="003A4F3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3A4F3F">
        <w:rPr>
          <w:rFonts w:ascii="Times New Roman" w:eastAsia="Gulim" w:hAnsi="Times New Roman"/>
          <w:b/>
          <w:bCs/>
          <w:sz w:val="28"/>
          <w:szCs w:val="28"/>
        </w:rPr>
        <w:t>2,1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7CB4F4FD" w:rsidR="00E3722B" w:rsidRDefault="00D615DD" w:rsidP="003A4F3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A4F3F">
        <w:rPr>
          <w:rFonts w:ascii="Times New Roman" w:eastAsia="Gulim" w:hAnsi="Times New Roman"/>
          <w:sz w:val="28"/>
          <w:szCs w:val="28"/>
        </w:rPr>
        <w:t>2,1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3A4F3F">
        <w:rPr>
          <w:rFonts w:ascii="Times New Roman" w:eastAsia="Gulim" w:hAnsi="Times New Roman"/>
          <w:sz w:val="28"/>
          <w:szCs w:val="28"/>
        </w:rPr>
        <w:t>0</w:t>
      </w:r>
      <w:r w:rsidR="00E5103D">
        <w:rPr>
          <w:rFonts w:ascii="Times New Roman" w:eastAsia="Gulim" w:hAnsi="Times New Roman"/>
          <w:sz w:val="28"/>
          <w:szCs w:val="28"/>
        </w:rPr>
        <w:t>,</w:t>
      </w:r>
      <w:r w:rsidR="00144A47">
        <w:rPr>
          <w:rFonts w:ascii="Times New Roman" w:eastAsia="Gulim" w:hAnsi="Times New Roman"/>
          <w:sz w:val="28"/>
          <w:szCs w:val="28"/>
        </w:rPr>
        <w:t>9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3A4F3F">
        <w:rPr>
          <w:rFonts w:ascii="Times New Roman" w:eastAsia="Gulim" w:hAnsi="Times New Roman"/>
          <w:sz w:val="28"/>
          <w:szCs w:val="28"/>
        </w:rPr>
        <w:t>2</w:t>
      </w:r>
      <w:r w:rsidR="00FD6503">
        <w:rPr>
          <w:rFonts w:ascii="Times New Roman" w:eastAsia="Gulim" w:hAnsi="Times New Roman"/>
          <w:sz w:val="28"/>
          <w:szCs w:val="28"/>
        </w:rPr>
        <w:t>,</w:t>
      </w:r>
      <w:r w:rsidR="003A4F3F">
        <w:rPr>
          <w:rFonts w:ascii="Times New Roman" w:eastAsia="Gulim" w:hAnsi="Times New Roman"/>
          <w:sz w:val="28"/>
          <w:szCs w:val="28"/>
        </w:rPr>
        <w:t>9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3A4F3F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>alimentaires.</w:t>
      </w:r>
    </w:p>
    <w:p w14:paraId="1727D137" w14:textId="77777777" w:rsidR="00E5103D" w:rsidRDefault="00E5103D" w:rsidP="00E510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5A00BB4" w14:textId="2F661438" w:rsidR="003442C0" w:rsidRDefault="008E36AC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A226ABA" wp14:editId="36285CCD">
            <wp:extent cx="5334000" cy="2600325"/>
            <wp:effectExtent l="0" t="0" r="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EDFD9E" w14:textId="44187213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71983AA" w14:textId="6ED4F9E6" w:rsidR="00EE0E5A" w:rsidRDefault="00EE0E5A" w:rsidP="00EE0E5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1,0% au cours des cinq premiers mois 2021.</w:t>
      </w:r>
    </w:p>
    <w:p w14:paraId="68DCD76A" w14:textId="77777777" w:rsidR="00EE0E5A" w:rsidRDefault="00EE0E5A" w:rsidP="00EE0E5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B40E25C" w14:textId="6678B264" w:rsidR="00EE0E5A" w:rsidRDefault="00EE0E5A" w:rsidP="00EE0E5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cinq premiers mois 2021 par rapport à la même période 2020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1,0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0338CFFF" w14:textId="311EC9C8" w:rsidR="00EE0E5A" w:rsidRDefault="00EE0E5A" w:rsidP="007D4D0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baisses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(-5,2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(-2,1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7D4D0D">
        <w:rPr>
          <w:rFonts w:ascii="Times New Roman" w:eastAsia="Gulim" w:hAnsi="Times New Roman"/>
          <w:sz w:val="28"/>
          <w:szCs w:val="28"/>
        </w:rPr>
        <w:t>Poissons et Fruits de mer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(-0,6</w:t>
      </w:r>
      <w:r>
        <w:rPr>
          <w:rFonts w:ascii="Times New Roman" w:eastAsia="Gulim" w:hAnsi="Times New Roman"/>
          <w:sz w:val="28"/>
          <w:szCs w:val="28"/>
        </w:rPr>
        <w:t xml:space="preserve">%) et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7D4D0D"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(-0,1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359024C2" w14:textId="0E7F0A66" w:rsidR="00EE0E5A" w:rsidRDefault="00EE0E5A" w:rsidP="00DD249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 principalement pour 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de (+</w:t>
      </w:r>
      <w:r w:rsidR="007D4D0D">
        <w:rPr>
          <w:rFonts w:ascii="Times New Roman" w:eastAsia="Gulim" w:hAnsi="Times New Roman"/>
          <w:sz w:val="28"/>
          <w:szCs w:val="28"/>
        </w:rPr>
        <w:t>2,5%), le Loyer (+0,8)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 xml:space="preserve">et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de </w:t>
      </w:r>
      <w:r w:rsidR="007D4D0D">
        <w:rPr>
          <w:rFonts w:ascii="Times New Roman" w:eastAsia="Gulim" w:hAnsi="Times New Roman"/>
          <w:sz w:val="28"/>
          <w:szCs w:val="28"/>
        </w:rPr>
        <w:t>(+5,2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170BA185" w14:textId="77777777" w:rsidR="0023570B" w:rsidRDefault="0023570B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6D7A7EF" w14:textId="7D61411B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7168D0A4" w:rsidR="007C49D9" w:rsidRDefault="00A641E7" w:rsidP="00203212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203212">
        <w:rPr>
          <w:rFonts w:ascii="Times New Roman" w:eastAsia="Gulim" w:hAnsi="Times New Roman"/>
          <w:sz w:val="28"/>
          <w:szCs w:val="28"/>
        </w:rPr>
        <w:t>de Mai</w:t>
      </w:r>
      <w:r w:rsidR="00EB100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EE18E4">
        <w:rPr>
          <w:rFonts w:ascii="Times New Roman" w:eastAsia="Gulim" w:hAnsi="Times New Roman"/>
          <w:sz w:val="28"/>
          <w:szCs w:val="28"/>
        </w:rPr>
        <w:t>0,5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2A7B99">
        <w:rPr>
          <w:rFonts w:ascii="Times New Roman" w:eastAsia="Gulim" w:hAnsi="Times New Roman"/>
          <w:sz w:val="28"/>
          <w:szCs w:val="28"/>
        </w:rPr>
        <w:t xml:space="preserve">de </w:t>
      </w:r>
      <w:r w:rsidR="003C32A6">
        <w:rPr>
          <w:rFonts w:ascii="Times New Roman" w:eastAsia="Gulim" w:hAnsi="Times New Roman"/>
          <w:sz w:val="28"/>
          <w:szCs w:val="28"/>
        </w:rPr>
        <w:t>1,</w:t>
      </w:r>
      <w:r w:rsidR="004F224C">
        <w:rPr>
          <w:rFonts w:ascii="Times New Roman" w:eastAsia="Gulim" w:hAnsi="Times New Roman"/>
          <w:sz w:val="28"/>
          <w:szCs w:val="28"/>
        </w:rPr>
        <w:t>9</w:t>
      </w:r>
      <w:r w:rsidR="002A7B99">
        <w:rPr>
          <w:rFonts w:ascii="Times New Roman" w:eastAsia="Gulim" w:hAnsi="Times New Roman"/>
          <w:sz w:val="28"/>
          <w:szCs w:val="28"/>
        </w:rPr>
        <w:t xml:space="preserve">% </w:t>
      </w:r>
      <w:r w:rsidR="004E4762">
        <w:rPr>
          <w:rFonts w:ascii="Times New Roman" w:eastAsia="Gulim" w:hAnsi="Times New Roman"/>
          <w:sz w:val="28"/>
          <w:szCs w:val="28"/>
        </w:rPr>
        <w:t>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0B11BC98" w:rsidR="00A74981" w:rsidRDefault="004F224C" w:rsidP="004F224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de l’IPC a été inégale allant d’une baisse de 0,7% à Fès à une hausse de 1,3% à Beni Mellal.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2F2E1" w14:textId="77777777" w:rsidR="00C45B23" w:rsidRDefault="00C45B23">
      <w:r>
        <w:separator/>
      </w:r>
    </w:p>
    <w:p w14:paraId="2FECA2D7" w14:textId="77777777" w:rsidR="00C45B23" w:rsidRDefault="00C45B23"/>
  </w:endnote>
  <w:endnote w:type="continuationSeparator" w:id="0">
    <w:p w14:paraId="5D4D76A7" w14:textId="77777777" w:rsidR="00C45B23" w:rsidRDefault="00C45B23">
      <w:r>
        <w:continuationSeparator/>
      </w:r>
    </w:p>
    <w:p w14:paraId="7FCDD9A1" w14:textId="77777777" w:rsidR="00C45B23" w:rsidRDefault="00C45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73ACB153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E3808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44DA598E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E3808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84D4" w14:textId="77777777" w:rsidR="00C45B23" w:rsidRDefault="00C45B23">
      <w:r>
        <w:separator/>
      </w:r>
    </w:p>
    <w:p w14:paraId="3C947D20" w14:textId="77777777" w:rsidR="00C45B23" w:rsidRDefault="00C45B23"/>
  </w:footnote>
  <w:footnote w:type="continuationSeparator" w:id="0">
    <w:p w14:paraId="03889589" w14:textId="77777777" w:rsidR="00C45B23" w:rsidRDefault="00C45B23">
      <w:r>
        <w:continuationSeparator/>
      </w:r>
    </w:p>
    <w:p w14:paraId="29DD5714" w14:textId="77777777" w:rsidR="00C45B23" w:rsidRDefault="00C45B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47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D8F"/>
    <w:rsid w:val="00842F6F"/>
    <w:rsid w:val="008430B0"/>
    <w:rsid w:val="00843598"/>
    <w:rsid w:val="00843942"/>
    <w:rsid w:val="008440A9"/>
    <w:rsid w:val="00844668"/>
    <w:rsid w:val="00844FE5"/>
    <w:rsid w:val="008458BC"/>
    <w:rsid w:val="00845BA6"/>
    <w:rsid w:val="00845C10"/>
    <w:rsid w:val="00846175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BD7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808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5B23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05_2021\05_2021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05_2021\05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Mai 2020_Mai2021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67"/>
          <c:w val="0.90435184585085271"/>
          <c:h val="0.6915631866444221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43952</c:v>
                </c:pt>
                <c:pt idx="1">
                  <c:v>43983</c:v>
                </c:pt>
                <c:pt idx="2">
                  <c:v>44013</c:v>
                </c:pt>
                <c:pt idx="3">
                  <c:v>44044</c:v>
                </c:pt>
                <c:pt idx="4">
                  <c:v>44075</c:v>
                </c:pt>
                <c:pt idx="5">
                  <c:v>44105</c:v>
                </c:pt>
                <c:pt idx="6">
                  <c:v>44136</c:v>
                </c:pt>
                <c:pt idx="7">
                  <c:v>44166</c:v>
                </c:pt>
                <c:pt idx="8">
                  <c:v>44197</c:v>
                </c:pt>
                <c:pt idx="9">
                  <c:v>44228</c:v>
                </c:pt>
                <c:pt idx="10">
                  <c:v>44256</c:v>
                </c:pt>
                <c:pt idx="11">
                  <c:v>44287</c:v>
                </c:pt>
                <c:pt idx="12">
                  <c:v>44317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-0.2</c:v>
                </c:pt>
                <c:pt idx="1">
                  <c:v>-0.2</c:v>
                </c:pt>
                <c:pt idx="2">
                  <c:v>-0.3</c:v>
                </c:pt>
                <c:pt idx="3">
                  <c:v>1</c:v>
                </c:pt>
                <c:pt idx="4">
                  <c:v>0.2</c:v>
                </c:pt>
                <c:pt idx="5">
                  <c:v>0.5</c:v>
                </c:pt>
                <c:pt idx="6">
                  <c:v>-0.3</c:v>
                </c:pt>
                <c:pt idx="7">
                  <c:v>-0.3</c:v>
                </c:pt>
                <c:pt idx="8">
                  <c:v>0.2</c:v>
                </c:pt>
                <c:pt idx="9">
                  <c:v>-0.1</c:v>
                </c:pt>
                <c:pt idx="10">
                  <c:v>0</c:v>
                </c:pt>
                <c:pt idx="11">
                  <c:v>1.1000000000000001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8D4-4011-BA3E-2B97DC335E1E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43952</c:v>
                </c:pt>
                <c:pt idx="1">
                  <c:v>43983</c:v>
                </c:pt>
                <c:pt idx="2">
                  <c:v>44013</c:v>
                </c:pt>
                <c:pt idx="3">
                  <c:v>44044</c:v>
                </c:pt>
                <c:pt idx="4">
                  <c:v>44075</c:v>
                </c:pt>
                <c:pt idx="5">
                  <c:v>44105</c:v>
                </c:pt>
                <c:pt idx="6">
                  <c:v>44136</c:v>
                </c:pt>
                <c:pt idx="7">
                  <c:v>44166</c:v>
                </c:pt>
                <c:pt idx="8">
                  <c:v>44197</c:v>
                </c:pt>
                <c:pt idx="9">
                  <c:v>44228</c:v>
                </c:pt>
                <c:pt idx="10">
                  <c:v>44256</c:v>
                </c:pt>
                <c:pt idx="11">
                  <c:v>44287</c:v>
                </c:pt>
                <c:pt idx="12">
                  <c:v>44317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-0.2</c:v>
                </c:pt>
                <c:pt idx="1">
                  <c:v>-0.3</c:v>
                </c:pt>
                <c:pt idx="2">
                  <c:v>-0.3</c:v>
                </c:pt>
                <c:pt idx="3">
                  <c:v>1.4</c:v>
                </c:pt>
                <c:pt idx="4">
                  <c:v>0.3</c:v>
                </c:pt>
                <c:pt idx="5">
                  <c:v>0.1</c:v>
                </c:pt>
                <c:pt idx="6">
                  <c:v>-0.7</c:v>
                </c:pt>
                <c:pt idx="7">
                  <c:v>-0.5</c:v>
                </c:pt>
                <c:pt idx="8">
                  <c:v>0.1</c:v>
                </c:pt>
                <c:pt idx="9">
                  <c:v>0.1</c:v>
                </c:pt>
                <c:pt idx="10">
                  <c:v>0.2</c:v>
                </c:pt>
                <c:pt idx="11">
                  <c:v>1.2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8D4-4011-BA3E-2B97DC335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1926080"/>
        <c:axId val="491926472"/>
      </c:lineChart>
      <c:dateAx>
        <c:axId val="49192608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1926472"/>
        <c:crosses val="autoZero"/>
        <c:auto val="1"/>
        <c:lblOffset val="100"/>
        <c:baseTimeUnit val="months"/>
      </c:dateAx>
      <c:valAx>
        <c:axId val="491926472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192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layout>
        <c:manualLayout>
          <c:xMode val="edge"/>
          <c:yMode val="edge"/>
          <c:x val="0.34347019122609668"/>
          <c:y val="3.95430579964850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897431571053618E-2"/>
          <c:y val="9.0729349736379611E-2"/>
          <c:w val="0.92864473190851149"/>
          <c:h val="0.81315853202883914"/>
        </c:manualLayout>
      </c:layout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Feuil9!$A$59:$A$99</c:f>
              <c:numCache>
                <c:formatCode>mmm\-yy</c:formatCode>
                <c:ptCount val="4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</c:numCache>
            </c:numRef>
          </c:cat>
          <c:val>
            <c:numRef>
              <c:f>Feuil9!$B$59:$B$99</c:f>
              <c:numCache>
                <c:formatCode>General</c:formatCode>
                <c:ptCount val="41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653-4A13-A9F7-5A11DC03C317}"/>
            </c:ext>
          </c:extLst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Feuil9!$A$59:$A$99</c:f>
              <c:numCache>
                <c:formatCode>mmm\-yy</c:formatCode>
                <c:ptCount val="4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</c:numCache>
            </c:numRef>
          </c:cat>
          <c:val>
            <c:numRef>
              <c:f>Feuil9!$C$59:$C$99</c:f>
              <c:numCache>
                <c:formatCode>General</c:formatCode>
                <c:ptCount val="41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653-4A13-A9F7-5A11DC03C3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2401456"/>
        <c:axId val="492399496"/>
      </c:lineChart>
      <c:dateAx>
        <c:axId val="49240145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2399496"/>
        <c:crosses val="autoZero"/>
        <c:auto val="1"/>
        <c:lblOffset val="100"/>
        <c:baseTimeUnit val="months"/>
      </c:dateAx>
      <c:valAx>
        <c:axId val="492399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240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853B1B-AFC0-4FC8-8668-D700EA6C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2021-07-13T10:56:00Z</dcterms:created>
  <dcterms:modified xsi:type="dcterms:W3CDTF">2021-07-13T10:56:00Z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