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775D1D" w:rsidP="00775D1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Janvier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775D1D" w:rsidP="00775D1D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Janvier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775D1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775D1D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84690A">
        <w:rPr>
          <w:rFonts w:ascii="Times New Roman" w:eastAsia="Gulim" w:hAnsi="Times New Roman"/>
          <w:sz w:val="28"/>
          <w:szCs w:val="28"/>
        </w:rPr>
        <w:t>0,</w:t>
      </w:r>
      <w:r w:rsidR="00775D1D">
        <w:rPr>
          <w:rFonts w:ascii="Times New Roman" w:eastAsia="Gulim" w:hAnsi="Times New Roman"/>
          <w:sz w:val="28"/>
          <w:szCs w:val="28"/>
        </w:rPr>
        <w:t>5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0F7C3C">
        <w:rPr>
          <w:rFonts w:ascii="Times New Roman" w:eastAsia="Gulim" w:hAnsi="Times New Roman"/>
          <w:sz w:val="28"/>
          <w:szCs w:val="28"/>
        </w:rPr>
        <w:t>d</w:t>
      </w:r>
      <w:r w:rsidR="0084690A">
        <w:rPr>
          <w:rFonts w:ascii="Times New Roman" w:eastAsia="Gulim" w:hAnsi="Times New Roman"/>
          <w:sz w:val="28"/>
          <w:szCs w:val="28"/>
        </w:rPr>
        <w:t xml:space="preserve">e </w:t>
      </w:r>
      <w:r w:rsidR="00775D1D">
        <w:rPr>
          <w:rFonts w:ascii="Times New Roman" w:eastAsia="Gulim" w:hAnsi="Times New Roman"/>
          <w:sz w:val="28"/>
          <w:szCs w:val="28"/>
        </w:rPr>
        <w:t>Janvier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775D1D">
        <w:rPr>
          <w:rFonts w:ascii="Times New Roman" w:eastAsia="Gulim" w:hAnsi="Times New Roman"/>
          <w:sz w:val="28"/>
          <w:szCs w:val="28"/>
        </w:rPr>
        <w:t xml:space="preserve">hausse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84690A">
        <w:rPr>
          <w:rFonts w:ascii="Times New Roman" w:eastAsia="Gulim" w:hAnsi="Times New Roman"/>
          <w:sz w:val="28"/>
          <w:szCs w:val="28"/>
        </w:rPr>
        <w:t>0,</w:t>
      </w:r>
      <w:r w:rsidR="00775D1D">
        <w:rPr>
          <w:rFonts w:ascii="Times New Roman" w:eastAsia="Gulim" w:hAnsi="Times New Roman"/>
          <w:sz w:val="28"/>
          <w:szCs w:val="28"/>
        </w:rPr>
        <w:t>8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775D1D">
        <w:rPr>
          <w:rFonts w:ascii="Times New Roman" w:eastAsia="Gulim" w:hAnsi="Times New Roman"/>
          <w:sz w:val="28"/>
          <w:szCs w:val="28"/>
        </w:rPr>
        <w:t>2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775D1D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06305" w:rsidP="00775D1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79" y="21319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775D1D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821D8B">
        <w:rPr>
          <w:rFonts w:ascii="Times New Roman" w:eastAsia="Gulim" w:hAnsi="Times New Roman"/>
          <w:sz w:val="28"/>
          <w:szCs w:val="28"/>
        </w:rPr>
        <w:t xml:space="preserve">Décembre </w:t>
      </w:r>
      <w:r w:rsidR="008415F0">
        <w:rPr>
          <w:rFonts w:ascii="Times New Roman" w:eastAsia="Gulim" w:hAnsi="Times New Roman"/>
          <w:sz w:val="28"/>
          <w:szCs w:val="28"/>
        </w:rPr>
        <w:t>2021</w:t>
      </w:r>
      <w:r w:rsidR="00775D1D">
        <w:rPr>
          <w:rFonts w:ascii="Times New Roman" w:eastAsia="Gulim" w:hAnsi="Times New Roman"/>
          <w:sz w:val="28"/>
          <w:szCs w:val="28"/>
        </w:rPr>
        <w:t xml:space="preserve"> et janvier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775D1D">
        <w:rPr>
          <w:rFonts w:ascii="Times New Roman" w:eastAsia="Gulim" w:hAnsi="Times New Roman"/>
          <w:sz w:val="28"/>
          <w:szCs w:val="28"/>
        </w:rPr>
        <w:t>Pain et céréales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</w:t>
      </w:r>
      <w:r w:rsidR="00775D1D">
        <w:rPr>
          <w:rFonts w:ascii="Times New Roman" w:eastAsia="Gulim" w:hAnsi="Times New Roman"/>
          <w:sz w:val="28"/>
          <w:szCs w:val="28"/>
        </w:rPr>
        <w:t>3,6</w:t>
      </w:r>
      <w:r w:rsidR="0084690A">
        <w:rPr>
          <w:rFonts w:ascii="Times New Roman" w:eastAsia="Gulim" w:hAnsi="Times New Roman"/>
          <w:sz w:val="28"/>
          <w:szCs w:val="28"/>
        </w:rPr>
        <w:t>%</w:t>
      </w:r>
      <w:r w:rsidR="00775D1D">
        <w:rPr>
          <w:rFonts w:ascii="Times New Roman" w:eastAsia="Gulim" w:hAnsi="Times New Roman"/>
          <w:sz w:val="28"/>
          <w:szCs w:val="28"/>
        </w:rPr>
        <w:t xml:space="preserve"> et</w:t>
      </w:r>
      <w:r w:rsidR="0084690A">
        <w:rPr>
          <w:rFonts w:ascii="Times New Roman" w:eastAsia="Gulim" w:hAnsi="Times New Roman"/>
          <w:sz w:val="28"/>
          <w:szCs w:val="28"/>
        </w:rPr>
        <w:t xml:space="preserve"> </w:t>
      </w:r>
      <w:r w:rsidR="00841A88">
        <w:rPr>
          <w:rFonts w:ascii="Times New Roman" w:eastAsia="Gulim" w:hAnsi="Times New Roman"/>
          <w:sz w:val="28"/>
          <w:szCs w:val="28"/>
        </w:rPr>
        <w:t>le</w:t>
      </w:r>
      <w:r w:rsidR="00EF4875">
        <w:rPr>
          <w:rFonts w:ascii="Times New Roman" w:eastAsia="Gulim" w:hAnsi="Times New Roman"/>
          <w:sz w:val="28"/>
          <w:szCs w:val="28"/>
        </w:rPr>
        <w:t>s</w:t>
      </w:r>
      <w:r w:rsidR="00841A88">
        <w:rPr>
          <w:rFonts w:ascii="Times New Roman" w:eastAsia="Gulim" w:hAnsi="Times New Roman"/>
          <w:sz w:val="28"/>
          <w:szCs w:val="28"/>
        </w:rPr>
        <w:t xml:space="preserve">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775D1D">
        <w:rPr>
          <w:rFonts w:ascii="Times New Roman" w:eastAsia="Gulim" w:hAnsi="Times New Roman"/>
          <w:sz w:val="28"/>
          <w:szCs w:val="28"/>
        </w:rPr>
        <w:t>Huiles et graisses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775D1D">
        <w:rPr>
          <w:rFonts w:ascii="Times New Roman" w:eastAsia="Gulim" w:hAnsi="Times New Roman"/>
          <w:sz w:val="28"/>
          <w:szCs w:val="28"/>
        </w:rPr>
        <w:t>1,1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775D1D">
        <w:rPr>
          <w:rFonts w:ascii="Times New Roman" w:eastAsia="Gulim" w:hAnsi="Times New Roman"/>
          <w:sz w:val="28"/>
          <w:szCs w:val="28"/>
        </w:rPr>
        <w:t xml:space="preserve">. </w:t>
      </w:r>
      <w:r w:rsidR="00821D8B">
        <w:rPr>
          <w:rFonts w:ascii="Times New Roman" w:eastAsia="Gulim" w:hAnsi="Times New Roman"/>
          <w:sz w:val="28"/>
          <w:szCs w:val="28"/>
        </w:rPr>
        <w:t xml:space="preserve">Cette </w:t>
      </w:r>
      <w:r w:rsidR="00775D1D">
        <w:rPr>
          <w:rFonts w:ascii="Times New Roman" w:eastAsia="Gulim" w:hAnsi="Times New Roman"/>
          <w:sz w:val="28"/>
          <w:szCs w:val="28"/>
        </w:rPr>
        <w:t>hausse</w:t>
      </w:r>
      <w:r w:rsidR="00821D8B">
        <w:rPr>
          <w:rFonts w:ascii="Times New Roman" w:eastAsia="Gulim" w:hAnsi="Times New Roman"/>
          <w:sz w:val="28"/>
          <w:szCs w:val="28"/>
        </w:rPr>
        <w:t xml:space="preserve"> a été atténuée par la </w:t>
      </w:r>
      <w:r w:rsidR="00775D1D">
        <w:rPr>
          <w:rFonts w:ascii="Times New Roman" w:eastAsia="Gulim" w:hAnsi="Times New Roman"/>
          <w:sz w:val="28"/>
          <w:szCs w:val="28"/>
        </w:rPr>
        <w:t>baisses</w:t>
      </w:r>
      <w:r w:rsidR="00821D8B">
        <w:rPr>
          <w:rFonts w:ascii="Times New Roman" w:eastAsia="Gulim" w:hAnsi="Times New Roman"/>
          <w:sz w:val="28"/>
          <w:szCs w:val="28"/>
        </w:rPr>
        <w:t xml:space="preserve"> des prix des </w:t>
      </w:r>
      <w:r w:rsidR="00821D8B" w:rsidRPr="009C0D33">
        <w:rPr>
          <w:rFonts w:ascii="Times New Roman" w:eastAsia="Gulim" w:hAnsi="Times New Roman"/>
          <w:sz w:val="28"/>
          <w:szCs w:val="28"/>
        </w:rPr>
        <w:t>‘‘</w:t>
      </w:r>
      <w:r w:rsidR="00821D8B">
        <w:rPr>
          <w:rFonts w:ascii="Times New Roman" w:eastAsia="Gulim" w:hAnsi="Times New Roman"/>
          <w:sz w:val="28"/>
          <w:szCs w:val="28"/>
        </w:rPr>
        <w:t>Légumes</w:t>
      </w:r>
      <w:r w:rsidR="00821D8B" w:rsidRPr="009C0D33">
        <w:rPr>
          <w:rFonts w:ascii="Times New Roman" w:eastAsia="Gulim" w:hAnsi="Times New Roman"/>
          <w:sz w:val="28"/>
          <w:szCs w:val="28"/>
        </w:rPr>
        <w:t>’’</w:t>
      </w:r>
      <w:r w:rsidR="00821D8B">
        <w:rPr>
          <w:rFonts w:ascii="Times New Roman" w:eastAsia="Gulim" w:hAnsi="Times New Roman"/>
          <w:sz w:val="28"/>
          <w:szCs w:val="28"/>
        </w:rPr>
        <w:t xml:space="preserve"> avec </w:t>
      </w:r>
      <w:r w:rsidR="00775D1D">
        <w:rPr>
          <w:rFonts w:ascii="Times New Roman" w:eastAsia="Gulim" w:hAnsi="Times New Roman"/>
          <w:sz w:val="28"/>
          <w:szCs w:val="28"/>
        </w:rPr>
        <w:t>1,3</w:t>
      </w:r>
      <w:r w:rsidR="00821D8B">
        <w:rPr>
          <w:rFonts w:ascii="Times New Roman" w:eastAsia="Gulim" w:hAnsi="Times New Roman"/>
          <w:sz w:val="28"/>
          <w:szCs w:val="28"/>
        </w:rPr>
        <w:t>%</w:t>
      </w:r>
      <w:r w:rsidR="00FA5F92">
        <w:rPr>
          <w:rFonts w:ascii="Times New Roman" w:eastAsia="Gulim" w:hAnsi="Times New Roman"/>
          <w:sz w:val="28"/>
          <w:szCs w:val="28"/>
        </w:rPr>
        <w:t xml:space="preserve"> et des </w:t>
      </w:r>
      <w:r w:rsidR="00FA5F92" w:rsidRPr="009C0D33">
        <w:rPr>
          <w:rFonts w:ascii="Times New Roman" w:eastAsia="Gulim" w:hAnsi="Times New Roman"/>
          <w:sz w:val="28"/>
          <w:szCs w:val="28"/>
        </w:rPr>
        <w:t>‘‘</w:t>
      </w:r>
      <w:r w:rsidR="00775D1D">
        <w:rPr>
          <w:rFonts w:ascii="Times New Roman" w:eastAsia="Gulim" w:hAnsi="Times New Roman"/>
          <w:sz w:val="28"/>
          <w:szCs w:val="28"/>
        </w:rPr>
        <w:t>Viandes</w:t>
      </w:r>
      <w:r w:rsidR="00FA5F92">
        <w:rPr>
          <w:rFonts w:ascii="Times New Roman" w:eastAsia="Gulim" w:hAnsi="Times New Roman"/>
          <w:sz w:val="28"/>
          <w:szCs w:val="28"/>
        </w:rPr>
        <w:t xml:space="preserve"> </w:t>
      </w:r>
      <w:r w:rsidR="00FA5F92" w:rsidRPr="009C0D33">
        <w:rPr>
          <w:rFonts w:ascii="Times New Roman" w:eastAsia="Gulim" w:hAnsi="Times New Roman"/>
          <w:sz w:val="28"/>
          <w:szCs w:val="28"/>
        </w:rPr>
        <w:t>’’</w:t>
      </w:r>
      <w:r w:rsidR="00FA5F92">
        <w:rPr>
          <w:rFonts w:ascii="Times New Roman" w:eastAsia="Gulim" w:hAnsi="Times New Roman"/>
          <w:sz w:val="28"/>
          <w:szCs w:val="28"/>
        </w:rPr>
        <w:t xml:space="preserve"> avec </w:t>
      </w:r>
      <w:r w:rsidR="00775D1D">
        <w:rPr>
          <w:rFonts w:ascii="Times New Roman" w:eastAsia="Gulim" w:hAnsi="Times New Roman"/>
          <w:sz w:val="28"/>
          <w:szCs w:val="28"/>
        </w:rPr>
        <w:t>0,3</w:t>
      </w:r>
      <w:r w:rsidR="00FA5F92">
        <w:rPr>
          <w:rFonts w:ascii="Times New Roman" w:eastAsia="Gulim" w:hAnsi="Times New Roman"/>
          <w:sz w:val="28"/>
          <w:szCs w:val="28"/>
        </w:rPr>
        <w:t>%.</w:t>
      </w:r>
    </w:p>
    <w:p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775D1D" w:rsidRPr="001B6B04" w:rsidTr="00775D1D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Déc_2021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Janv_2022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775D1D" w:rsidRPr="001B6B04" w:rsidTr="00775D1D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5D1D" w:rsidRPr="008E7CC9" w:rsidRDefault="00775D1D" w:rsidP="00775D1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5D1D" w:rsidRPr="008E7CC9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5D1D" w:rsidRPr="008E7CC9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5D1D" w:rsidRPr="008E7CC9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775D1D" w:rsidRPr="008E7CC9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775D1D" w:rsidRPr="001B6B04" w:rsidTr="00775D1D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775D1D" w:rsidRPr="001B6B04" w:rsidTr="00775D1D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108,0</w:t>
            </w:r>
          </w:p>
        </w:tc>
        <w:tc>
          <w:tcPr>
            <w:tcW w:w="1559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775D1D" w:rsidRPr="001B6B04" w:rsidTr="00775D1D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93,6</w:t>
            </w:r>
          </w:p>
        </w:tc>
        <w:tc>
          <w:tcPr>
            <w:tcW w:w="1559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775D1D" w:rsidRPr="001B6B04" w:rsidTr="00775D1D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559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775D1D" w:rsidRPr="001B6B04" w:rsidTr="00775D1D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108,1</w:t>
            </w:r>
          </w:p>
        </w:tc>
        <w:tc>
          <w:tcPr>
            <w:tcW w:w="1559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775D1D" w:rsidRPr="001B6B04" w:rsidTr="00775D1D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559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775D1D" w:rsidRPr="001B6B04" w:rsidTr="00775D1D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102,7</w:t>
            </w:r>
          </w:p>
        </w:tc>
        <w:tc>
          <w:tcPr>
            <w:tcW w:w="1559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-1,3</w:t>
            </w:r>
          </w:p>
        </w:tc>
      </w:tr>
      <w:tr w:rsidR="00775D1D" w:rsidRPr="001B6B04" w:rsidTr="00775D1D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559" w:type="dxa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75D1D" w:rsidRPr="001B6B04" w:rsidTr="00775D1D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775D1D" w:rsidRPr="001B6B04" w:rsidTr="00775D1D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775D1D" w:rsidRPr="001B6B04" w:rsidTr="00775D1D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5D1D" w:rsidRPr="008E7CC9" w:rsidRDefault="00775D1D" w:rsidP="00775D1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5D1D" w:rsidRPr="008E7CC9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5D1D" w:rsidRPr="008E7CC9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5D1D" w:rsidRPr="008E7CC9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775D1D" w:rsidRPr="008E7CC9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775D1D" w:rsidRPr="001B6B04" w:rsidTr="00775D1D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75D1D" w:rsidRPr="001B6B04" w:rsidTr="00775D1D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3,4</w:t>
            </w:r>
          </w:p>
        </w:tc>
      </w:tr>
      <w:tr w:rsidR="00775D1D" w:rsidRPr="001B6B04" w:rsidTr="00775D1D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5D1D" w:rsidRPr="003109A6" w:rsidRDefault="00775D1D" w:rsidP="00775D1D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5D1D" w:rsidRPr="003109A6" w:rsidRDefault="00775D1D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104,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spacing w:val="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5D1D" w:rsidRPr="003109A6" w:rsidRDefault="004765E9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775D1D" w:rsidRPr="003109A6" w:rsidRDefault="004765E9" w:rsidP="00775D1D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</w:tbl>
    <w:p w:rsidR="00267A4B" w:rsidRDefault="00CC528C" w:rsidP="00CC528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Légère 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AD743E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AD743E">
        <w:rPr>
          <w:rFonts w:ascii="Times New Roman" w:eastAsia="Gulim" w:hAnsi="Times New Roman"/>
          <w:sz w:val="28"/>
          <w:szCs w:val="28"/>
        </w:rPr>
        <w:t xml:space="preserve">Décembre 2021 et Janvier 2022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3F136C" w:rsidRPr="009C0D33">
        <w:rPr>
          <w:rFonts w:ascii="Times New Roman" w:eastAsia="Gulim" w:hAnsi="Times New Roman"/>
          <w:sz w:val="28"/>
          <w:szCs w:val="28"/>
        </w:rPr>
        <w:t>‘‘</w:t>
      </w:r>
      <w:r w:rsidR="00AD743E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3F136C" w:rsidRPr="00391850">
        <w:rPr>
          <w:rFonts w:ascii="Times New Roman" w:eastAsia="Gulim" w:hAnsi="Times New Roman"/>
          <w:sz w:val="28"/>
          <w:szCs w:val="28"/>
        </w:rPr>
        <w:t>’’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3F136C">
        <w:rPr>
          <w:rFonts w:ascii="Times New Roman" w:eastAsia="Gulim" w:hAnsi="Times New Roman"/>
          <w:sz w:val="28"/>
          <w:szCs w:val="28"/>
        </w:rPr>
        <w:t xml:space="preserve"> </w:t>
      </w:r>
      <w:r w:rsidR="00AD743E">
        <w:rPr>
          <w:rFonts w:ascii="Times New Roman" w:eastAsia="Gulim" w:hAnsi="Times New Roman"/>
          <w:sz w:val="28"/>
          <w:szCs w:val="28"/>
        </w:rPr>
        <w:t>0,6</w:t>
      </w:r>
      <w:r w:rsidR="003F136C">
        <w:rPr>
          <w:rFonts w:ascii="Times New Roman" w:eastAsia="Gulim" w:hAnsi="Times New Roman"/>
          <w:sz w:val="28"/>
          <w:szCs w:val="28"/>
        </w:rPr>
        <w:t xml:space="preserve">% et </w:t>
      </w:r>
      <w:r w:rsidR="000B114D">
        <w:rPr>
          <w:rFonts w:ascii="Times New Roman" w:eastAsia="Gulim" w:hAnsi="Times New Roman"/>
          <w:sz w:val="28"/>
          <w:szCs w:val="28"/>
        </w:rPr>
        <w:t>l</w:t>
      </w:r>
      <w:r w:rsidR="00D95E93">
        <w:rPr>
          <w:rFonts w:ascii="Times New Roman" w:eastAsia="Gulim" w:hAnsi="Times New Roman"/>
          <w:sz w:val="28"/>
          <w:szCs w:val="28"/>
        </w:rPr>
        <w:t xml:space="preserve">es </w:t>
      </w:r>
      <w:r w:rsidR="000B114D" w:rsidRPr="009C0D33">
        <w:rPr>
          <w:rFonts w:ascii="Times New Roman" w:eastAsia="Gulim" w:hAnsi="Times New Roman"/>
          <w:sz w:val="28"/>
          <w:szCs w:val="28"/>
        </w:rPr>
        <w:t>‘‘</w:t>
      </w:r>
      <w:r w:rsidR="00AD743E">
        <w:rPr>
          <w:rFonts w:ascii="Times New Roman" w:eastAsia="Gulim" w:hAnsi="Times New Roman"/>
          <w:sz w:val="28"/>
          <w:szCs w:val="28"/>
        </w:rPr>
        <w:t>Carburants et lubrifiants</w:t>
      </w:r>
      <w:r w:rsidR="000B114D" w:rsidRPr="00391850">
        <w:rPr>
          <w:rFonts w:ascii="Times New Roman" w:eastAsia="Gulim" w:hAnsi="Times New Roman"/>
          <w:sz w:val="28"/>
          <w:szCs w:val="28"/>
        </w:rPr>
        <w:t>’’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D74CEC">
        <w:rPr>
          <w:rFonts w:ascii="Times New Roman" w:eastAsia="Gulim" w:hAnsi="Times New Roman"/>
          <w:sz w:val="28"/>
          <w:szCs w:val="28"/>
        </w:rPr>
        <w:t>avec</w:t>
      </w:r>
      <w:r w:rsidR="000B114D">
        <w:rPr>
          <w:rFonts w:ascii="Times New Roman" w:eastAsia="Gulim" w:hAnsi="Times New Roman"/>
          <w:sz w:val="28"/>
          <w:szCs w:val="28"/>
        </w:rPr>
        <w:t xml:space="preserve"> </w:t>
      </w:r>
      <w:r w:rsidR="00B1068F">
        <w:rPr>
          <w:rFonts w:ascii="Times New Roman" w:eastAsia="Gulim" w:hAnsi="Times New Roman"/>
          <w:sz w:val="28"/>
          <w:szCs w:val="28"/>
        </w:rPr>
        <w:t>0,</w:t>
      </w:r>
      <w:r w:rsidR="00AD743E">
        <w:rPr>
          <w:rFonts w:ascii="Times New Roman" w:eastAsia="Gulim" w:hAnsi="Times New Roman"/>
          <w:sz w:val="28"/>
          <w:szCs w:val="28"/>
        </w:rPr>
        <w:t>9</w:t>
      </w:r>
      <w:r w:rsidR="000B114D">
        <w:rPr>
          <w:rFonts w:ascii="Times New Roman" w:eastAsia="Gulim" w:hAnsi="Times New Roman"/>
          <w:sz w:val="28"/>
          <w:szCs w:val="28"/>
        </w:rPr>
        <w:t>%</w:t>
      </w:r>
      <w:r w:rsidR="00AD743E">
        <w:rPr>
          <w:rFonts w:ascii="Times New Roman" w:eastAsia="Gulim" w:hAnsi="Times New Roman"/>
          <w:sz w:val="28"/>
          <w:szCs w:val="28"/>
        </w:rPr>
        <w:t>.</w:t>
      </w:r>
    </w:p>
    <w:p w:rsidR="002D2B32" w:rsidRDefault="00AD743E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7F24E060" wp14:editId="3219E73D">
            <wp:extent cx="5410200" cy="270510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7" w:type="pct"/>
        <w:jc w:val="center"/>
        <w:tblLayout w:type="fixed"/>
        <w:tblLook w:val="00A0" w:firstRow="1" w:lastRow="0" w:firstColumn="1" w:lastColumn="0" w:noHBand="0" w:noVBand="0"/>
      </w:tblPr>
      <w:tblGrid>
        <w:gridCol w:w="3122"/>
        <w:gridCol w:w="989"/>
        <w:gridCol w:w="1284"/>
        <w:gridCol w:w="1413"/>
        <w:gridCol w:w="1274"/>
        <w:gridCol w:w="1558"/>
      </w:tblGrid>
      <w:tr w:rsidR="00706485" w:rsidRPr="004E0DA4" w:rsidTr="001C120B">
        <w:trPr>
          <w:trHeight w:val="528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06485" w:rsidRPr="00410DEC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Déc_2021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06485" w:rsidRPr="00410DEC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Janv_2022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706485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706485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706485" w:rsidRPr="004E0DA4" w:rsidTr="001C120B">
        <w:trPr>
          <w:trHeight w:val="531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105,1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706485" w:rsidRPr="004E0DA4" w:rsidTr="001C120B">
        <w:trPr>
          <w:trHeight w:val="539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107,6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706485" w:rsidRPr="00534BE7" w:rsidTr="001C120B">
        <w:trPr>
          <w:trHeight w:val="555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106,3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706485" w:rsidRPr="004E0DA4" w:rsidTr="001C120B">
        <w:trPr>
          <w:trHeight w:val="563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706485" w:rsidRPr="004E0DA4" w:rsidTr="001C120B">
        <w:trPr>
          <w:trHeight w:val="691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706485" w:rsidRPr="004E0DA4" w:rsidTr="001C120B">
        <w:trPr>
          <w:trHeight w:val="416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706485" w:rsidRPr="004E0DA4" w:rsidTr="001C120B">
        <w:trPr>
          <w:trHeight w:val="417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6,7</w:t>
            </w:r>
          </w:p>
        </w:tc>
      </w:tr>
      <w:tr w:rsidR="00706485" w:rsidRPr="004E0DA4" w:rsidTr="001C120B">
        <w:trPr>
          <w:trHeight w:val="453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706485" w:rsidRPr="004E0DA4" w:rsidTr="001C120B">
        <w:trPr>
          <w:trHeight w:val="391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4,4</w:t>
            </w:r>
          </w:p>
        </w:tc>
      </w:tr>
      <w:tr w:rsidR="00706485" w:rsidRPr="004E0DA4" w:rsidTr="001C120B">
        <w:trPr>
          <w:trHeight w:val="343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706485" w:rsidRPr="004E0DA4" w:rsidTr="001C120B">
        <w:trPr>
          <w:trHeight w:val="336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706485" w:rsidRPr="004E0DA4" w:rsidTr="001C120B">
        <w:trPr>
          <w:trHeight w:val="370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115,0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E0DA4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4101EA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 w:rsidRPr="004101EA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9,7</w:t>
            </w:r>
          </w:p>
        </w:tc>
      </w:tr>
      <w:tr w:rsidR="00706485" w:rsidRPr="004E0DA4" w:rsidTr="001C120B">
        <w:trPr>
          <w:trHeight w:val="401"/>
          <w:jc w:val="center"/>
        </w:trPr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706485" w:rsidP="00AD743E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106,2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Pr="005E0AD7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485" w:rsidRDefault="00706485" w:rsidP="00AD743E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</w:tbl>
    <w:p w:rsidR="001D5B7A" w:rsidRDefault="001D5B7A" w:rsidP="00ED2C0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En glissement annuel, les prix à la consommation sont en hausse de 3,</w:t>
      </w:r>
      <w:r w:rsidR="00ED2C05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7001F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>
        <w:rPr>
          <w:rFonts w:ascii="Times New Roman" w:eastAsia="Gulim" w:hAnsi="Times New Roman"/>
          <w:sz w:val="28"/>
          <w:szCs w:val="28"/>
        </w:rPr>
        <w:t>3,</w:t>
      </w:r>
      <w:r w:rsidR="00ED2C05">
        <w:rPr>
          <w:rFonts w:ascii="Times New Roman" w:eastAsia="Gulim" w:hAnsi="Times New Roman"/>
          <w:sz w:val="28"/>
          <w:szCs w:val="28"/>
        </w:rPr>
        <w:t>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3,8%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3,5%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7001FC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17673D31" wp14:editId="17AF21E6">
            <wp:extent cx="5543550" cy="3228975"/>
            <wp:effectExtent l="0" t="0" r="0" b="952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10304" w:rsidRDefault="00E10304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E10304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Janvier 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>a connu une stagnation en glissement mensuel et une hausse de 3,1%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E1030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de l’IPC a été inégale allant d’une baisse de 1,2% à Safi à une hausse de 0,5% à Casablanca</w:t>
      </w:r>
      <w:r w:rsidR="007A0660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90" w:rsidRDefault="00935290">
      <w:r>
        <w:separator/>
      </w:r>
    </w:p>
    <w:p w:rsidR="00935290" w:rsidRDefault="00935290"/>
  </w:endnote>
  <w:endnote w:type="continuationSeparator" w:id="0">
    <w:p w:rsidR="00935290" w:rsidRDefault="00935290">
      <w:r>
        <w:continuationSeparator/>
      </w:r>
    </w:p>
    <w:p w:rsidR="00935290" w:rsidRDefault="00935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3B79C7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3B79C7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90" w:rsidRDefault="00935290">
      <w:r>
        <w:separator/>
      </w:r>
    </w:p>
    <w:p w:rsidR="00935290" w:rsidRDefault="00935290"/>
  </w:footnote>
  <w:footnote w:type="continuationSeparator" w:id="0">
    <w:p w:rsidR="00935290" w:rsidRDefault="00935290">
      <w:r>
        <w:continuationSeparator/>
      </w:r>
    </w:p>
    <w:p w:rsidR="00935290" w:rsidRDefault="00935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isplayBackgroundShape/>
  <w:hideSpellingErrors/>
  <w:hideGrammaticalErrors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B79C7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485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290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9C1"/>
    <w:rsid w:val="00AD6BD7"/>
    <w:rsid w:val="00AD733C"/>
    <w:rsid w:val="00AD743E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1_2022\01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1_2022\01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Janvier 2021_Janvier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8002846475176515E-2"/>
          <c:y val="0.16946564885496182"/>
          <c:w val="0.90617555728069199"/>
          <c:h val="0.73956682895554082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0.2</c:v>
                </c:pt>
                <c:pt idx="1">
                  <c:v>-0.1</c:v>
                </c:pt>
                <c:pt idx="2">
                  <c:v>0</c:v>
                </c:pt>
                <c:pt idx="3">
                  <c:v>1.1000000000000001</c:v>
                </c:pt>
                <c:pt idx="4">
                  <c:v>0.3</c:v>
                </c:pt>
                <c:pt idx="5">
                  <c:v>-0.7</c:v>
                </c:pt>
                <c:pt idx="6">
                  <c:v>0.7</c:v>
                </c:pt>
                <c:pt idx="7">
                  <c:v>-0.1</c:v>
                </c:pt>
                <c:pt idx="8">
                  <c:v>0.7</c:v>
                </c:pt>
                <c:pt idx="9">
                  <c:v>1</c:v>
                </c:pt>
                <c:pt idx="10">
                  <c:v>0.4</c:v>
                </c:pt>
                <c:pt idx="11">
                  <c:v>-0.1</c:v>
                </c:pt>
                <c:pt idx="12">
                  <c:v>0.5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3D21-4155-90DA-A03E03C2CDD5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44197</c:v>
                </c:pt>
                <c:pt idx="1">
                  <c:v>44228</c:v>
                </c:pt>
                <c:pt idx="2">
                  <c:v>44256</c:v>
                </c:pt>
                <c:pt idx="3">
                  <c:v>44287</c:v>
                </c:pt>
                <c:pt idx="4">
                  <c:v>44317</c:v>
                </c:pt>
                <c:pt idx="5">
                  <c:v>44348</c:v>
                </c:pt>
                <c:pt idx="6">
                  <c:v>44378</c:v>
                </c:pt>
                <c:pt idx="7">
                  <c:v>44409</c:v>
                </c:pt>
                <c:pt idx="8">
                  <c:v>44440</c:v>
                </c:pt>
                <c:pt idx="9">
                  <c:v>44470</c:v>
                </c:pt>
                <c:pt idx="10">
                  <c:v>44501</c:v>
                </c:pt>
                <c:pt idx="11">
                  <c:v>44531</c:v>
                </c:pt>
                <c:pt idx="12">
                  <c:v>44562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1.2</c:v>
                </c:pt>
                <c:pt idx="4">
                  <c:v>0.3</c:v>
                </c:pt>
                <c:pt idx="5">
                  <c:v>-0.7</c:v>
                </c:pt>
                <c:pt idx="6">
                  <c:v>0.4</c:v>
                </c:pt>
                <c:pt idx="7">
                  <c:v>0</c:v>
                </c:pt>
                <c:pt idx="8">
                  <c:v>0.7</c:v>
                </c:pt>
                <c:pt idx="9">
                  <c:v>0.7</c:v>
                </c:pt>
                <c:pt idx="10">
                  <c:v>0.2</c:v>
                </c:pt>
                <c:pt idx="11">
                  <c:v>0.1</c:v>
                </c:pt>
                <c:pt idx="12">
                  <c:v>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3D21-4155-90DA-A03E03C2CD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226944"/>
        <c:axId val="310227272"/>
      </c:lineChart>
      <c:dateAx>
        <c:axId val="3102269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7272"/>
        <c:crosses val="autoZero"/>
        <c:auto val="1"/>
        <c:lblOffset val="100"/>
        <c:baseTimeUnit val="months"/>
      </c:dateAx>
      <c:valAx>
        <c:axId val="31022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Feuil9!$B$62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Feuil9!$A$63:$A$111</c:f>
              <c:numCache>
                <c:formatCode>mmm\-yy</c:formatCode>
                <c:ptCount val="4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</c:numCache>
            </c:numRef>
          </c:cat>
          <c:val>
            <c:numRef>
              <c:f>Feuil9!$B$63:$B$111</c:f>
              <c:numCache>
                <c:formatCode>General</c:formatCode>
                <c:ptCount val="49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D95-42D6-9D43-7E6104DCCC72}"/>
            </c:ext>
          </c:extLst>
        </c:ser>
        <c:ser>
          <c:idx val="1"/>
          <c:order val="1"/>
          <c:tx>
            <c:strRef>
              <c:f>Feuil9!$C$62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Feuil9!$A$63:$A$111</c:f>
              <c:numCache>
                <c:formatCode>mmm\-yy</c:formatCode>
                <c:ptCount val="4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</c:numCache>
            </c:numRef>
          </c:cat>
          <c:val>
            <c:numRef>
              <c:f>Feuil9!$C$63:$C$111</c:f>
              <c:numCache>
                <c:formatCode>General</c:formatCode>
                <c:ptCount val="49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D95-42D6-9D43-7E6104DCCC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6207224"/>
        <c:axId val="296207552"/>
      </c:lineChart>
      <c:dateAx>
        <c:axId val="29620722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96207552"/>
        <c:crosses val="autoZero"/>
        <c:auto val="1"/>
        <c:lblOffset val="100"/>
        <c:baseTimeUnit val="months"/>
      </c:dateAx>
      <c:valAx>
        <c:axId val="29620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96207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4F3069-58FE-490C-8061-197CF913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2022-04-07T12:15:00Z</dcterms:created>
  <dcterms:modified xsi:type="dcterms:W3CDTF">2022-04-07T12:15:00Z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