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2110C7" w:rsidP="006B51E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Octobre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2110C7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2110C7">
        <w:rPr>
          <w:rFonts w:ascii="Times New Roman" w:eastAsia="Gulim" w:hAnsi="Times New Roman"/>
          <w:b/>
          <w:bCs/>
          <w:sz w:val="28"/>
          <w:szCs w:val="28"/>
        </w:rPr>
        <w:t>Octobre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2110C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2110C7">
        <w:rPr>
          <w:rFonts w:ascii="Times New Roman" w:eastAsia="Gulim" w:hAnsi="Times New Roman"/>
          <w:sz w:val="28"/>
          <w:szCs w:val="28"/>
        </w:rPr>
        <w:t>0,8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d’Octobre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14DCE">
        <w:rPr>
          <w:rFonts w:ascii="Times New Roman" w:eastAsia="Gulim" w:hAnsi="Times New Roman"/>
          <w:sz w:val="28"/>
          <w:szCs w:val="28"/>
        </w:rPr>
        <w:t>1</w:t>
      </w:r>
      <w:r w:rsidR="00F729EB">
        <w:rPr>
          <w:rFonts w:ascii="Times New Roman" w:eastAsia="Gulim" w:hAnsi="Times New Roman"/>
          <w:sz w:val="28"/>
          <w:szCs w:val="28"/>
        </w:rPr>
        <w:t>,</w:t>
      </w:r>
      <w:r w:rsidR="002110C7">
        <w:rPr>
          <w:rFonts w:ascii="Times New Roman" w:eastAsia="Gulim" w:hAnsi="Times New Roman"/>
          <w:sz w:val="28"/>
          <w:szCs w:val="28"/>
        </w:rPr>
        <w:t>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de 0,</w:t>
      </w:r>
      <w:r w:rsidR="002110C7">
        <w:rPr>
          <w:rFonts w:ascii="Times New Roman" w:eastAsia="Gulim" w:hAnsi="Times New Roman"/>
          <w:sz w:val="28"/>
          <w:szCs w:val="28"/>
        </w:rPr>
        <w:t>3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2110C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110C7">
        <w:rPr>
          <w:rFonts w:ascii="Times New Roman" w:eastAsia="Gulim" w:hAnsi="Times New Roman"/>
          <w:sz w:val="28"/>
          <w:szCs w:val="28"/>
        </w:rPr>
        <w:t>Septembre</w:t>
      </w:r>
      <w:r w:rsidR="00A3432F">
        <w:rPr>
          <w:rFonts w:ascii="Times New Roman" w:eastAsia="Gulim" w:hAnsi="Times New Roman"/>
          <w:sz w:val="28"/>
          <w:szCs w:val="28"/>
        </w:rPr>
        <w:t xml:space="preserve"> et </w:t>
      </w:r>
      <w:r w:rsidR="002110C7">
        <w:rPr>
          <w:rFonts w:ascii="Times New Roman" w:eastAsia="Gulim" w:hAnsi="Times New Roman"/>
          <w:sz w:val="28"/>
          <w:szCs w:val="28"/>
        </w:rPr>
        <w:t>Octobre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391836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A3432F">
        <w:rPr>
          <w:rFonts w:ascii="Times New Roman" w:eastAsia="Gulim" w:hAnsi="Times New Roman"/>
          <w:sz w:val="28"/>
          <w:szCs w:val="28"/>
        </w:rPr>
        <w:t>8,</w:t>
      </w:r>
      <w:r w:rsidR="002110C7">
        <w:rPr>
          <w:rFonts w:ascii="Times New Roman" w:eastAsia="Gulim" w:hAnsi="Times New Roman"/>
          <w:sz w:val="28"/>
          <w:szCs w:val="28"/>
        </w:rPr>
        <w:t>0</w:t>
      </w:r>
      <w:r w:rsidR="00391836">
        <w:rPr>
          <w:rFonts w:ascii="Times New Roman" w:eastAsia="Gulim" w:hAnsi="Times New Roman"/>
          <w:sz w:val="28"/>
          <w:szCs w:val="28"/>
        </w:rPr>
        <w:t xml:space="preserve">%, </w:t>
      </w:r>
      <w:r w:rsidR="002110C7">
        <w:rPr>
          <w:rFonts w:ascii="Times New Roman" w:eastAsia="Gulim" w:hAnsi="Times New Roman"/>
          <w:sz w:val="28"/>
          <w:szCs w:val="28"/>
        </w:rPr>
        <w:t xml:space="preserve">les </w:t>
      </w:r>
      <w:r w:rsidR="009F0841" w:rsidRPr="009C0D33">
        <w:rPr>
          <w:rFonts w:ascii="Times New Roman" w:eastAsia="Gulim" w:hAnsi="Times New Roman"/>
          <w:sz w:val="28"/>
          <w:szCs w:val="28"/>
        </w:rPr>
        <w:t>‘‘</w:t>
      </w:r>
      <w:r w:rsidR="002110C7">
        <w:rPr>
          <w:rFonts w:ascii="Times New Roman" w:eastAsia="Gulim" w:hAnsi="Times New Roman"/>
          <w:sz w:val="28"/>
          <w:szCs w:val="28"/>
        </w:rPr>
        <w:t>Fruits</w:t>
      </w:r>
      <w:r w:rsidR="009F0841" w:rsidRPr="009C0D33">
        <w:rPr>
          <w:rFonts w:ascii="Times New Roman" w:eastAsia="Gulim" w:hAnsi="Times New Roman"/>
          <w:sz w:val="28"/>
          <w:szCs w:val="28"/>
        </w:rPr>
        <w:t>’’</w:t>
      </w:r>
      <w:r w:rsidR="002110C7">
        <w:rPr>
          <w:rFonts w:ascii="Times New Roman" w:eastAsia="Gulim" w:hAnsi="Times New Roman"/>
          <w:sz w:val="28"/>
          <w:szCs w:val="28"/>
        </w:rPr>
        <w:t xml:space="preserve"> avec 4,3% et 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2110C7">
        <w:rPr>
          <w:rFonts w:ascii="Times New Roman" w:eastAsia="Gulim" w:hAnsi="Times New Roman"/>
          <w:sz w:val="28"/>
          <w:szCs w:val="28"/>
        </w:rPr>
        <w:t>Huiles et graisses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2110C7">
        <w:rPr>
          <w:rFonts w:ascii="Times New Roman" w:eastAsia="Gulim" w:hAnsi="Times New Roman"/>
          <w:sz w:val="28"/>
          <w:szCs w:val="28"/>
        </w:rPr>
        <w:t>2,8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2110C7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A3432F">
        <w:rPr>
          <w:rFonts w:ascii="Times New Roman" w:eastAsia="Gulim" w:hAnsi="Times New Roman"/>
          <w:sz w:val="28"/>
          <w:szCs w:val="28"/>
        </w:rPr>
        <w:t>es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2110C7">
        <w:rPr>
          <w:rFonts w:ascii="Times New Roman" w:eastAsia="Gulim" w:hAnsi="Times New Roman"/>
          <w:sz w:val="28"/>
          <w:szCs w:val="28"/>
        </w:rPr>
        <w:t>Poissons et fruits de mer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2110C7">
        <w:rPr>
          <w:rFonts w:ascii="Times New Roman" w:eastAsia="Gulim" w:hAnsi="Times New Roman"/>
          <w:sz w:val="28"/>
          <w:szCs w:val="28"/>
        </w:rPr>
        <w:t>1,0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391836">
        <w:rPr>
          <w:rFonts w:ascii="Times New Roman" w:eastAsia="Gulim" w:hAnsi="Times New Roman"/>
          <w:sz w:val="28"/>
          <w:szCs w:val="28"/>
        </w:rPr>
        <w:t>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2110C7" w:rsidRPr="001B6B04" w:rsidTr="002110C7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Sept_2022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110C7" w:rsidRPr="001B6B04" w:rsidTr="002110C7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110C7" w:rsidRPr="008E7CC9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2110C7" w:rsidRPr="001B6B04" w:rsidTr="002110C7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110C7" w:rsidRPr="001B6B04" w:rsidTr="002110C7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110C7" w:rsidRPr="001B6B04" w:rsidTr="002110C7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2110C7" w:rsidRPr="001B6B04" w:rsidTr="002110C7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2110C7" w:rsidRPr="001B6B04" w:rsidTr="002110C7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134,0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2110C7" w:rsidRPr="001B6B04" w:rsidTr="002110C7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2110C7" w:rsidRPr="001B6B04" w:rsidTr="002110C7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8,0</w:t>
            </w:r>
          </w:p>
        </w:tc>
      </w:tr>
      <w:tr w:rsidR="002110C7" w:rsidRPr="001B6B04" w:rsidTr="002110C7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843" w:type="dxa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110C7" w:rsidRPr="001B6B04" w:rsidTr="002110C7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2110C7" w:rsidRPr="001B6B04" w:rsidTr="002110C7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2110C7" w:rsidRPr="001B6B04" w:rsidTr="002110C7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110C7" w:rsidRPr="008E7CC9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110C7" w:rsidRPr="008E7CC9" w:rsidRDefault="00E02D48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110C7" w:rsidRPr="001B6B04" w:rsidTr="002110C7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110C7" w:rsidRPr="003109A6" w:rsidRDefault="00E02D48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110C7" w:rsidRPr="001B6B04" w:rsidTr="002110C7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110C7" w:rsidRPr="003109A6" w:rsidRDefault="00E02D48" w:rsidP="002110C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110C7" w:rsidRPr="001B6B04" w:rsidTr="002110C7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2110C7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110C7" w:rsidRPr="003109A6" w:rsidRDefault="00A36CAA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110C7" w:rsidRPr="003109A6" w:rsidRDefault="00E02D48" w:rsidP="002110C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</w:tbl>
    <w:p w:rsidR="00267A4B" w:rsidRDefault="00AF3612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1F6F9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852BA4">
        <w:rPr>
          <w:rFonts w:ascii="Times New Roman" w:eastAsia="Gulim" w:hAnsi="Times New Roman"/>
          <w:sz w:val="28"/>
          <w:szCs w:val="28"/>
        </w:rPr>
        <w:t>Septembre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 xml:space="preserve">et </w:t>
      </w:r>
      <w:r w:rsidR="00852BA4">
        <w:rPr>
          <w:rFonts w:ascii="Times New Roman" w:eastAsia="Gulim" w:hAnsi="Times New Roman"/>
          <w:sz w:val="28"/>
          <w:szCs w:val="28"/>
        </w:rPr>
        <w:t>Octobre</w:t>
      </w:r>
      <w:r w:rsidR="009F1291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852BA4">
        <w:rPr>
          <w:rFonts w:ascii="Times New Roman" w:eastAsia="Gulim" w:hAnsi="Times New Roman"/>
          <w:sz w:val="28"/>
          <w:szCs w:val="28"/>
        </w:rPr>
        <w:t>Articles d’habillements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avec 0</w:t>
      </w:r>
      <w:r w:rsidR="00DC423B">
        <w:rPr>
          <w:rFonts w:ascii="Times New Roman" w:eastAsia="Gulim" w:hAnsi="Times New Roman"/>
          <w:sz w:val="28"/>
          <w:szCs w:val="28"/>
        </w:rPr>
        <w:t>,</w:t>
      </w:r>
      <w:r w:rsidR="00852BA4">
        <w:rPr>
          <w:rFonts w:ascii="Times New Roman" w:eastAsia="Gulim" w:hAnsi="Times New Roman"/>
          <w:sz w:val="28"/>
          <w:szCs w:val="28"/>
        </w:rPr>
        <w:t>6</w:t>
      </w:r>
      <w:r w:rsidR="000F370D">
        <w:rPr>
          <w:rFonts w:ascii="Times New Roman" w:eastAsia="Gulim" w:hAnsi="Times New Roman"/>
          <w:sz w:val="28"/>
          <w:szCs w:val="28"/>
        </w:rPr>
        <w:t xml:space="preserve">%, </w:t>
      </w:r>
      <w:r w:rsidR="00852BA4">
        <w:rPr>
          <w:rFonts w:ascii="Times New Roman" w:eastAsia="Gulim" w:hAnsi="Times New Roman"/>
          <w:sz w:val="28"/>
          <w:szCs w:val="28"/>
        </w:rPr>
        <w:t>l</w:t>
      </w:r>
      <w:r w:rsidR="001F6F90">
        <w:rPr>
          <w:rFonts w:ascii="Times New Roman" w:eastAsia="Gulim" w:hAnsi="Times New Roman"/>
          <w:sz w:val="28"/>
          <w:szCs w:val="28"/>
        </w:rPr>
        <w:t>’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1F6F90">
        <w:rPr>
          <w:rFonts w:ascii="Times New Roman" w:eastAsia="Gulim" w:hAnsi="Times New Roman"/>
          <w:sz w:val="28"/>
          <w:szCs w:val="28"/>
        </w:rPr>
        <w:t>Enseignement préélémentaire et primaire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1F6F90">
        <w:rPr>
          <w:rFonts w:ascii="Times New Roman" w:eastAsia="Gulim" w:hAnsi="Times New Roman"/>
          <w:sz w:val="28"/>
          <w:szCs w:val="28"/>
        </w:rPr>
        <w:t xml:space="preserve"> privé </w:t>
      </w:r>
      <w:r w:rsidR="00852BA4">
        <w:rPr>
          <w:rFonts w:ascii="Times New Roman" w:eastAsia="Gulim" w:hAnsi="Times New Roman"/>
          <w:sz w:val="28"/>
          <w:szCs w:val="28"/>
        </w:rPr>
        <w:t xml:space="preserve">avec </w:t>
      </w:r>
      <w:r w:rsidR="001F6F90">
        <w:rPr>
          <w:rFonts w:ascii="Times New Roman" w:eastAsia="Gulim" w:hAnsi="Times New Roman"/>
          <w:sz w:val="28"/>
          <w:szCs w:val="28"/>
        </w:rPr>
        <w:t>3,6</w:t>
      </w:r>
      <w:r w:rsidR="00852BA4">
        <w:rPr>
          <w:rFonts w:ascii="Times New Roman" w:eastAsia="Gulim" w:hAnsi="Times New Roman"/>
          <w:sz w:val="28"/>
          <w:szCs w:val="28"/>
        </w:rPr>
        <w:t>%</w:t>
      </w:r>
      <w:r w:rsidR="00DC423B">
        <w:rPr>
          <w:rFonts w:ascii="Times New Roman" w:eastAsia="Gulim" w:hAnsi="Times New Roman"/>
          <w:sz w:val="28"/>
          <w:szCs w:val="28"/>
        </w:rPr>
        <w:t xml:space="preserve"> et 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DC423B">
        <w:rPr>
          <w:rFonts w:ascii="Times New Roman" w:eastAsia="Gulim" w:hAnsi="Times New Roman"/>
          <w:sz w:val="28"/>
          <w:szCs w:val="28"/>
        </w:rPr>
        <w:t>Matériel de téléphonie et de photocopie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DC423B">
        <w:rPr>
          <w:rFonts w:ascii="Times New Roman" w:eastAsia="Gulim" w:hAnsi="Times New Roman"/>
          <w:sz w:val="28"/>
          <w:szCs w:val="28"/>
        </w:rPr>
        <w:t xml:space="preserve"> avec 1,5% contre une baisse des prix des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9F1291">
        <w:rPr>
          <w:rFonts w:ascii="Times New Roman" w:eastAsia="Gulim" w:hAnsi="Times New Roman"/>
          <w:sz w:val="28"/>
          <w:szCs w:val="28"/>
        </w:rPr>
        <w:t>1,</w:t>
      </w:r>
      <w:r w:rsidR="00DC423B">
        <w:rPr>
          <w:rFonts w:ascii="Times New Roman" w:eastAsia="Gulim" w:hAnsi="Times New Roman"/>
          <w:sz w:val="28"/>
          <w:szCs w:val="28"/>
        </w:rPr>
        <w:t>3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DC423B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4F5C65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504CD94" wp14:editId="58D78E0C">
            <wp:extent cx="5438775" cy="218122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2E6F28" w:rsidRPr="004E0DA4" w:rsidTr="002E6F28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E6F28" w:rsidRPr="005A6F02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_2022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E6F28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Octobre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2E6F28" w:rsidRPr="005A6F02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E6F28" w:rsidRPr="005A6F02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2E6F28" w:rsidRPr="005A6F02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2E6F28" w:rsidRPr="004E0DA4" w:rsidTr="002E6F28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13,9</w:t>
            </w:r>
          </w:p>
        </w:tc>
      </w:tr>
      <w:tr w:rsidR="002E6F28" w:rsidRPr="004E0DA4" w:rsidTr="002E6F28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2E6F28" w:rsidRPr="00534BE7" w:rsidTr="002E6F28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4,7</w:t>
            </w:r>
          </w:p>
        </w:tc>
      </w:tr>
      <w:tr w:rsidR="002E6F28" w:rsidRPr="004E0DA4" w:rsidTr="002E6F28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2E6F28" w:rsidRPr="004E0DA4" w:rsidTr="002E6F28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8,2</w:t>
            </w:r>
          </w:p>
        </w:tc>
      </w:tr>
      <w:tr w:rsidR="002E6F28" w:rsidRPr="004E0DA4" w:rsidTr="002E6F28">
        <w:trPr>
          <w:trHeight w:val="41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E6F28" w:rsidRPr="004E0DA4" w:rsidTr="002E6F28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14,0</w:t>
            </w:r>
          </w:p>
        </w:tc>
      </w:tr>
      <w:tr w:rsidR="002E6F28" w:rsidRPr="004E0DA4" w:rsidTr="002E6F28">
        <w:trPr>
          <w:trHeight w:val="45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2E6F28" w:rsidRPr="004E0DA4" w:rsidTr="002E6F28">
        <w:trPr>
          <w:trHeight w:val="38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6,2</w:t>
            </w:r>
          </w:p>
        </w:tc>
      </w:tr>
      <w:tr w:rsidR="002E6F28" w:rsidRPr="004E0DA4" w:rsidTr="002E6F28">
        <w:trPr>
          <w:trHeight w:val="34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2E6F28" w:rsidRPr="004E0DA4" w:rsidTr="002E6F28">
        <w:trPr>
          <w:trHeight w:val="33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2E6F28" w:rsidRPr="004E0DA4" w:rsidTr="002E6F28">
        <w:trPr>
          <w:trHeight w:val="36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B6264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</w:t>
            </w:r>
            <w:r w:rsidR="00B6264B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</w:t>
            </w: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E0DA4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4101EA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2E6F28" w:rsidRPr="004E0DA4" w:rsidTr="002E6F28">
        <w:trPr>
          <w:trHeight w:val="45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Default="002E6F28" w:rsidP="002E6F2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5703A7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5703A7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5703A7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5703A7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8" w:rsidRPr="005703A7" w:rsidRDefault="002E6F28" w:rsidP="002E6F2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7,9</w:t>
            </w:r>
          </w:p>
        </w:tc>
      </w:tr>
    </w:tbl>
    <w:p w:rsidR="001D5B7A" w:rsidRDefault="001D5B7A" w:rsidP="008D7927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8D7927">
        <w:rPr>
          <w:rFonts w:ascii="Times New Roman" w:eastAsia="Gulim" w:hAnsi="Times New Roman"/>
          <w:b/>
          <w:bCs/>
          <w:sz w:val="28"/>
          <w:szCs w:val="28"/>
        </w:rPr>
        <w:t>7,9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BB34A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8D7927">
        <w:rPr>
          <w:rFonts w:ascii="Times New Roman" w:eastAsia="Gulim" w:hAnsi="Times New Roman"/>
          <w:sz w:val="28"/>
          <w:szCs w:val="28"/>
        </w:rPr>
        <w:t>7,9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533D12">
        <w:rPr>
          <w:rFonts w:ascii="Times New Roman" w:eastAsia="Gulim" w:hAnsi="Times New Roman"/>
          <w:sz w:val="28"/>
          <w:szCs w:val="28"/>
        </w:rPr>
        <w:t>13,</w:t>
      </w:r>
      <w:r w:rsidR="008D7927">
        <w:rPr>
          <w:rFonts w:ascii="Times New Roman" w:eastAsia="Gulim" w:hAnsi="Times New Roman"/>
          <w:sz w:val="28"/>
          <w:szCs w:val="28"/>
        </w:rPr>
        <w:t>9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533D12">
        <w:rPr>
          <w:rFonts w:ascii="Times New Roman" w:eastAsia="Gulim" w:hAnsi="Times New Roman"/>
          <w:sz w:val="28"/>
          <w:szCs w:val="28"/>
        </w:rPr>
        <w:t>4,</w:t>
      </w:r>
      <w:r w:rsidR="008D7927">
        <w:rPr>
          <w:rFonts w:ascii="Times New Roman" w:eastAsia="Gulim" w:hAnsi="Times New Roman"/>
          <w:sz w:val="28"/>
          <w:szCs w:val="28"/>
        </w:rPr>
        <w:t>4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BB34A7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20D067C" wp14:editId="4BB67CCC">
            <wp:extent cx="5324475" cy="2743200"/>
            <wp:effectExtent l="0" t="0" r="9525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194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EE2AE6">
        <w:rPr>
          <w:rFonts w:ascii="Times New Roman" w:eastAsia="Gulim" w:hAnsi="Times New Roman"/>
          <w:b/>
          <w:bCs/>
          <w:sz w:val="28"/>
          <w:szCs w:val="28"/>
        </w:rPr>
        <w:t>6</w:t>
      </w:r>
      <w:r w:rsidR="007924C5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19439B">
        <w:rPr>
          <w:rFonts w:ascii="Times New Roman" w:eastAsia="Gulim" w:hAnsi="Times New Roman"/>
          <w:b/>
          <w:bCs/>
          <w:sz w:val="28"/>
          <w:szCs w:val="28"/>
        </w:rPr>
        <w:t>3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266F4">
        <w:rPr>
          <w:rFonts w:ascii="Times New Roman" w:eastAsia="Gulim" w:hAnsi="Times New Roman"/>
          <w:b/>
          <w:bCs/>
          <w:sz w:val="28"/>
          <w:szCs w:val="28"/>
        </w:rPr>
        <w:t>dix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194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4F0EE5">
        <w:rPr>
          <w:rFonts w:ascii="Times New Roman" w:eastAsia="Gulim" w:hAnsi="Times New Roman"/>
          <w:sz w:val="28"/>
          <w:szCs w:val="28"/>
        </w:rPr>
        <w:t xml:space="preserve">des </w:t>
      </w:r>
      <w:r w:rsidR="004266F4">
        <w:rPr>
          <w:rFonts w:ascii="Times New Roman" w:eastAsia="Gulim" w:hAnsi="Times New Roman"/>
          <w:sz w:val="28"/>
          <w:szCs w:val="28"/>
        </w:rPr>
        <w:t>dix</w:t>
      </w:r>
      <w:r w:rsidR="004F0EE5">
        <w:rPr>
          <w:rFonts w:ascii="Times New Roman" w:eastAsia="Gulim" w:hAnsi="Times New Roman"/>
          <w:sz w:val="28"/>
          <w:szCs w:val="28"/>
        </w:rPr>
        <w:t xml:space="preserve"> premier</w:t>
      </w:r>
      <w:r w:rsidR="00A658AF">
        <w:rPr>
          <w:rFonts w:ascii="Times New Roman" w:eastAsia="Gulim" w:hAnsi="Times New Roman"/>
          <w:sz w:val="28"/>
          <w:szCs w:val="28"/>
        </w:rPr>
        <w:t>s</w:t>
      </w:r>
      <w:r w:rsidR="004F0EE5">
        <w:rPr>
          <w:rFonts w:ascii="Times New Roman" w:eastAsia="Gulim" w:hAnsi="Times New Roman"/>
          <w:sz w:val="28"/>
          <w:szCs w:val="28"/>
        </w:rPr>
        <w:t xml:space="preserve"> mois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EE2AE6">
        <w:rPr>
          <w:rFonts w:ascii="Times New Roman" w:eastAsia="Gulim" w:hAnsi="Times New Roman"/>
          <w:sz w:val="28"/>
          <w:szCs w:val="28"/>
        </w:rPr>
        <w:t>6</w:t>
      </w:r>
      <w:r w:rsidR="007924C5">
        <w:rPr>
          <w:rFonts w:ascii="Times New Roman" w:eastAsia="Gulim" w:hAnsi="Times New Roman"/>
          <w:sz w:val="28"/>
          <w:szCs w:val="28"/>
        </w:rPr>
        <w:t>,</w:t>
      </w:r>
      <w:r w:rsidR="0019439B">
        <w:rPr>
          <w:rFonts w:ascii="Times New Roman" w:eastAsia="Gulim" w:hAnsi="Times New Roman"/>
          <w:sz w:val="28"/>
          <w:szCs w:val="28"/>
        </w:rPr>
        <w:t>3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0E244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</w:t>
      </w:r>
      <w:r w:rsidR="000E2446">
        <w:rPr>
          <w:rFonts w:ascii="Times New Roman" w:eastAsia="Gulim" w:hAnsi="Times New Roman"/>
          <w:sz w:val="28"/>
          <w:szCs w:val="28"/>
        </w:rPr>
        <w:t>3</w:t>
      </w:r>
      <w:r w:rsidR="00A55882"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0E2446">
        <w:rPr>
          <w:rFonts w:ascii="Times New Roman" w:eastAsia="Gulim" w:hAnsi="Times New Roman"/>
          <w:sz w:val="28"/>
          <w:szCs w:val="28"/>
        </w:rPr>
        <w:t>14,7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322F8A">
        <w:rPr>
          <w:rFonts w:ascii="Times New Roman" w:eastAsia="Gulim" w:hAnsi="Times New Roman"/>
          <w:sz w:val="28"/>
          <w:szCs w:val="28"/>
        </w:rPr>
        <w:t>24,</w:t>
      </w:r>
      <w:r w:rsidR="000E2446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0C96">
        <w:rPr>
          <w:rFonts w:ascii="Times New Roman" w:eastAsia="Gulim" w:hAnsi="Times New Roman"/>
          <w:sz w:val="28"/>
          <w:szCs w:val="28"/>
        </w:rPr>
        <w:t>5,</w:t>
      </w:r>
      <w:r w:rsidR="000E2446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E10304" w:rsidRDefault="0097039B" w:rsidP="000E244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322F8A">
        <w:rPr>
          <w:rFonts w:ascii="Times New Roman" w:eastAsia="Gulim" w:hAnsi="Times New Roman"/>
          <w:sz w:val="28"/>
          <w:szCs w:val="28"/>
        </w:rPr>
        <w:t>44,</w:t>
      </w:r>
      <w:r w:rsidR="000E2446">
        <w:rPr>
          <w:rFonts w:ascii="Times New Roman" w:eastAsia="Gulim" w:hAnsi="Times New Roman"/>
          <w:sz w:val="28"/>
          <w:szCs w:val="28"/>
        </w:rPr>
        <w:t>3</w:t>
      </w:r>
      <w:r w:rsidR="00322F8A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>)</w:t>
      </w:r>
      <w:r w:rsidR="00322F8A">
        <w:rPr>
          <w:rFonts w:ascii="Times New Roman" w:eastAsia="Gulim" w:hAnsi="Times New Roman"/>
          <w:sz w:val="28"/>
          <w:szCs w:val="28"/>
        </w:rPr>
        <w:t>,</w:t>
      </w:r>
      <w:r w:rsidR="00A55882">
        <w:rPr>
          <w:rFonts w:ascii="Times New Roman" w:eastAsia="Gulim" w:hAnsi="Times New Roman"/>
          <w:sz w:val="28"/>
          <w:szCs w:val="28"/>
        </w:rPr>
        <w:t xml:space="preserve">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</w:t>
      </w:r>
      <w:r w:rsidR="000E2446">
        <w:rPr>
          <w:rFonts w:ascii="Times New Roman" w:eastAsia="Gulim" w:hAnsi="Times New Roman"/>
          <w:sz w:val="28"/>
          <w:szCs w:val="28"/>
        </w:rPr>
        <w:t>3</w:t>
      </w:r>
      <w:r w:rsidR="00A55882">
        <w:rPr>
          <w:rFonts w:ascii="Times New Roman" w:eastAsia="Gulim" w:hAnsi="Times New Roman"/>
          <w:sz w:val="28"/>
          <w:szCs w:val="28"/>
        </w:rPr>
        <w:t>%)</w:t>
      </w:r>
      <w:r w:rsidR="00322F8A">
        <w:rPr>
          <w:rFonts w:ascii="Times New Roman" w:eastAsia="Gulim" w:hAnsi="Times New Roman"/>
          <w:sz w:val="28"/>
          <w:szCs w:val="28"/>
        </w:rPr>
        <w:t xml:space="preserve"> et l’</w:t>
      </w:r>
      <w:r w:rsidR="006879AE" w:rsidRPr="00391850">
        <w:rPr>
          <w:rFonts w:ascii="Times New Roman" w:eastAsia="Gulim" w:hAnsi="Times New Roman"/>
          <w:sz w:val="28"/>
          <w:szCs w:val="28"/>
        </w:rPr>
        <w:t>‘‘</w:t>
      </w:r>
      <w:r w:rsidR="00322F8A">
        <w:rPr>
          <w:rFonts w:ascii="Times New Roman" w:eastAsia="Gulim" w:hAnsi="Times New Roman"/>
          <w:sz w:val="28"/>
          <w:szCs w:val="28"/>
        </w:rPr>
        <w:t>Enseignement</w:t>
      </w:r>
      <w:r w:rsidR="006879AE" w:rsidRPr="00391850">
        <w:rPr>
          <w:rFonts w:ascii="Times New Roman" w:eastAsia="Gulim" w:hAnsi="Times New Roman"/>
          <w:sz w:val="28"/>
          <w:szCs w:val="28"/>
        </w:rPr>
        <w:t>’’</w:t>
      </w:r>
      <w:r w:rsidR="006231F0">
        <w:rPr>
          <w:rFonts w:ascii="Times New Roman" w:eastAsia="Gulim" w:hAnsi="Times New Roman"/>
          <w:sz w:val="28"/>
          <w:szCs w:val="28"/>
        </w:rPr>
        <w:t xml:space="preserve"> </w:t>
      </w:r>
      <w:r w:rsidR="00322F8A">
        <w:rPr>
          <w:rFonts w:ascii="Times New Roman" w:eastAsia="Gulim" w:hAnsi="Times New Roman"/>
          <w:sz w:val="28"/>
          <w:szCs w:val="28"/>
        </w:rPr>
        <w:t>privé (+2,</w:t>
      </w:r>
      <w:r w:rsidR="000E2446">
        <w:rPr>
          <w:rFonts w:ascii="Times New Roman" w:eastAsia="Gulim" w:hAnsi="Times New Roman"/>
          <w:sz w:val="28"/>
          <w:szCs w:val="28"/>
        </w:rPr>
        <w:t>9</w:t>
      </w:r>
      <w:r w:rsidR="00322F8A">
        <w:rPr>
          <w:rFonts w:ascii="Times New Roman" w:eastAsia="Gulim" w:hAnsi="Times New Roman"/>
          <w:sz w:val="28"/>
          <w:szCs w:val="28"/>
        </w:rPr>
        <w:t>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4266F4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4266F4">
        <w:rPr>
          <w:rFonts w:ascii="Times New Roman" w:eastAsia="Gulim" w:hAnsi="Times New Roman"/>
          <w:sz w:val="28"/>
          <w:szCs w:val="28"/>
        </w:rPr>
        <w:t>d’Octobre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4266F4">
        <w:rPr>
          <w:rFonts w:ascii="Times New Roman" w:eastAsia="Gulim" w:hAnsi="Times New Roman"/>
          <w:sz w:val="28"/>
          <w:szCs w:val="28"/>
        </w:rPr>
        <w:t>0,4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CC654B">
        <w:rPr>
          <w:rFonts w:ascii="Times New Roman" w:eastAsia="Gulim" w:hAnsi="Times New Roman"/>
          <w:sz w:val="28"/>
          <w:szCs w:val="28"/>
        </w:rPr>
        <w:t>8,</w:t>
      </w:r>
      <w:r w:rsidR="004266F4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4266F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CC654B">
        <w:rPr>
          <w:rFonts w:ascii="Times New Roman" w:eastAsia="Gulim" w:hAnsi="Times New Roman"/>
          <w:sz w:val="28"/>
          <w:szCs w:val="28"/>
        </w:rPr>
        <w:t>inégale</w:t>
      </w:r>
      <w:r w:rsidR="00EF4261">
        <w:rPr>
          <w:rFonts w:ascii="Times New Roman" w:eastAsia="Gulim" w:hAnsi="Times New Roman"/>
          <w:sz w:val="28"/>
          <w:szCs w:val="28"/>
        </w:rPr>
        <w:t xml:space="preserve"> </w:t>
      </w:r>
      <w:r w:rsidR="00231EBC">
        <w:rPr>
          <w:rFonts w:ascii="Times New Roman" w:eastAsia="Gulim" w:hAnsi="Times New Roman"/>
          <w:sz w:val="28"/>
          <w:szCs w:val="28"/>
        </w:rPr>
        <w:t xml:space="preserve">allant </w:t>
      </w:r>
      <w:r w:rsidR="00EF4261">
        <w:rPr>
          <w:rFonts w:ascii="Times New Roman" w:eastAsia="Gulim" w:hAnsi="Times New Roman"/>
          <w:sz w:val="28"/>
          <w:szCs w:val="28"/>
        </w:rPr>
        <w:t>d</w:t>
      </w:r>
      <w:r w:rsidR="00E92165">
        <w:rPr>
          <w:rFonts w:ascii="Times New Roman" w:eastAsia="Gulim" w:hAnsi="Times New Roman"/>
          <w:sz w:val="28"/>
          <w:szCs w:val="28"/>
        </w:rPr>
        <w:t xml:space="preserve">’une baisse de </w:t>
      </w:r>
      <w:r w:rsidR="004266F4">
        <w:rPr>
          <w:rFonts w:ascii="Times New Roman" w:eastAsia="Gulim" w:hAnsi="Times New Roman"/>
          <w:sz w:val="28"/>
          <w:szCs w:val="28"/>
        </w:rPr>
        <w:t>0,7</w:t>
      </w:r>
      <w:r w:rsidR="00E92165">
        <w:rPr>
          <w:rFonts w:ascii="Times New Roman" w:eastAsia="Gulim" w:hAnsi="Times New Roman"/>
          <w:sz w:val="28"/>
          <w:szCs w:val="28"/>
        </w:rPr>
        <w:t>% à Al Hoceima à une hausse de 1,</w:t>
      </w:r>
      <w:r w:rsidR="004266F4">
        <w:rPr>
          <w:rFonts w:ascii="Times New Roman" w:eastAsia="Gulim" w:hAnsi="Times New Roman"/>
          <w:sz w:val="28"/>
          <w:szCs w:val="28"/>
        </w:rPr>
        <w:t>2</w:t>
      </w:r>
      <w:r w:rsidR="00E92165">
        <w:rPr>
          <w:rFonts w:ascii="Times New Roman" w:eastAsia="Gulim" w:hAnsi="Times New Roman"/>
          <w:sz w:val="28"/>
          <w:szCs w:val="28"/>
        </w:rPr>
        <w:t xml:space="preserve">% </w:t>
      </w:r>
      <w:r w:rsidR="004266F4">
        <w:rPr>
          <w:rFonts w:ascii="Times New Roman" w:eastAsia="Gulim" w:hAnsi="Times New Roman"/>
          <w:sz w:val="28"/>
          <w:szCs w:val="28"/>
        </w:rPr>
        <w:t>à Guelmim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E8" w:rsidRDefault="00827EE8">
      <w:r>
        <w:separator/>
      </w:r>
    </w:p>
    <w:p w:rsidR="00827EE8" w:rsidRDefault="00827EE8"/>
  </w:endnote>
  <w:endnote w:type="continuationSeparator" w:id="0">
    <w:p w:rsidR="00827EE8" w:rsidRDefault="00827EE8">
      <w:r>
        <w:continuationSeparator/>
      </w:r>
    </w:p>
    <w:p w:rsidR="00827EE8" w:rsidRDefault="00827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E77D2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E77D2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E8" w:rsidRDefault="00827EE8">
      <w:r>
        <w:separator/>
      </w:r>
    </w:p>
    <w:p w:rsidR="00827EE8" w:rsidRDefault="00827EE8"/>
  </w:footnote>
  <w:footnote w:type="continuationSeparator" w:id="0">
    <w:p w:rsidR="00827EE8" w:rsidRDefault="00827EE8">
      <w:r>
        <w:continuationSeparator/>
      </w:r>
    </w:p>
    <w:p w:rsidR="00827EE8" w:rsidRDefault="00827E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EE8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D2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0_2022\10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0_2022\10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Octobre 2021_Octobre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44470</c:v>
                </c:pt>
                <c:pt idx="1">
                  <c:v>44501</c:v>
                </c:pt>
                <c:pt idx="2">
                  <c:v>44531</c:v>
                </c:pt>
                <c:pt idx="3">
                  <c:v>44562</c:v>
                </c:pt>
                <c:pt idx="4">
                  <c:v>44593</c:v>
                </c:pt>
                <c:pt idx="5">
                  <c:v>44621</c:v>
                </c:pt>
                <c:pt idx="6">
                  <c:v>44652</c:v>
                </c:pt>
                <c:pt idx="7">
                  <c:v>44682</c:v>
                </c:pt>
                <c:pt idx="8">
                  <c:v>44713</c:v>
                </c:pt>
                <c:pt idx="9">
                  <c:v>44743</c:v>
                </c:pt>
                <c:pt idx="10">
                  <c:v>44774</c:v>
                </c:pt>
                <c:pt idx="11">
                  <c:v>44805</c:v>
                </c:pt>
                <c:pt idx="12">
                  <c:v>44835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</c:v>
                </c:pt>
                <c:pt idx="1">
                  <c:v>0.4</c:v>
                </c:pt>
                <c:pt idx="2">
                  <c:v>-0.1</c:v>
                </c:pt>
                <c:pt idx="3">
                  <c:v>0.5</c:v>
                </c:pt>
                <c:pt idx="4">
                  <c:v>-0.1</c:v>
                </c:pt>
                <c:pt idx="5">
                  <c:v>1.7</c:v>
                </c:pt>
                <c:pt idx="6">
                  <c:v>1.3</c:v>
                </c:pt>
                <c:pt idx="7">
                  <c:v>0.5</c:v>
                </c:pt>
                <c:pt idx="8">
                  <c:v>0.8</c:v>
                </c:pt>
                <c:pt idx="9">
                  <c:v>0.5</c:v>
                </c:pt>
                <c:pt idx="10">
                  <c:v>0.2</c:v>
                </c:pt>
                <c:pt idx="11">
                  <c:v>1.1000000000000001</c:v>
                </c:pt>
                <c:pt idx="12">
                  <c:v>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E80-4732-AB0A-230D169614F4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44470</c:v>
                </c:pt>
                <c:pt idx="1">
                  <c:v>44501</c:v>
                </c:pt>
                <c:pt idx="2">
                  <c:v>44531</c:v>
                </c:pt>
                <c:pt idx="3">
                  <c:v>44562</c:v>
                </c:pt>
                <c:pt idx="4">
                  <c:v>44593</c:v>
                </c:pt>
                <c:pt idx="5">
                  <c:v>44621</c:v>
                </c:pt>
                <c:pt idx="6">
                  <c:v>44652</c:v>
                </c:pt>
                <c:pt idx="7">
                  <c:v>44682</c:v>
                </c:pt>
                <c:pt idx="8">
                  <c:v>44713</c:v>
                </c:pt>
                <c:pt idx="9">
                  <c:v>44743</c:v>
                </c:pt>
                <c:pt idx="10">
                  <c:v>44774</c:v>
                </c:pt>
                <c:pt idx="11">
                  <c:v>44805</c:v>
                </c:pt>
                <c:pt idx="12">
                  <c:v>44835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0.7</c:v>
                </c:pt>
                <c:pt idx="1">
                  <c:v>0.2</c:v>
                </c:pt>
                <c:pt idx="2">
                  <c:v>0.1</c:v>
                </c:pt>
                <c:pt idx="3">
                  <c:v>0</c:v>
                </c:pt>
                <c:pt idx="4">
                  <c:v>0.6</c:v>
                </c:pt>
                <c:pt idx="5">
                  <c:v>1.8</c:v>
                </c:pt>
                <c:pt idx="6">
                  <c:v>1.8</c:v>
                </c:pt>
                <c:pt idx="7">
                  <c:v>0.3</c:v>
                </c:pt>
                <c:pt idx="8">
                  <c:v>0.5</c:v>
                </c:pt>
                <c:pt idx="9">
                  <c:v>0.9</c:v>
                </c:pt>
                <c:pt idx="10">
                  <c:v>0.3</c:v>
                </c:pt>
                <c:pt idx="11">
                  <c:v>1</c:v>
                </c:pt>
                <c:pt idx="12">
                  <c:v>0.4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E80-4732-AB0A-230D169614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533272"/>
        <c:axId val="500533664"/>
      </c:lineChart>
      <c:dateAx>
        <c:axId val="5005332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0533664"/>
        <c:crosses val="autoZero"/>
        <c:auto val="1"/>
        <c:lblOffset val="100"/>
        <c:baseTimeUnit val="months"/>
      </c:dateAx>
      <c:valAx>
        <c:axId val="50053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053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Feuil9!$A$75:$A$132</c:f>
              <c:numCache>
                <c:formatCode>mmm\-yy</c:formatCode>
                <c:ptCount val="5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</c:numCache>
            </c:numRef>
          </c:cat>
          <c:val>
            <c:numRef>
              <c:f>Feuil9!$B$75:$B$132</c:f>
              <c:numCache>
                <c:formatCode>General</c:formatCode>
                <c:ptCount val="58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6EA-4938-BF3C-0A1B05694063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Feuil9!$A$75:$A$132</c:f>
              <c:numCache>
                <c:formatCode>mmm\-yy</c:formatCode>
                <c:ptCount val="5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</c:numCache>
            </c:numRef>
          </c:cat>
          <c:val>
            <c:numRef>
              <c:f>Feuil9!$C$75:$C$132</c:f>
              <c:numCache>
                <c:formatCode>General</c:formatCode>
                <c:ptCount val="58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6EA-4938-BF3C-0A1B05694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532880"/>
        <c:axId val="502472560"/>
      </c:lineChart>
      <c:dateAx>
        <c:axId val="5005328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2472560"/>
        <c:crosses val="autoZero"/>
        <c:auto val="1"/>
        <c:lblOffset val="100"/>
        <c:baseTimeUnit val="months"/>
      </c:dateAx>
      <c:valAx>
        <c:axId val="50247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053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BB90CD-6C8C-40E2-9276-756ED36F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2022-12-14T09:44:00Z</dcterms:created>
  <dcterms:modified xsi:type="dcterms:W3CDTF">2022-12-14T09:44:00Z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