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DD5ECA" w:rsidP="006B51E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Décembre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D5ECA" w:rsidP="00DD5ECA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Décembre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DD5EC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DD5ECA">
        <w:rPr>
          <w:rFonts w:ascii="Times New Roman" w:eastAsia="Gulim" w:hAnsi="Times New Roman"/>
          <w:sz w:val="28"/>
          <w:szCs w:val="28"/>
        </w:rPr>
        <w:t>baisse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2110C7">
        <w:rPr>
          <w:rFonts w:ascii="Times New Roman" w:eastAsia="Gulim" w:hAnsi="Times New Roman"/>
          <w:sz w:val="28"/>
          <w:szCs w:val="28"/>
        </w:rPr>
        <w:t>0,</w:t>
      </w:r>
      <w:r w:rsidR="00DD5ECA">
        <w:rPr>
          <w:rFonts w:ascii="Times New Roman" w:eastAsia="Gulim" w:hAnsi="Times New Roman"/>
          <w:sz w:val="28"/>
          <w:szCs w:val="28"/>
        </w:rPr>
        <w:t>2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2110C7">
        <w:rPr>
          <w:rFonts w:ascii="Times New Roman" w:eastAsia="Gulim" w:hAnsi="Times New Roman"/>
          <w:sz w:val="28"/>
          <w:szCs w:val="28"/>
        </w:rPr>
        <w:t>d</w:t>
      </w:r>
      <w:r w:rsidR="00774911">
        <w:rPr>
          <w:rFonts w:ascii="Times New Roman" w:eastAsia="Gulim" w:hAnsi="Times New Roman"/>
          <w:sz w:val="28"/>
          <w:szCs w:val="28"/>
        </w:rPr>
        <w:t xml:space="preserve">e </w:t>
      </w:r>
      <w:r w:rsidR="00DD5ECA">
        <w:rPr>
          <w:rFonts w:ascii="Times New Roman" w:eastAsia="Gulim" w:hAnsi="Times New Roman"/>
          <w:sz w:val="28"/>
          <w:szCs w:val="28"/>
        </w:rPr>
        <w:t>Décembre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DD5ECA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774911">
        <w:rPr>
          <w:rFonts w:ascii="Times New Roman" w:eastAsia="Gulim" w:hAnsi="Times New Roman"/>
          <w:sz w:val="28"/>
          <w:szCs w:val="28"/>
        </w:rPr>
        <w:t>0</w:t>
      </w:r>
      <w:r w:rsidR="001661A5">
        <w:rPr>
          <w:rFonts w:ascii="Times New Roman" w:eastAsia="Gulim" w:hAnsi="Times New Roman"/>
          <w:sz w:val="28"/>
          <w:szCs w:val="28"/>
        </w:rPr>
        <w:t>,</w:t>
      </w:r>
      <w:r w:rsidR="00774911">
        <w:rPr>
          <w:rFonts w:ascii="Times New Roman" w:eastAsia="Gulim" w:hAnsi="Times New Roman"/>
          <w:sz w:val="28"/>
          <w:szCs w:val="28"/>
        </w:rPr>
        <w:t>2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</w:t>
      </w:r>
      <w:r w:rsidR="00DD5ECA">
        <w:rPr>
          <w:rFonts w:ascii="Times New Roman" w:eastAsia="Gulim" w:hAnsi="Times New Roman"/>
          <w:sz w:val="28"/>
          <w:szCs w:val="28"/>
        </w:rPr>
        <w:t xml:space="preserve">à une baisse de </w:t>
      </w:r>
      <w:r w:rsidR="00014DCE">
        <w:rPr>
          <w:rFonts w:ascii="Times New Roman" w:eastAsia="Gulim" w:hAnsi="Times New Roman"/>
          <w:sz w:val="28"/>
          <w:szCs w:val="28"/>
        </w:rPr>
        <w:t>e 0,</w:t>
      </w:r>
      <w:r w:rsidR="00DD5ECA">
        <w:rPr>
          <w:rFonts w:ascii="Times New Roman" w:eastAsia="Gulim" w:hAnsi="Times New Roman"/>
          <w:sz w:val="28"/>
          <w:szCs w:val="28"/>
        </w:rPr>
        <w:t>5</w:t>
      </w:r>
      <w:r w:rsidR="00014DCE">
        <w:rPr>
          <w:rFonts w:ascii="Times New Roman" w:eastAsia="Gulim" w:hAnsi="Times New Roman"/>
          <w:sz w:val="28"/>
          <w:szCs w:val="28"/>
        </w:rPr>
        <w:t>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DD5EC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DD5ECA">
        <w:rPr>
          <w:rFonts w:ascii="Times New Roman" w:eastAsia="Gulim" w:hAnsi="Times New Roman"/>
          <w:sz w:val="28"/>
          <w:szCs w:val="28"/>
        </w:rPr>
        <w:t>Novembre</w:t>
      </w:r>
      <w:r w:rsidR="00A3432F">
        <w:rPr>
          <w:rFonts w:ascii="Times New Roman" w:eastAsia="Gulim" w:hAnsi="Times New Roman"/>
          <w:sz w:val="28"/>
          <w:szCs w:val="28"/>
        </w:rPr>
        <w:t xml:space="preserve"> et </w:t>
      </w:r>
      <w:r w:rsidR="00DD5ECA">
        <w:rPr>
          <w:rFonts w:ascii="Times New Roman" w:eastAsia="Gulim" w:hAnsi="Times New Roman"/>
          <w:sz w:val="28"/>
          <w:szCs w:val="28"/>
        </w:rPr>
        <w:t>Décembre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774911">
        <w:rPr>
          <w:rFonts w:ascii="Times New Roman" w:eastAsia="Gulim" w:hAnsi="Times New Roman"/>
          <w:sz w:val="28"/>
          <w:szCs w:val="28"/>
        </w:rPr>
        <w:t>Huiles et graisses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DD5ECA">
        <w:rPr>
          <w:rFonts w:ascii="Times New Roman" w:eastAsia="Gulim" w:hAnsi="Times New Roman"/>
          <w:sz w:val="28"/>
          <w:szCs w:val="28"/>
        </w:rPr>
        <w:t xml:space="preserve">3,3% </w:t>
      </w:r>
      <w:r w:rsidR="002110C7">
        <w:rPr>
          <w:rFonts w:ascii="Times New Roman" w:eastAsia="Gulim" w:hAnsi="Times New Roman"/>
          <w:sz w:val="28"/>
          <w:szCs w:val="28"/>
        </w:rPr>
        <w:t xml:space="preserve">et le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1661A5">
        <w:rPr>
          <w:rFonts w:ascii="Times New Roman" w:eastAsia="Gulim" w:hAnsi="Times New Roman"/>
          <w:sz w:val="28"/>
          <w:szCs w:val="28"/>
        </w:rPr>
        <w:t>Lait, fromage et œufs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DD5ECA">
        <w:rPr>
          <w:rFonts w:ascii="Times New Roman" w:eastAsia="Gulim" w:hAnsi="Times New Roman"/>
          <w:sz w:val="28"/>
          <w:szCs w:val="28"/>
        </w:rPr>
        <w:t>2,7</w:t>
      </w:r>
      <w:r w:rsidR="00391836">
        <w:rPr>
          <w:rFonts w:ascii="Times New Roman" w:eastAsia="Gulim" w:hAnsi="Times New Roman"/>
          <w:sz w:val="28"/>
          <w:szCs w:val="28"/>
        </w:rPr>
        <w:t>%</w:t>
      </w:r>
      <w:r w:rsidR="002110C7">
        <w:rPr>
          <w:rFonts w:ascii="Times New Roman" w:eastAsia="Gulim" w:hAnsi="Times New Roman"/>
          <w:sz w:val="28"/>
          <w:szCs w:val="28"/>
        </w:rPr>
        <w:t>.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  <w:r w:rsidR="00517C10">
        <w:rPr>
          <w:rFonts w:ascii="Times New Roman" w:eastAsia="Gulim" w:hAnsi="Times New Roman"/>
          <w:sz w:val="28"/>
          <w:szCs w:val="28"/>
        </w:rPr>
        <w:t>Cette hausse a été atténuée par la baisse des prix d</w:t>
      </w:r>
      <w:r w:rsidR="00A3432F">
        <w:rPr>
          <w:rFonts w:ascii="Times New Roman" w:eastAsia="Gulim" w:hAnsi="Times New Roman"/>
          <w:sz w:val="28"/>
          <w:szCs w:val="28"/>
        </w:rPr>
        <w:t>es</w:t>
      </w:r>
      <w:r w:rsidR="007B1B74">
        <w:rPr>
          <w:rFonts w:ascii="Times New Roman" w:eastAsia="Gulim" w:hAnsi="Times New Roman"/>
          <w:sz w:val="28"/>
          <w:szCs w:val="28"/>
        </w:rPr>
        <w:t xml:space="preserve">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774911">
        <w:rPr>
          <w:rFonts w:ascii="Times New Roman" w:eastAsia="Gulim" w:hAnsi="Times New Roman"/>
          <w:sz w:val="28"/>
          <w:szCs w:val="28"/>
        </w:rPr>
        <w:t>Légumes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774911">
        <w:rPr>
          <w:rFonts w:ascii="Times New Roman" w:eastAsia="Gulim" w:hAnsi="Times New Roman"/>
          <w:sz w:val="28"/>
          <w:szCs w:val="28"/>
        </w:rPr>
        <w:t>2,</w:t>
      </w:r>
      <w:r w:rsidR="00DD5ECA">
        <w:rPr>
          <w:rFonts w:ascii="Times New Roman" w:eastAsia="Gulim" w:hAnsi="Times New Roman"/>
          <w:sz w:val="28"/>
          <w:szCs w:val="28"/>
        </w:rPr>
        <w:t>0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DD5ECA">
        <w:rPr>
          <w:rFonts w:ascii="Times New Roman" w:eastAsia="Gulim" w:hAnsi="Times New Roman"/>
          <w:sz w:val="28"/>
          <w:szCs w:val="28"/>
        </w:rPr>
        <w:t xml:space="preserve"> et des </w:t>
      </w:r>
      <w:r w:rsidR="005C1E0D" w:rsidRPr="009C0D33">
        <w:rPr>
          <w:rFonts w:ascii="Times New Roman" w:eastAsia="Gulim" w:hAnsi="Times New Roman"/>
          <w:sz w:val="28"/>
          <w:szCs w:val="28"/>
        </w:rPr>
        <w:t>‘‘</w:t>
      </w:r>
      <w:r w:rsidR="00DD5ECA">
        <w:rPr>
          <w:rFonts w:ascii="Times New Roman" w:eastAsia="Gulim" w:hAnsi="Times New Roman"/>
          <w:sz w:val="28"/>
          <w:szCs w:val="28"/>
        </w:rPr>
        <w:t>Fruits</w:t>
      </w:r>
      <w:r w:rsidR="005C1E0D" w:rsidRPr="009C0D33">
        <w:rPr>
          <w:rFonts w:ascii="Times New Roman" w:eastAsia="Gulim" w:hAnsi="Times New Roman"/>
          <w:sz w:val="28"/>
          <w:szCs w:val="28"/>
        </w:rPr>
        <w:t>’’</w:t>
      </w:r>
      <w:r w:rsidR="00DD5ECA">
        <w:rPr>
          <w:rFonts w:ascii="Times New Roman" w:eastAsia="Gulim" w:hAnsi="Times New Roman"/>
          <w:sz w:val="28"/>
          <w:szCs w:val="28"/>
        </w:rPr>
        <w:t xml:space="preserve"> avec 7,1%.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368"/>
        <w:gridCol w:w="1843"/>
        <w:gridCol w:w="1134"/>
      </w:tblGrid>
      <w:tr w:rsidR="00522B7B" w:rsidRPr="001B6B04" w:rsidTr="00522B7B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Nov_2022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Déc_2022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522B7B" w:rsidRPr="001B6B04" w:rsidTr="00522B7B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522B7B" w:rsidRPr="001B6B04" w:rsidTr="00522B7B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522B7B" w:rsidRPr="001B6B04" w:rsidTr="00522B7B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368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1843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522B7B" w:rsidRPr="001B6B04" w:rsidTr="00522B7B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368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1843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-2,1</w:t>
            </w:r>
          </w:p>
        </w:tc>
      </w:tr>
      <w:tr w:rsidR="00522B7B" w:rsidRPr="001B6B04" w:rsidTr="00522B7B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368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1843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</w:t>
            </w:r>
          </w:p>
        </w:tc>
      </w:tr>
      <w:tr w:rsidR="00522B7B" w:rsidRPr="001B6B04" w:rsidTr="00522B7B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368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141,3</w:t>
            </w:r>
          </w:p>
        </w:tc>
        <w:tc>
          <w:tcPr>
            <w:tcW w:w="1843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145,9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3,3</w:t>
            </w:r>
          </w:p>
        </w:tc>
      </w:tr>
      <w:tr w:rsidR="00522B7B" w:rsidRPr="001B6B04" w:rsidTr="00522B7B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368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123,7</w:t>
            </w:r>
          </w:p>
        </w:tc>
        <w:tc>
          <w:tcPr>
            <w:tcW w:w="1843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-7,1</w:t>
            </w:r>
          </w:p>
        </w:tc>
      </w:tr>
      <w:tr w:rsidR="00522B7B" w:rsidRPr="001B6B04" w:rsidTr="00522B7B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368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123,2</w:t>
            </w:r>
          </w:p>
        </w:tc>
        <w:tc>
          <w:tcPr>
            <w:tcW w:w="1843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-2,0</w:t>
            </w:r>
          </w:p>
        </w:tc>
      </w:tr>
      <w:tr w:rsidR="00522B7B" w:rsidRPr="001B6B04" w:rsidTr="00522B7B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368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843" w:type="dxa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522B7B" w:rsidRPr="001B6B04" w:rsidTr="00522B7B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522B7B" w:rsidRPr="001B6B04" w:rsidTr="00522B7B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522B7B" w:rsidRPr="001B6B04" w:rsidTr="00522B7B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522B7B" w:rsidRPr="008E7CC9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22B7B" w:rsidRPr="001B6B04" w:rsidTr="00522B7B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22B7B" w:rsidRPr="001B6B04" w:rsidTr="00522B7B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2B7B" w:rsidRPr="003109A6" w:rsidRDefault="005B3383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522B7B" w:rsidRPr="003109A6" w:rsidRDefault="005B3383" w:rsidP="00522B7B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22B7B" w:rsidRPr="001B6B04" w:rsidTr="00522B7B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22B7B" w:rsidP="00522B7B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22B7B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522B7B" w:rsidRPr="003109A6" w:rsidRDefault="005B3383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522B7B" w:rsidRPr="003109A6" w:rsidRDefault="005B3383" w:rsidP="00522B7B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</w:tbl>
    <w:p w:rsidR="00267A4B" w:rsidRDefault="005F1CC5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EB0AC2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B0AC2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5F1CC5">
        <w:rPr>
          <w:rFonts w:ascii="Times New Roman" w:eastAsia="Gulim" w:hAnsi="Times New Roman"/>
          <w:sz w:val="28"/>
          <w:szCs w:val="28"/>
        </w:rPr>
        <w:t>Novembre</w:t>
      </w:r>
      <w:r w:rsidR="00A002AA">
        <w:rPr>
          <w:rFonts w:ascii="Times New Roman" w:eastAsia="Gulim" w:hAnsi="Times New Roman"/>
          <w:sz w:val="28"/>
          <w:szCs w:val="28"/>
        </w:rPr>
        <w:t xml:space="preserve"> </w:t>
      </w:r>
      <w:r w:rsidR="009F1291">
        <w:rPr>
          <w:rFonts w:ascii="Times New Roman" w:eastAsia="Gulim" w:hAnsi="Times New Roman"/>
          <w:sz w:val="28"/>
          <w:szCs w:val="28"/>
        </w:rPr>
        <w:t xml:space="preserve">et </w:t>
      </w:r>
      <w:r w:rsidR="00EB0AC2">
        <w:rPr>
          <w:rFonts w:ascii="Times New Roman" w:eastAsia="Gulim" w:hAnsi="Times New Roman"/>
          <w:sz w:val="28"/>
          <w:szCs w:val="28"/>
        </w:rPr>
        <w:t>D</w:t>
      </w:r>
      <w:r w:rsidR="005F1CC5">
        <w:rPr>
          <w:rFonts w:ascii="Times New Roman" w:eastAsia="Gulim" w:hAnsi="Times New Roman"/>
          <w:sz w:val="28"/>
          <w:szCs w:val="28"/>
        </w:rPr>
        <w:t>écembre</w:t>
      </w:r>
      <w:r w:rsidR="009F1291">
        <w:rPr>
          <w:rFonts w:ascii="Times New Roman" w:eastAsia="Gulim" w:hAnsi="Times New Roman"/>
          <w:sz w:val="28"/>
          <w:szCs w:val="28"/>
        </w:rPr>
        <w:t xml:space="preserve"> </w:t>
      </w:r>
      <w:r w:rsidR="00AD743E">
        <w:rPr>
          <w:rFonts w:ascii="Times New Roman" w:eastAsia="Gulim" w:hAnsi="Times New Roman"/>
          <w:sz w:val="28"/>
          <w:szCs w:val="28"/>
        </w:rPr>
        <w:t>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B24B53" w:rsidRPr="009C0D33">
        <w:rPr>
          <w:rFonts w:ascii="Times New Roman" w:eastAsia="Gulim" w:hAnsi="Times New Roman"/>
          <w:sz w:val="28"/>
          <w:szCs w:val="28"/>
        </w:rPr>
        <w:t>‘‘</w:t>
      </w:r>
      <w:r w:rsidR="00B24B53">
        <w:rPr>
          <w:rFonts w:ascii="Times New Roman" w:eastAsia="Gulim" w:hAnsi="Times New Roman"/>
          <w:sz w:val="28"/>
          <w:szCs w:val="28"/>
        </w:rPr>
        <w:t>Carburants et lubrifiants</w:t>
      </w:r>
      <w:r w:rsidR="00B24B53" w:rsidRPr="00391850">
        <w:rPr>
          <w:rFonts w:ascii="Times New Roman" w:eastAsia="Gulim" w:hAnsi="Times New Roman"/>
          <w:sz w:val="28"/>
          <w:szCs w:val="28"/>
        </w:rPr>
        <w:t>’’</w:t>
      </w:r>
      <w:r w:rsidR="00B24B53">
        <w:rPr>
          <w:rFonts w:ascii="Times New Roman" w:eastAsia="Gulim" w:hAnsi="Times New Roman"/>
          <w:sz w:val="28"/>
          <w:szCs w:val="28"/>
        </w:rPr>
        <w:t xml:space="preserve"> avec </w:t>
      </w:r>
      <w:r w:rsidR="00AA1F10">
        <w:rPr>
          <w:rFonts w:ascii="Times New Roman" w:eastAsia="Gulim" w:hAnsi="Times New Roman"/>
          <w:sz w:val="28"/>
          <w:szCs w:val="28"/>
        </w:rPr>
        <w:t>8,4</w:t>
      </w:r>
      <w:r w:rsidR="00B24B53">
        <w:rPr>
          <w:rFonts w:ascii="Times New Roman" w:eastAsia="Gulim" w:hAnsi="Times New Roman"/>
          <w:sz w:val="28"/>
          <w:szCs w:val="28"/>
        </w:rPr>
        <w:t>%</w:t>
      </w:r>
      <w:r w:rsidR="00AA1F10">
        <w:rPr>
          <w:rFonts w:ascii="Times New Roman" w:eastAsia="Gulim" w:hAnsi="Times New Roman"/>
          <w:sz w:val="28"/>
          <w:szCs w:val="28"/>
        </w:rPr>
        <w:t xml:space="preserve"> et </w:t>
      </w:r>
      <w:r w:rsidR="00B24B53">
        <w:rPr>
          <w:rFonts w:ascii="Times New Roman" w:eastAsia="Gulim" w:hAnsi="Times New Roman"/>
          <w:sz w:val="28"/>
          <w:szCs w:val="28"/>
        </w:rPr>
        <w:t xml:space="preserve">le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AA1F10">
        <w:rPr>
          <w:rFonts w:ascii="Times New Roman" w:eastAsia="Gulim" w:hAnsi="Times New Roman"/>
          <w:sz w:val="28"/>
          <w:szCs w:val="28"/>
        </w:rPr>
        <w:t>Matériel de traitement de l’information</w:t>
      </w:r>
      <w:r w:rsidR="00DC423B" w:rsidRPr="00391850">
        <w:rPr>
          <w:rFonts w:ascii="Times New Roman" w:eastAsia="Gulim" w:hAnsi="Times New Roman"/>
          <w:sz w:val="28"/>
          <w:szCs w:val="28"/>
        </w:rPr>
        <w:t>’’</w:t>
      </w:r>
      <w:r w:rsidR="00852BA4">
        <w:rPr>
          <w:rFonts w:ascii="Times New Roman" w:eastAsia="Gulim" w:hAnsi="Times New Roman"/>
          <w:sz w:val="28"/>
          <w:szCs w:val="28"/>
        </w:rPr>
        <w:t xml:space="preserve"> avec </w:t>
      </w:r>
      <w:r w:rsidR="00AA1F10">
        <w:rPr>
          <w:rFonts w:ascii="Times New Roman" w:eastAsia="Gulim" w:hAnsi="Times New Roman"/>
          <w:sz w:val="28"/>
          <w:szCs w:val="28"/>
        </w:rPr>
        <w:t>1</w:t>
      </w:r>
      <w:r w:rsidR="00DC423B">
        <w:rPr>
          <w:rFonts w:ascii="Times New Roman" w:eastAsia="Gulim" w:hAnsi="Times New Roman"/>
          <w:sz w:val="28"/>
          <w:szCs w:val="28"/>
        </w:rPr>
        <w:t>,</w:t>
      </w:r>
      <w:r w:rsidR="00B24B53">
        <w:rPr>
          <w:rFonts w:ascii="Times New Roman" w:eastAsia="Gulim" w:hAnsi="Times New Roman"/>
          <w:sz w:val="28"/>
          <w:szCs w:val="28"/>
        </w:rPr>
        <w:t>4</w:t>
      </w:r>
      <w:r w:rsidR="000F370D">
        <w:rPr>
          <w:rFonts w:ascii="Times New Roman" w:eastAsia="Gulim" w:hAnsi="Times New Roman"/>
          <w:sz w:val="28"/>
          <w:szCs w:val="28"/>
        </w:rPr>
        <w:t>%</w:t>
      </w:r>
      <w:r w:rsidR="00AA1F10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B1213A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DEF388C" wp14:editId="31E67742">
            <wp:extent cx="5410200" cy="2533650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B1213A" w:rsidRPr="004E0DA4" w:rsidTr="00B1213A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1213A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Novembre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B1213A" w:rsidRPr="005A6F02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1213A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Décembre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B1213A" w:rsidRPr="005A6F02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1213A" w:rsidRPr="005A6F02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B1213A" w:rsidRPr="005A6F02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B1213A" w:rsidRPr="004E0DA4" w:rsidTr="00B1213A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118,8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119,1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14,2</w:t>
            </w:r>
          </w:p>
        </w:tc>
      </w:tr>
      <w:tr w:rsidR="00B1213A" w:rsidRPr="004E0DA4" w:rsidTr="00B1213A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4,1</w:t>
            </w:r>
          </w:p>
        </w:tc>
      </w:tr>
      <w:tr w:rsidR="00B1213A" w:rsidRPr="00534BE7" w:rsidTr="00B1213A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B1213A" w:rsidRPr="004E0DA4" w:rsidTr="00B1213A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B1213A" w:rsidRPr="004E0DA4" w:rsidTr="00B1213A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7,2</w:t>
            </w:r>
          </w:p>
        </w:tc>
      </w:tr>
      <w:tr w:rsidR="00B1213A" w:rsidRPr="004E0DA4" w:rsidTr="00B1213A">
        <w:trPr>
          <w:trHeight w:val="41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B1213A" w:rsidRPr="004E0DA4" w:rsidTr="00B1213A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128,6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125,0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-2,8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12,8</w:t>
            </w:r>
          </w:p>
        </w:tc>
      </w:tr>
      <w:tr w:rsidR="00B1213A" w:rsidRPr="004E0DA4" w:rsidTr="00B1213A">
        <w:trPr>
          <w:trHeight w:val="45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B1213A" w:rsidRPr="004E0DA4" w:rsidTr="00B1213A">
        <w:trPr>
          <w:trHeight w:val="389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3,7</w:t>
            </w:r>
          </w:p>
        </w:tc>
      </w:tr>
      <w:tr w:rsidR="00B1213A" w:rsidRPr="004E0DA4" w:rsidTr="00B1213A">
        <w:trPr>
          <w:trHeight w:val="341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3,6</w:t>
            </w:r>
          </w:p>
        </w:tc>
      </w:tr>
      <w:tr w:rsidR="00B1213A" w:rsidRPr="004E0DA4" w:rsidTr="00B1213A">
        <w:trPr>
          <w:trHeight w:val="334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3,8</w:t>
            </w:r>
          </w:p>
        </w:tc>
      </w:tr>
      <w:tr w:rsidR="00B1213A" w:rsidRPr="004E0DA4" w:rsidTr="00B1213A">
        <w:trPr>
          <w:trHeight w:val="36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E0DA4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4101EA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B1213A" w:rsidRPr="004E0DA4" w:rsidTr="00B1213A">
        <w:trPr>
          <w:trHeight w:val="45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Default="00B1213A" w:rsidP="00B1213A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5703A7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5703A7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5703A7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5703A7" w:rsidRDefault="00B1213A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13A" w:rsidRPr="005703A7" w:rsidRDefault="009F0411" w:rsidP="00B1213A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7,8</w:t>
            </w:r>
          </w:p>
        </w:tc>
      </w:tr>
    </w:tbl>
    <w:p w:rsidR="001D5B7A" w:rsidRDefault="001D5B7A" w:rsidP="009F0411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9F0411">
        <w:rPr>
          <w:rFonts w:ascii="Times New Roman" w:eastAsia="Gulim" w:hAnsi="Times New Roman"/>
          <w:b/>
          <w:bCs/>
          <w:sz w:val="28"/>
          <w:szCs w:val="28"/>
        </w:rPr>
        <w:t>7,8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4335A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4335AB">
        <w:rPr>
          <w:rFonts w:ascii="Times New Roman" w:eastAsia="Gulim" w:hAnsi="Times New Roman"/>
          <w:sz w:val="28"/>
          <w:szCs w:val="28"/>
        </w:rPr>
        <w:t>7,8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4335AB">
        <w:rPr>
          <w:rFonts w:ascii="Times New Roman" w:eastAsia="Gulim" w:hAnsi="Times New Roman"/>
          <w:sz w:val="28"/>
          <w:szCs w:val="28"/>
        </w:rPr>
        <w:t>14,2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533D12">
        <w:rPr>
          <w:rFonts w:ascii="Times New Roman" w:eastAsia="Gulim" w:hAnsi="Times New Roman"/>
          <w:sz w:val="28"/>
          <w:szCs w:val="28"/>
        </w:rPr>
        <w:t>4,</w:t>
      </w:r>
      <w:r w:rsidR="004335AB">
        <w:rPr>
          <w:rFonts w:ascii="Times New Roman" w:eastAsia="Gulim" w:hAnsi="Times New Roman"/>
          <w:sz w:val="28"/>
          <w:szCs w:val="28"/>
        </w:rPr>
        <w:t>1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B1526E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AC6AB8D" wp14:editId="7A3ABA17">
            <wp:extent cx="5391150" cy="2905125"/>
            <wp:effectExtent l="0" t="0" r="0" b="9525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1526E" w:rsidRPr="00CA3A6A" w:rsidRDefault="00B1526E" w:rsidP="00B1526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 w:rsidRPr="00CA3A6A">
        <w:rPr>
          <w:rFonts w:ascii="Times New Roman" w:eastAsia="Gulim" w:hAnsi="Times New Roman"/>
          <w:b/>
          <w:bCs/>
          <w:sz w:val="28"/>
          <w:szCs w:val="28"/>
        </w:rPr>
        <w:t xml:space="preserve">Hausse de l’IPC annuel de </w:t>
      </w:r>
      <w:r>
        <w:rPr>
          <w:rFonts w:ascii="Times New Roman" w:eastAsia="Gulim" w:hAnsi="Times New Roman"/>
          <w:b/>
          <w:bCs/>
          <w:sz w:val="28"/>
          <w:szCs w:val="28"/>
        </w:rPr>
        <w:t>6,5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t>% au cours de l’année 202</w:t>
      </w:r>
      <w:r>
        <w:rPr>
          <w:rFonts w:ascii="Times New Roman" w:eastAsia="Gulim" w:hAnsi="Times New Roman"/>
          <w:b/>
          <w:bCs/>
          <w:sz w:val="28"/>
          <w:szCs w:val="28"/>
        </w:rPr>
        <w:t>2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t>.</w:t>
      </w:r>
      <w:r w:rsidRPr="00CA3A6A">
        <w:rPr>
          <w:rFonts w:ascii="Times New Roman" w:eastAsia="Gulim" w:hAnsi="Times New Roman"/>
          <w:b/>
          <w:bCs/>
          <w:sz w:val="28"/>
          <w:szCs w:val="28"/>
        </w:rPr>
        <w:br/>
      </w:r>
    </w:p>
    <w:p w:rsidR="00B1526E" w:rsidRDefault="00B1526E" w:rsidP="00FD7DE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CA3A6A">
        <w:rPr>
          <w:rFonts w:ascii="Times New Roman" w:eastAsia="Gulim" w:hAnsi="Times New Roman"/>
          <w:sz w:val="28"/>
          <w:szCs w:val="28"/>
        </w:rPr>
        <w:t>L'IPC annuel moyen a enregistré, au terme de l’année 202</w:t>
      </w:r>
      <w:r>
        <w:rPr>
          <w:rFonts w:ascii="Times New Roman" w:eastAsia="Gulim" w:hAnsi="Times New Roman"/>
          <w:sz w:val="28"/>
          <w:szCs w:val="28"/>
        </w:rPr>
        <w:t>2</w:t>
      </w:r>
      <w:r w:rsidRPr="00CA3A6A">
        <w:rPr>
          <w:rFonts w:ascii="Times New Roman" w:eastAsia="Gulim" w:hAnsi="Times New Roman"/>
          <w:sz w:val="28"/>
          <w:szCs w:val="28"/>
        </w:rPr>
        <w:t xml:space="preserve">, une augmentation de </w:t>
      </w:r>
      <w:r>
        <w:rPr>
          <w:rFonts w:ascii="Times New Roman" w:eastAsia="Gulim" w:hAnsi="Times New Roman"/>
          <w:sz w:val="28"/>
          <w:szCs w:val="28"/>
        </w:rPr>
        <w:t>6,5</w:t>
      </w:r>
      <w:r w:rsidRPr="00CA3A6A">
        <w:rPr>
          <w:rFonts w:ascii="Times New Roman" w:eastAsia="Gulim" w:hAnsi="Times New Roman"/>
          <w:sz w:val="28"/>
          <w:szCs w:val="28"/>
        </w:rPr>
        <w:t>% par rapport à l’année 202</w:t>
      </w:r>
      <w:r>
        <w:rPr>
          <w:rFonts w:ascii="Times New Roman" w:eastAsia="Gulim" w:hAnsi="Times New Roman"/>
          <w:sz w:val="28"/>
          <w:szCs w:val="28"/>
        </w:rPr>
        <w:t>1</w:t>
      </w:r>
      <w:r w:rsidRPr="00B1526E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>suite à la hausse</w:t>
      </w:r>
      <w:r w:rsidRPr="001C5C62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 l’indice des produits alimentaires de </w:t>
      </w:r>
      <w:r w:rsidR="00FD7DE5">
        <w:rPr>
          <w:rFonts w:ascii="Times New Roman" w:eastAsia="Gulim" w:hAnsi="Times New Roman"/>
          <w:noProof/>
          <w:sz w:val="28"/>
          <w:szCs w:val="28"/>
          <w:lang w:eastAsia="fr-FR"/>
        </w:rPr>
        <w:t>10,1</w:t>
      </w:r>
      <w:r w:rsidRPr="001C5C62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% et 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de l’indice </w:t>
      </w:r>
      <w:r w:rsidRPr="001C5C62">
        <w:rPr>
          <w:rFonts w:ascii="Times New Roman" w:eastAsia="Gulim" w:hAnsi="Times New Roman"/>
          <w:noProof/>
          <w:sz w:val="28"/>
          <w:szCs w:val="28"/>
          <w:lang w:eastAsia="fr-FR"/>
        </w:rPr>
        <w:t>des produits non alimentaires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 </w:t>
      </w:r>
      <w:r w:rsidR="00FD7DE5">
        <w:rPr>
          <w:rFonts w:ascii="Times New Roman" w:eastAsia="Gulim" w:hAnsi="Times New Roman"/>
          <w:noProof/>
          <w:sz w:val="28"/>
          <w:szCs w:val="28"/>
          <w:lang w:eastAsia="fr-FR"/>
        </w:rPr>
        <w:t>4,4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>%.</w:t>
      </w:r>
      <w:r w:rsidRPr="00CA3A6A">
        <w:rPr>
          <w:rFonts w:ascii="Times New Roman" w:eastAsia="Gulim" w:hAnsi="Times New Roman"/>
          <w:sz w:val="28"/>
          <w:szCs w:val="28"/>
        </w:rPr>
        <w:t xml:space="preserve"> </w:t>
      </w:r>
    </w:p>
    <w:p w:rsidR="00B1526E" w:rsidRDefault="00B1526E" w:rsidP="00B1526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FD7DE5" w:rsidRDefault="00FD7DE5" w:rsidP="0092636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Au niveau national, l’IPC est en hausse </w:t>
      </w:r>
      <w:r w:rsidR="00926365">
        <w:rPr>
          <w:rFonts w:ascii="Times New Roman" w:eastAsia="Gulim" w:hAnsi="Times New Roman"/>
          <w:b/>
          <w:bCs/>
          <w:sz w:val="28"/>
          <w:szCs w:val="28"/>
        </w:rPr>
        <w:t>de 6,6</w:t>
      </w:r>
      <w:r w:rsidR="00CD2A27">
        <w:rPr>
          <w:rFonts w:ascii="Times New Roman" w:eastAsia="Gulim" w:hAnsi="Times New Roman"/>
          <w:b/>
          <w:bCs/>
          <w:sz w:val="28"/>
          <w:szCs w:val="28"/>
        </w:rPr>
        <w:t>%</w:t>
      </w:r>
      <w:r w:rsidR="00926365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Gulim" w:hAnsi="Times New Roman"/>
          <w:b/>
          <w:bCs/>
          <w:sz w:val="28"/>
          <w:szCs w:val="28"/>
        </w:rPr>
        <w:t>en 20</w:t>
      </w:r>
      <w:r w:rsidR="00926365">
        <w:rPr>
          <w:rFonts w:ascii="Times New Roman" w:eastAsia="Gulim" w:hAnsi="Times New Roman"/>
          <w:b/>
          <w:bCs/>
          <w:sz w:val="28"/>
          <w:szCs w:val="28"/>
        </w:rPr>
        <w:t>22</w:t>
      </w:r>
      <w:r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FD7DE5" w:rsidRDefault="00FD7DE5" w:rsidP="00FD7DE5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FD7DE5" w:rsidRDefault="00FD7DE5" w:rsidP="0092636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niveau national, l’IPC annuel moyen a enregistré une hausse de </w:t>
      </w:r>
      <w:r w:rsidR="00926365">
        <w:rPr>
          <w:rFonts w:ascii="Times New Roman" w:eastAsia="Gulim" w:hAnsi="Times New Roman"/>
          <w:sz w:val="28"/>
          <w:szCs w:val="28"/>
        </w:rPr>
        <w:t>6,6</w:t>
      </w:r>
      <w:r>
        <w:rPr>
          <w:rFonts w:ascii="Times New Roman" w:eastAsia="Gulim" w:hAnsi="Times New Roman"/>
          <w:sz w:val="28"/>
          <w:szCs w:val="28"/>
        </w:rPr>
        <w:t>% au terme de l’année 20</w:t>
      </w:r>
      <w:r w:rsidR="00926365">
        <w:rPr>
          <w:rFonts w:ascii="Times New Roman" w:eastAsia="Gulim" w:hAnsi="Times New Roman"/>
          <w:sz w:val="28"/>
          <w:szCs w:val="28"/>
        </w:rPr>
        <w:t>22</w:t>
      </w:r>
      <w:r>
        <w:rPr>
          <w:rFonts w:ascii="Times New Roman" w:eastAsia="Gulim" w:hAnsi="Times New Roman"/>
          <w:sz w:val="28"/>
          <w:szCs w:val="28"/>
        </w:rPr>
        <w:t xml:space="preserve"> par rapport à l’année 20</w:t>
      </w:r>
      <w:r w:rsidR="00926365">
        <w:rPr>
          <w:rFonts w:ascii="Times New Roman" w:eastAsia="Gulim" w:hAnsi="Times New Roman"/>
          <w:sz w:val="28"/>
          <w:szCs w:val="28"/>
        </w:rPr>
        <w:t>21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FD7DE5" w:rsidRDefault="00FD7DE5" w:rsidP="00FD7DE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801458" w:rsidRDefault="00801458" w:rsidP="0080145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les hausses vont de 5,3% à Dakhla et à Agadir à 8,4% à Al Hoceima.</w:t>
      </w:r>
    </w:p>
    <w:p w:rsidR="00FD7DE5" w:rsidRPr="008D1D52" w:rsidRDefault="00FD7DE5" w:rsidP="00FD7DE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FD7DE5" w:rsidRDefault="00FD7DE5" w:rsidP="00E8469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sectPr w:rsidR="00FD7DE5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34" w:rsidRDefault="00172934">
      <w:r>
        <w:separator/>
      </w:r>
    </w:p>
    <w:p w:rsidR="00172934" w:rsidRDefault="00172934"/>
  </w:endnote>
  <w:endnote w:type="continuationSeparator" w:id="0">
    <w:p w:rsidR="00172934" w:rsidRDefault="00172934">
      <w:r>
        <w:continuationSeparator/>
      </w:r>
    </w:p>
    <w:p w:rsidR="00172934" w:rsidRDefault="001729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02055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02055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34" w:rsidRDefault="00172934">
      <w:r>
        <w:separator/>
      </w:r>
    </w:p>
    <w:p w:rsidR="00172934" w:rsidRDefault="00172934"/>
  </w:footnote>
  <w:footnote w:type="continuationSeparator" w:id="0">
    <w:p w:rsidR="00172934" w:rsidRDefault="00172934">
      <w:r>
        <w:continuationSeparator/>
      </w:r>
    </w:p>
    <w:p w:rsidR="00172934" w:rsidRDefault="001729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055"/>
    <w:rsid w:val="00002D88"/>
    <w:rsid w:val="000030B6"/>
    <w:rsid w:val="000032DE"/>
    <w:rsid w:val="00003520"/>
    <w:rsid w:val="00003C46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34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30EAB"/>
    <w:rsid w:val="00431275"/>
    <w:rsid w:val="00431930"/>
    <w:rsid w:val="00431CE6"/>
    <w:rsid w:val="00431E28"/>
    <w:rsid w:val="00432563"/>
    <w:rsid w:val="004335AB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12_2022\12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12_2022\12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Déc 2021_Déc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  <c:pt idx="11">
                  <c:v>44866</c:v>
                </c:pt>
                <c:pt idx="12">
                  <c:v>44896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-0.1</c:v>
                </c:pt>
                <c:pt idx="1">
                  <c:v>0.5</c:v>
                </c:pt>
                <c:pt idx="2">
                  <c:v>-0.1</c:v>
                </c:pt>
                <c:pt idx="3">
                  <c:v>1.7</c:v>
                </c:pt>
                <c:pt idx="4">
                  <c:v>1.3</c:v>
                </c:pt>
                <c:pt idx="5">
                  <c:v>0.5</c:v>
                </c:pt>
                <c:pt idx="6">
                  <c:v>0.8</c:v>
                </c:pt>
                <c:pt idx="7">
                  <c:v>0.5</c:v>
                </c:pt>
                <c:pt idx="8">
                  <c:v>0.2</c:v>
                </c:pt>
                <c:pt idx="9">
                  <c:v>1.1000000000000001</c:v>
                </c:pt>
                <c:pt idx="10">
                  <c:v>0.8</c:v>
                </c:pt>
                <c:pt idx="11">
                  <c:v>0.4</c:v>
                </c:pt>
                <c:pt idx="12">
                  <c:v>-0.2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49A1-4A1D-8D26-4D93CF53EE21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  <c:pt idx="11">
                  <c:v>44866</c:v>
                </c:pt>
                <c:pt idx="12">
                  <c:v>44896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0.1</c:v>
                </c:pt>
                <c:pt idx="1">
                  <c:v>0</c:v>
                </c:pt>
                <c:pt idx="2">
                  <c:v>0.6</c:v>
                </c:pt>
                <c:pt idx="3">
                  <c:v>1.8</c:v>
                </c:pt>
                <c:pt idx="4">
                  <c:v>1.8</c:v>
                </c:pt>
                <c:pt idx="5">
                  <c:v>0.3</c:v>
                </c:pt>
                <c:pt idx="6">
                  <c:v>0.5</c:v>
                </c:pt>
                <c:pt idx="7">
                  <c:v>0.9</c:v>
                </c:pt>
                <c:pt idx="8">
                  <c:v>0.3</c:v>
                </c:pt>
                <c:pt idx="9">
                  <c:v>1</c:v>
                </c:pt>
                <c:pt idx="10">
                  <c:v>0.4</c:v>
                </c:pt>
                <c:pt idx="11">
                  <c:v>0.4</c:v>
                </c:pt>
                <c:pt idx="12">
                  <c:v>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49A1-4A1D-8D26-4D93CF53EE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1656224"/>
        <c:axId val="501656616"/>
      </c:lineChart>
      <c:dateAx>
        <c:axId val="50165622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1656616"/>
        <c:crosses val="autoZero"/>
        <c:auto val="1"/>
        <c:lblOffset val="100"/>
        <c:baseTimeUnit val="months"/>
      </c:dateAx>
      <c:valAx>
        <c:axId val="501656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165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Feuil9!$A$75:$A$134</c:f>
              <c:numCache>
                <c:formatCode>mmm\-yy</c:formatCode>
                <c:ptCount val="6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</c:numCache>
            </c:numRef>
          </c:cat>
          <c:val>
            <c:numRef>
              <c:f>Feuil9!$B$75:$B$134</c:f>
              <c:numCache>
                <c:formatCode>General</c:formatCode>
                <c:ptCount val="60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481-42DE-82BC-25BB6817F783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Feuil9!$A$75:$A$134</c:f>
              <c:numCache>
                <c:formatCode>mmm\-yy</c:formatCode>
                <c:ptCount val="60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</c:numCache>
            </c:numRef>
          </c:cat>
          <c:val>
            <c:numRef>
              <c:f>Feuil9!$C$75:$C$134</c:f>
              <c:numCache>
                <c:formatCode>General</c:formatCode>
                <c:ptCount val="60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481-42DE-82BC-25BB6817F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01338368"/>
        <c:axId val="501338760"/>
      </c:lineChart>
      <c:dateAx>
        <c:axId val="50133836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1338760"/>
        <c:crosses val="autoZero"/>
        <c:auto val="1"/>
        <c:lblOffset val="100"/>
        <c:baseTimeUnit val="months"/>
      </c:dateAx>
      <c:valAx>
        <c:axId val="501338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01338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3A614C-A266-4A0D-AFDD-4AFEA3A3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689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2023-01-26T11:20:00Z</dcterms:created>
  <dcterms:modified xsi:type="dcterms:W3CDTF">2023-01-26T11:20:00Z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