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A9411F" w:rsidP="00AC008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A9411F" w:rsidP="00A9411F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Stagnation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Janvier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84155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A9411F">
        <w:rPr>
          <w:rFonts w:ascii="Times New Roman" w:eastAsia="Gulim" w:hAnsi="Times New Roman"/>
          <w:sz w:val="28"/>
          <w:szCs w:val="28"/>
        </w:rPr>
        <w:t>stagnation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774911">
        <w:rPr>
          <w:rFonts w:ascii="Times New Roman" w:eastAsia="Gulim" w:hAnsi="Times New Roman"/>
          <w:sz w:val="28"/>
          <w:szCs w:val="28"/>
        </w:rPr>
        <w:t xml:space="preserve">e </w:t>
      </w:r>
      <w:r w:rsidR="00A9411F">
        <w:rPr>
          <w:rFonts w:ascii="Times New Roman" w:eastAsia="Gulim" w:hAnsi="Times New Roman"/>
          <w:sz w:val="28"/>
          <w:szCs w:val="28"/>
        </w:rPr>
        <w:t>Janvier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D5ECA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774911">
        <w:rPr>
          <w:rFonts w:ascii="Times New Roman" w:eastAsia="Gulim" w:hAnsi="Times New Roman"/>
          <w:sz w:val="28"/>
          <w:szCs w:val="28"/>
        </w:rPr>
        <w:t>0</w:t>
      </w:r>
      <w:r w:rsidR="001661A5">
        <w:rPr>
          <w:rFonts w:ascii="Times New Roman" w:eastAsia="Gulim" w:hAnsi="Times New Roman"/>
          <w:sz w:val="28"/>
          <w:szCs w:val="28"/>
        </w:rPr>
        <w:t>,</w:t>
      </w:r>
      <w:r w:rsidR="00841559">
        <w:rPr>
          <w:rFonts w:ascii="Times New Roman" w:eastAsia="Gulim" w:hAnsi="Times New Roman"/>
          <w:sz w:val="28"/>
          <w:szCs w:val="28"/>
        </w:rPr>
        <w:t>5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DD5ECA">
        <w:rPr>
          <w:rFonts w:ascii="Times New Roman" w:eastAsia="Gulim" w:hAnsi="Times New Roman"/>
          <w:sz w:val="28"/>
          <w:szCs w:val="28"/>
        </w:rPr>
        <w:t xml:space="preserve">à une baisse 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A9572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41559">
        <w:rPr>
          <w:rFonts w:ascii="Times New Roman" w:eastAsia="Gulim" w:hAnsi="Times New Roman"/>
          <w:sz w:val="28"/>
          <w:szCs w:val="28"/>
        </w:rPr>
        <w:t>Décembre 2022</w:t>
      </w:r>
      <w:r w:rsidR="00A3432F">
        <w:rPr>
          <w:rFonts w:ascii="Times New Roman" w:eastAsia="Gulim" w:hAnsi="Times New Roman"/>
          <w:sz w:val="28"/>
          <w:szCs w:val="28"/>
        </w:rPr>
        <w:t xml:space="preserve"> et </w:t>
      </w:r>
      <w:r w:rsidR="00841559">
        <w:rPr>
          <w:rFonts w:ascii="Times New Roman" w:eastAsia="Gulim" w:hAnsi="Times New Roman"/>
          <w:sz w:val="28"/>
          <w:szCs w:val="28"/>
        </w:rPr>
        <w:t>Janvier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841559">
        <w:rPr>
          <w:rFonts w:ascii="Times New Roman" w:eastAsia="Gulim" w:hAnsi="Times New Roman"/>
          <w:sz w:val="28"/>
          <w:szCs w:val="28"/>
        </w:rPr>
        <w:t>1</w:t>
      </w:r>
      <w:r w:rsidR="00DD5ECA">
        <w:rPr>
          <w:rFonts w:ascii="Times New Roman" w:eastAsia="Gulim" w:hAnsi="Times New Roman"/>
          <w:sz w:val="28"/>
          <w:szCs w:val="28"/>
        </w:rPr>
        <w:t>,3%</w:t>
      </w:r>
      <w:r w:rsidR="00841559">
        <w:rPr>
          <w:rFonts w:ascii="Times New Roman" w:eastAsia="Gulim" w:hAnsi="Times New Roman"/>
          <w:sz w:val="28"/>
          <w:szCs w:val="28"/>
        </w:rPr>
        <w:t xml:space="preserve">, le </w:t>
      </w:r>
      <w:r w:rsidR="00841559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Lait, fromage et œufs</w:t>
      </w:r>
      <w:r w:rsidR="00841559" w:rsidRPr="009C0D33">
        <w:rPr>
          <w:rFonts w:ascii="Times New Roman" w:eastAsia="Gulim" w:hAnsi="Times New Roman"/>
          <w:sz w:val="28"/>
          <w:szCs w:val="28"/>
        </w:rPr>
        <w:t>’’</w:t>
      </w:r>
      <w:r w:rsidR="00841559">
        <w:rPr>
          <w:rFonts w:ascii="Times New Roman" w:eastAsia="Gulim" w:hAnsi="Times New Roman"/>
          <w:sz w:val="28"/>
          <w:szCs w:val="28"/>
        </w:rPr>
        <w:t xml:space="preserve"> avec 1,5%</w:t>
      </w:r>
      <w:r w:rsidR="00A9572B">
        <w:rPr>
          <w:rFonts w:ascii="Times New Roman" w:eastAsia="Gulim" w:hAnsi="Times New Roman"/>
          <w:sz w:val="28"/>
          <w:szCs w:val="28"/>
        </w:rPr>
        <w:t xml:space="preserve">, </w:t>
      </w:r>
      <w:r w:rsidR="002110C7">
        <w:rPr>
          <w:rFonts w:ascii="Times New Roman" w:eastAsia="Gulim" w:hAnsi="Times New Roman"/>
          <w:sz w:val="28"/>
          <w:szCs w:val="28"/>
        </w:rPr>
        <w:t>le</w:t>
      </w:r>
      <w:r w:rsidR="00AC008A">
        <w:rPr>
          <w:rFonts w:ascii="Times New Roman" w:eastAsia="Gulim" w:hAnsi="Times New Roman"/>
          <w:sz w:val="28"/>
          <w:szCs w:val="28"/>
        </w:rPr>
        <w:t>s</w:t>
      </w:r>
      <w:r w:rsidR="002110C7">
        <w:rPr>
          <w:rFonts w:ascii="Times New Roman" w:eastAsia="Gulim" w:hAnsi="Times New Roman"/>
          <w:sz w:val="28"/>
          <w:szCs w:val="28"/>
        </w:rPr>
        <w:t xml:space="preserve">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Fruits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841559">
        <w:rPr>
          <w:rFonts w:ascii="Times New Roman" w:eastAsia="Gulim" w:hAnsi="Times New Roman"/>
          <w:sz w:val="28"/>
          <w:szCs w:val="28"/>
        </w:rPr>
        <w:t>1,9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A9572B">
        <w:rPr>
          <w:rFonts w:ascii="Times New Roman" w:eastAsia="Gulim" w:hAnsi="Times New Roman"/>
          <w:sz w:val="28"/>
          <w:szCs w:val="28"/>
        </w:rPr>
        <w:t xml:space="preserve"> et le Tabac avec 5,4%</w:t>
      </w:r>
      <w:r w:rsidR="002110C7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A3432F">
        <w:rPr>
          <w:rFonts w:ascii="Times New Roman" w:eastAsia="Gulim" w:hAnsi="Times New Roman"/>
          <w:sz w:val="28"/>
          <w:szCs w:val="28"/>
        </w:rPr>
        <w:t>es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Viandes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841559">
        <w:rPr>
          <w:rFonts w:ascii="Times New Roman" w:eastAsia="Gulim" w:hAnsi="Times New Roman"/>
          <w:sz w:val="28"/>
          <w:szCs w:val="28"/>
        </w:rPr>
        <w:t>0,7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DD5ECA">
        <w:rPr>
          <w:rFonts w:ascii="Times New Roman" w:eastAsia="Gulim" w:hAnsi="Times New Roman"/>
          <w:sz w:val="28"/>
          <w:szCs w:val="28"/>
        </w:rPr>
        <w:t xml:space="preserve"> et des </w:t>
      </w:r>
      <w:r w:rsidR="005C1E0D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Huiles et graisses</w:t>
      </w:r>
      <w:r w:rsidR="005C1E0D" w:rsidRPr="009C0D33">
        <w:rPr>
          <w:rFonts w:ascii="Times New Roman" w:eastAsia="Gulim" w:hAnsi="Times New Roman"/>
          <w:sz w:val="28"/>
          <w:szCs w:val="28"/>
        </w:rPr>
        <w:t>’’</w:t>
      </w:r>
      <w:r w:rsidR="00DD5ECA">
        <w:rPr>
          <w:rFonts w:ascii="Times New Roman" w:eastAsia="Gulim" w:hAnsi="Times New Roman"/>
          <w:sz w:val="28"/>
          <w:szCs w:val="28"/>
        </w:rPr>
        <w:t xml:space="preserve"> avec </w:t>
      </w:r>
      <w:r w:rsidR="00841559">
        <w:rPr>
          <w:rFonts w:ascii="Times New Roman" w:eastAsia="Gulim" w:hAnsi="Times New Roman"/>
          <w:sz w:val="28"/>
          <w:szCs w:val="28"/>
        </w:rPr>
        <w:t>0,6</w:t>
      </w:r>
      <w:r w:rsidR="00DD5ECA">
        <w:rPr>
          <w:rFonts w:ascii="Times New Roman" w:eastAsia="Gulim" w:hAnsi="Times New Roman"/>
          <w:sz w:val="28"/>
          <w:szCs w:val="28"/>
        </w:rPr>
        <w:t>%.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841559" w:rsidRPr="001B6B04" w:rsidTr="00841559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841559" w:rsidRPr="001B6B04" w:rsidTr="00841559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841559" w:rsidRPr="001B6B04" w:rsidTr="00841559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841559" w:rsidRPr="001B6B04" w:rsidTr="00841559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120,8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841559" w:rsidRPr="001B6B04" w:rsidTr="00841559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99,5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841559" w:rsidRPr="001B6B04" w:rsidTr="00841559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115,1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841559" w:rsidRPr="001B6B04" w:rsidTr="00841559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145,9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841559" w:rsidRPr="001B6B04" w:rsidTr="00841559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114,9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841559" w:rsidRPr="001B6B04" w:rsidTr="00841559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841559" w:rsidRPr="001B6B04" w:rsidTr="00841559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843" w:type="dxa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41559" w:rsidRPr="001B6B04" w:rsidTr="00841559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841559" w:rsidRPr="001B6B04" w:rsidTr="00841559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841559" w:rsidRPr="001B6B04" w:rsidTr="00841559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41559" w:rsidRPr="008E7CC9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5,2</w:t>
            </w:r>
          </w:p>
        </w:tc>
      </w:tr>
      <w:tr w:rsidR="00841559" w:rsidRPr="001B6B04" w:rsidTr="00841559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41559" w:rsidRPr="001B6B04" w:rsidTr="00841559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41559" w:rsidRPr="003109A6" w:rsidRDefault="00AC008A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41559" w:rsidRPr="003109A6" w:rsidRDefault="00AC008A" w:rsidP="0084155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5,4</w:t>
            </w:r>
          </w:p>
        </w:tc>
      </w:tr>
      <w:tr w:rsidR="00841559" w:rsidRPr="001B6B04" w:rsidTr="00841559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841559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41559" w:rsidRPr="003109A6" w:rsidRDefault="00AC008A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41559" w:rsidRPr="003109A6" w:rsidRDefault="00AC008A" w:rsidP="0084155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:rsidR="00267A4B" w:rsidRDefault="005F1CC5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B82C7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B0AC2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AC008A">
        <w:rPr>
          <w:rFonts w:ascii="Times New Roman" w:eastAsia="Gulim" w:hAnsi="Times New Roman"/>
          <w:sz w:val="28"/>
          <w:szCs w:val="28"/>
        </w:rPr>
        <w:t>Décembre 2022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 xml:space="preserve">et </w:t>
      </w:r>
      <w:r w:rsidR="00AC008A">
        <w:rPr>
          <w:rFonts w:ascii="Times New Roman" w:eastAsia="Gulim" w:hAnsi="Times New Roman"/>
          <w:sz w:val="28"/>
          <w:szCs w:val="28"/>
        </w:rPr>
        <w:t>Janvier 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</w:t>
      </w:r>
      <w:r w:rsidR="00AC008A">
        <w:rPr>
          <w:rFonts w:ascii="Times New Roman" w:eastAsia="Gulim" w:hAnsi="Times New Roman"/>
          <w:sz w:val="28"/>
          <w:szCs w:val="28"/>
        </w:rPr>
        <w:t>3,3</w:t>
      </w:r>
      <w:r w:rsidR="00B24B53">
        <w:rPr>
          <w:rFonts w:ascii="Times New Roman" w:eastAsia="Gulim" w:hAnsi="Times New Roman"/>
          <w:sz w:val="28"/>
          <w:szCs w:val="28"/>
        </w:rPr>
        <w:t>%</w:t>
      </w:r>
      <w:r w:rsidR="00AA1F10">
        <w:rPr>
          <w:rFonts w:ascii="Times New Roman" w:eastAsia="Gulim" w:hAnsi="Times New Roman"/>
          <w:sz w:val="28"/>
          <w:szCs w:val="28"/>
        </w:rPr>
        <w:t xml:space="preserve"> et </w:t>
      </w:r>
      <w:r w:rsidR="00B24B53">
        <w:rPr>
          <w:rFonts w:ascii="Times New Roman" w:eastAsia="Gulim" w:hAnsi="Times New Roman"/>
          <w:sz w:val="28"/>
          <w:szCs w:val="28"/>
        </w:rPr>
        <w:t xml:space="preserve">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B82C77">
        <w:rPr>
          <w:rFonts w:ascii="Times New Roman" w:eastAsia="Gulim" w:hAnsi="Times New Roman"/>
          <w:sz w:val="28"/>
          <w:szCs w:val="28"/>
        </w:rPr>
        <w:t>T</w:t>
      </w:r>
      <w:r w:rsidR="00AC008A">
        <w:rPr>
          <w:rFonts w:ascii="Times New Roman" w:eastAsia="Gulim" w:hAnsi="Times New Roman"/>
          <w:sz w:val="28"/>
          <w:szCs w:val="28"/>
        </w:rPr>
        <w:t>ransport routier de passagers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avec </w:t>
      </w:r>
      <w:r w:rsidR="00AC008A">
        <w:rPr>
          <w:rFonts w:ascii="Times New Roman" w:eastAsia="Gulim" w:hAnsi="Times New Roman"/>
          <w:sz w:val="28"/>
          <w:szCs w:val="28"/>
        </w:rPr>
        <w:t>2,9</w:t>
      </w:r>
      <w:r w:rsidR="000F370D">
        <w:rPr>
          <w:rFonts w:ascii="Times New Roman" w:eastAsia="Gulim" w:hAnsi="Times New Roman"/>
          <w:sz w:val="28"/>
          <w:szCs w:val="28"/>
        </w:rPr>
        <w:t>%</w:t>
      </w:r>
      <w:r w:rsidR="00AA1F10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AC008A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C5D19AE" wp14:editId="179536E5">
            <wp:extent cx="5286375" cy="25527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AC008A" w:rsidRPr="004E0DA4" w:rsidTr="00AC008A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C008A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Décembre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C008A" w:rsidRPr="005A6F02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C008A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Janvier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C008A" w:rsidRPr="005A6F02" w:rsidRDefault="00AC008A" w:rsidP="006D231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 w:rsidR="006D231C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C008A" w:rsidRPr="005A6F02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AC008A" w:rsidRPr="005A6F02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AC008A" w:rsidRPr="004E0DA4" w:rsidTr="00AC008A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13,8</w:t>
            </w:r>
          </w:p>
        </w:tc>
      </w:tr>
      <w:tr w:rsidR="00AC008A" w:rsidRPr="004E0DA4" w:rsidTr="00AC008A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AC008A" w:rsidRPr="00534BE7" w:rsidTr="00AC008A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AC008A" w:rsidRPr="004E0DA4" w:rsidTr="00AC008A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AC008A" w:rsidRPr="004E0DA4" w:rsidTr="00AC008A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  <w:tr w:rsidR="00AC008A" w:rsidRPr="004E0DA4" w:rsidTr="00AC008A">
        <w:trPr>
          <w:trHeight w:val="41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AC008A" w:rsidRPr="004E0DA4" w:rsidTr="00AC008A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-1,9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10,3</w:t>
            </w:r>
          </w:p>
        </w:tc>
      </w:tr>
      <w:tr w:rsidR="00AC008A" w:rsidRPr="004E0DA4" w:rsidTr="00AC008A">
        <w:trPr>
          <w:trHeight w:val="45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AC008A" w:rsidRPr="004E0DA4" w:rsidTr="00AC008A">
        <w:trPr>
          <w:trHeight w:val="38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AC008A" w:rsidRPr="004E0DA4" w:rsidTr="00AC008A">
        <w:trPr>
          <w:trHeight w:val="34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AC008A" w:rsidRPr="004E0DA4" w:rsidTr="00AC008A">
        <w:trPr>
          <w:trHeight w:val="33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AC008A" w:rsidRPr="004E0DA4" w:rsidTr="00AC008A">
        <w:trPr>
          <w:trHeight w:val="36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E0DA4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4101EA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AC008A" w:rsidRPr="004E0DA4" w:rsidTr="00AC008A">
        <w:trPr>
          <w:trHeight w:val="45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Default="00AC008A" w:rsidP="00AC008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5703A7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5703A7" w:rsidRDefault="00AC008A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5703A7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5703A7" w:rsidRDefault="00A02A24" w:rsidP="00AC008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08A" w:rsidRPr="005703A7" w:rsidRDefault="00A02A24" w:rsidP="009C100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</w:t>
            </w:r>
            <w:r w:rsidR="009C1004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</w:t>
            </w:r>
          </w:p>
        </w:tc>
      </w:tr>
    </w:tbl>
    <w:p w:rsidR="001D5B7A" w:rsidRDefault="001D5B7A" w:rsidP="009C100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9F0411">
        <w:rPr>
          <w:rFonts w:ascii="Times New Roman" w:eastAsia="Gulim" w:hAnsi="Times New Roman"/>
          <w:b/>
          <w:bCs/>
          <w:sz w:val="28"/>
          <w:szCs w:val="28"/>
        </w:rPr>
        <w:t>7,</w:t>
      </w:r>
      <w:r w:rsidR="009C1004">
        <w:rPr>
          <w:rFonts w:ascii="Times New Roman" w:eastAsia="Gulim" w:hAnsi="Times New Roman"/>
          <w:b/>
          <w:bCs/>
          <w:sz w:val="28"/>
          <w:szCs w:val="28"/>
        </w:rPr>
        <w:t>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9C100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4335AB">
        <w:rPr>
          <w:rFonts w:ascii="Times New Roman" w:eastAsia="Gulim" w:hAnsi="Times New Roman"/>
          <w:sz w:val="28"/>
          <w:szCs w:val="28"/>
        </w:rPr>
        <w:t>7,</w:t>
      </w:r>
      <w:r w:rsidR="009C1004">
        <w:rPr>
          <w:rFonts w:ascii="Times New Roman" w:eastAsia="Gulim" w:hAnsi="Times New Roman"/>
          <w:sz w:val="28"/>
          <w:szCs w:val="28"/>
        </w:rPr>
        <w:t>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427BB0">
        <w:rPr>
          <w:rFonts w:ascii="Times New Roman" w:eastAsia="Gulim" w:hAnsi="Times New Roman"/>
          <w:sz w:val="28"/>
          <w:szCs w:val="28"/>
        </w:rPr>
        <w:t>13,8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427BB0">
        <w:rPr>
          <w:rFonts w:ascii="Times New Roman" w:eastAsia="Gulim" w:hAnsi="Times New Roman"/>
          <w:sz w:val="28"/>
          <w:szCs w:val="28"/>
        </w:rPr>
        <w:t>3,6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CB2A00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2D172E2" wp14:editId="6A24AEF4">
            <wp:extent cx="5362575" cy="3076575"/>
            <wp:effectExtent l="0" t="0" r="9525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CB2A00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Janvier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hausse de 0,5% en glissement mensuel et de 8,9%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9C100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inégale allant d’une </w:t>
      </w:r>
      <w:r w:rsidR="009C1004">
        <w:rPr>
          <w:rFonts w:ascii="Times New Roman" w:eastAsia="Gulim" w:hAnsi="Times New Roman"/>
          <w:sz w:val="28"/>
          <w:szCs w:val="28"/>
        </w:rPr>
        <w:t>stagnation</w:t>
      </w:r>
      <w:r>
        <w:rPr>
          <w:rFonts w:ascii="Times New Roman" w:eastAsia="Gulim" w:hAnsi="Times New Roman"/>
          <w:sz w:val="28"/>
          <w:szCs w:val="28"/>
        </w:rPr>
        <w:t xml:space="preserve"> à </w:t>
      </w:r>
      <w:r w:rsidR="009C1004">
        <w:rPr>
          <w:rFonts w:ascii="Times New Roman" w:eastAsia="Gulim" w:hAnsi="Times New Roman"/>
          <w:sz w:val="28"/>
          <w:szCs w:val="28"/>
        </w:rPr>
        <w:t>Casablanca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9C1004">
        <w:rPr>
          <w:rFonts w:ascii="Times New Roman" w:eastAsia="Gulim" w:hAnsi="Times New Roman"/>
          <w:sz w:val="28"/>
          <w:szCs w:val="28"/>
        </w:rPr>
        <w:t>1,2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9C1004">
        <w:rPr>
          <w:rFonts w:ascii="Times New Roman" w:eastAsia="Gulim" w:hAnsi="Times New Roman"/>
          <w:sz w:val="28"/>
          <w:szCs w:val="28"/>
        </w:rPr>
        <w:t>Guelmim et</w:t>
      </w:r>
      <w:r w:rsidR="00CD018D">
        <w:rPr>
          <w:rFonts w:ascii="Times New Roman" w:eastAsia="Gulim" w:hAnsi="Times New Roman"/>
          <w:sz w:val="28"/>
          <w:szCs w:val="28"/>
        </w:rPr>
        <w:t xml:space="preserve"> à</w:t>
      </w:r>
      <w:r w:rsidR="009C1004">
        <w:rPr>
          <w:rFonts w:ascii="Times New Roman" w:eastAsia="Gulim" w:hAnsi="Times New Roman"/>
          <w:sz w:val="28"/>
          <w:szCs w:val="28"/>
        </w:rPr>
        <w:t xml:space="preserve"> Errachidia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CB2A00" w:rsidRDefault="00CB2A00" w:rsidP="00B1526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E1" w:rsidRDefault="008B38E1">
      <w:r>
        <w:separator/>
      </w:r>
    </w:p>
    <w:p w:rsidR="008B38E1" w:rsidRDefault="008B38E1"/>
  </w:endnote>
  <w:endnote w:type="continuationSeparator" w:id="0">
    <w:p w:rsidR="008B38E1" w:rsidRDefault="008B38E1">
      <w:r>
        <w:continuationSeparator/>
      </w:r>
    </w:p>
    <w:p w:rsidR="008B38E1" w:rsidRDefault="008B3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35A0C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35A0C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E1" w:rsidRDefault="008B38E1">
      <w:r>
        <w:separator/>
      </w:r>
    </w:p>
    <w:p w:rsidR="008B38E1" w:rsidRDefault="008B38E1"/>
  </w:footnote>
  <w:footnote w:type="continuationSeparator" w:id="0">
    <w:p w:rsidR="008B38E1" w:rsidRDefault="008B38E1">
      <w:r>
        <w:continuationSeparator/>
      </w:r>
    </w:p>
    <w:p w:rsidR="008B38E1" w:rsidRDefault="008B38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5A0C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35AB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8E1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1_2023\01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1_2023\01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Jan 2022_Jan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  <c:pt idx="12">
                  <c:v>44927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0.5</c:v>
                </c:pt>
                <c:pt idx="1">
                  <c:v>-0.1</c:v>
                </c:pt>
                <c:pt idx="2">
                  <c:v>1.7</c:v>
                </c:pt>
                <c:pt idx="3">
                  <c:v>1.3</c:v>
                </c:pt>
                <c:pt idx="4">
                  <c:v>0.5</c:v>
                </c:pt>
                <c:pt idx="5">
                  <c:v>0.8</c:v>
                </c:pt>
                <c:pt idx="6">
                  <c:v>0.5</c:v>
                </c:pt>
                <c:pt idx="7">
                  <c:v>0.2</c:v>
                </c:pt>
                <c:pt idx="8">
                  <c:v>1.1000000000000001</c:v>
                </c:pt>
                <c:pt idx="9">
                  <c:v>0.8</c:v>
                </c:pt>
                <c:pt idx="10">
                  <c:v>0.4</c:v>
                </c:pt>
                <c:pt idx="11">
                  <c:v>-0.2</c:v>
                </c:pt>
                <c:pt idx="12">
                  <c:v>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188-450B-8EC5-C4F0AF3E4BFB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  <c:pt idx="12">
                  <c:v>44927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</c:v>
                </c:pt>
                <c:pt idx="1">
                  <c:v>0.6</c:v>
                </c:pt>
                <c:pt idx="2">
                  <c:v>1.8</c:v>
                </c:pt>
                <c:pt idx="3">
                  <c:v>1.8</c:v>
                </c:pt>
                <c:pt idx="4">
                  <c:v>0.3</c:v>
                </c:pt>
                <c:pt idx="5">
                  <c:v>0.5</c:v>
                </c:pt>
                <c:pt idx="6">
                  <c:v>0.9</c:v>
                </c:pt>
                <c:pt idx="7">
                  <c:v>0.3</c:v>
                </c:pt>
                <c:pt idx="8">
                  <c:v>1</c:v>
                </c:pt>
                <c:pt idx="9">
                  <c:v>0.4</c:v>
                </c:pt>
                <c:pt idx="10">
                  <c:v>0.4</c:v>
                </c:pt>
                <c:pt idx="11">
                  <c:v>0.1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188-450B-8EC5-C4F0AF3E4B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7383040"/>
        <c:axId val="427384216"/>
      </c:lineChart>
      <c:dateAx>
        <c:axId val="4273830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7384216"/>
        <c:crosses val="autoZero"/>
        <c:auto val="1"/>
        <c:lblOffset val="100"/>
        <c:baseTimeUnit val="months"/>
      </c:dateAx>
      <c:valAx>
        <c:axId val="427384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738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10949074074074074"/>
          <c:w val="0.90286351706036749"/>
          <c:h val="0.66736986001749776"/>
        </c:manualLayout>
      </c:layout>
      <c:lineChart>
        <c:grouping val="standard"/>
        <c:varyColors val="0"/>
        <c:ser>
          <c:idx val="0"/>
          <c:order val="0"/>
          <c:tx>
            <c:strRef>
              <c:f>Feuil9!$B$82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Feuil9!$A$83:$A$143</c:f>
              <c:numCache>
                <c:formatCode>mmm\-yy</c:formatCode>
                <c:ptCount val="6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</c:numCache>
            </c:numRef>
          </c:cat>
          <c:val>
            <c:numRef>
              <c:f>Feuil9!$B$83:$B$143</c:f>
              <c:numCache>
                <c:formatCode>General</c:formatCode>
                <c:ptCount val="61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C73-48DE-9223-445194646500}"/>
            </c:ext>
          </c:extLst>
        </c:ser>
        <c:ser>
          <c:idx val="1"/>
          <c:order val="1"/>
          <c:tx>
            <c:strRef>
              <c:f>Feuil9!$C$82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Feuil9!$A$83:$A$143</c:f>
              <c:numCache>
                <c:formatCode>mmm\-yy</c:formatCode>
                <c:ptCount val="6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</c:numCache>
            </c:numRef>
          </c:cat>
          <c:val>
            <c:numRef>
              <c:f>Feuil9!$C$83:$C$143</c:f>
              <c:numCache>
                <c:formatCode>General</c:formatCode>
                <c:ptCount val="61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C73-48DE-9223-445194646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7381080"/>
        <c:axId val="427382256"/>
      </c:lineChart>
      <c:dateAx>
        <c:axId val="4273810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7382256"/>
        <c:crosses val="autoZero"/>
        <c:auto val="1"/>
        <c:lblOffset val="100"/>
        <c:baseTimeUnit val="months"/>
      </c:dateAx>
      <c:valAx>
        <c:axId val="42738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7381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5FF549-431D-437F-838B-63614EB8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2023-03-01T14:57:00Z</dcterms:created>
  <dcterms:modified xsi:type="dcterms:W3CDTF">2023-03-01T14:57:00Z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