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774911" w:rsidP="006B51E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Novembre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774911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774911">
        <w:rPr>
          <w:rFonts w:ascii="Times New Roman" w:eastAsia="Gulim" w:hAnsi="Times New Roman"/>
          <w:b/>
          <w:bCs/>
          <w:sz w:val="28"/>
          <w:szCs w:val="28"/>
        </w:rPr>
        <w:t>Novembre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1661A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2110C7">
        <w:rPr>
          <w:rFonts w:ascii="Times New Roman" w:eastAsia="Gulim" w:hAnsi="Times New Roman"/>
          <w:sz w:val="28"/>
          <w:szCs w:val="28"/>
        </w:rPr>
        <w:t>0,</w:t>
      </w:r>
      <w:r w:rsidR="00774911">
        <w:rPr>
          <w:rFonts w:ascii="Times New Roman" w:eastAsia="Gulim" w:hAnsi="Times New Roman"/>
          <w:sz w:val="28"/>
          <w:szCs w:val="28"/>
        </w:rPr>
        <w:t>4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774911">
        <w:rPr>
          <w:rFonts w:ascii="Times New Roman" w:eastAsia="Gulim" w:hAnsi="Times New Roman"/>
          <w:sz w:val="28"/>
          <w:szCs w:val="28"/>
        </w:rPr>
        <w:t>e Novembre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774911">
        <w:rPr>
          <w:rFonts w:ascii="Times New Roman" w:eastAsia="Gulim" w:hAnsi="Times New Roman"/>
          <w:sz w:val="28"/>
          <w:szCs w:val="28"/>
        </w:rPr>
        <w:t>0</w:t>
      </w:r>
      <w:r w:rsidR="001661A5">
        <w:rPr>
          <w:rFonts w:ascii="Times New Roman" w:eastAsia="Gulim" w:hAnsi="Times New Roman"/>
          <w:sz w:val="28"/>
          <w:szCs w:val="28"/>
        </w:rPr>
        <w:t>,</w:t>
      </w:r>
      <w:r w:rsidR="00774911">
        <w:rPr>
          <w:rFonts w:ascii="Times New Roman" w:eastAsia="Gulim" w:hAnsi="Times New Roman"/>
          <w:sz w:val="28"/>
          <w:szCs w:val="28"/>
        </w:rPr>
        <w:t>2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de 0,</w:t>
      </w:r>
      <w:r w:rsidR="00774911">
        <w:rPr>
          <w:rFonts w:ascii="Times New Roman" w:eastAsia="Gulim" w:hAnsi="Times New Roman"/>
          <w:sz w:val="28"/>
          <w:szCs w:val="28"/>
        </w:rPr>
        <w:t>6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1661A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774911">
        <w:rPr>
          <w:rFonts w:ascii="Times New Roman" w:eastAsia="Gulim" w:hAnsi="Times New Roman"/>
          <w:sz w:val="28"/>
          <w:szCs w:val="28"/>
        </w:rPr>
        <w:t>Octobre</w:t>
      </w:r>
      <w:r w:rsidR="00A3432F">
        <w:rPr>
          <w:rFonts w:ascii="Times New Roman" w:eastAsia="Gulim" w:hAnsi="Times New Roman"/>
          <w:sz w:val="28"/>
          <w:szCs w:val="28"/>
        </w:rPr>
        <w:t xml:space="preserve"> et </w:t>
      </w:r>
      <w:r w:rsidR="00774911">
        <w:rPr>
          <w:rFonts w:ascii="Times New Roman" w:eastAsia="Gulim" w:hAnsi="Times New Roman"/>
          <w:sz w:val="28"/>
          <w:szCs w:val="28"/>
        </w:rPr>
        <w:t>Novembre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774911">
        <w:rPr>
          <w:rFonts w:ascii="Times New Roman" w:eastAsia="Gulim" w:hAnsi="Times New Roman"/>
          <w:sz w:val="28"/>
          <w:szCs w:val="28"/>
        </w:rPr>
        <w:t>Huiles et graisses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774911">
        <w:rPr>
          <w:rFonts w:ascii="Times New Roman" w:eastAsia="Gulim" w:hAnsi="Times New Roman"/>
          <w:sz w:val="28"/>
          <w:szCs w:val="28"/>
        </w:rPr>
        <w:t>2,5</w:t>
      </w:r>
      <w:r w:rsidR="00391836">
        <w:rPr>
          <w:rFonts w:ascii="Times New Roman" w:eastAsia="Gulim" w:hAnsi="Times New Roman"/>
          <w:sz w:val="28"/>
          <w:szCs w:val="28"/>
        </w:rPr>
        <w:t xml:space="preserve">%, </w:t>
      </w:r>
      <w:r w:rsidR="002110C7">
        <w:rPr>
          <w:rFonts w:ascii="Times New Roman" w:eastAsia="Gulim" w:hAnsi="Times New Roman"/>
          <w:sz w:val="28"/>
          <w:szCs w:val="28"/>
        </w:rPr>
        <w:t xml:space="preserve">les </w:t>
      </w:r>
      <w:r w:rsidR="009F0841" w:rsidRPr="009C0D33">
        <w:rPr>
          <w:rFonts w:ascii="Times New Roman" w:eastAsia="Gulim" w:hAnsi="Times New Roman"/>
          <w:sz w:val="28"/>
          <w:szCs w:val="28"/>
        </w:rPr>
        <w:t>‘‘</w:t>
      </w:r>
      <w:r w:rsidR="002110C7">
        <w:rPr>
          <w:rFonts w:ascii="Times New Roman" w:eastAsia="Gulim" w:hAnsi="Times New Roman"/>
          <w:sz w:val="28"/>
          <w:szCs w:val="28"/>
        </w:rPr>
        <w:t>Fruits</w:t>
      </w:r>
      <w:r w:rsidR="009F0841" w:rsidRPr="009C0D33">
        <w:rPr>
          <w:rFonts w:ascii="Times New Roman" w:eastAsia="Gulim" w:hAnsi="Times New Roman"/>
          <w:sz w:val="28"/>
          <w:szCs w:val="28"/>
        </w:rPr>
        <w:t>’’</w:t>
      </w:r>
      <w:r w:rsidR="002110C7">
        <w:rPr>
          <w:rFonts w:ascii="Times New Roman" w:eastAsia="Gulim" w:hAnsi="Times New Roman"/>
          <w:sz w:val="28"/>
          <w:szCs w:val="28"/>
        </w:rPr>
        <w:t xml:space="preserve"> </w:t>
      </w:r>
      <w:r w:rsidR="006479F9">
        <w:rPr>
          <w:rFonts w:cs="Arial" w:hint="cs"/>
          <w:b/>
          <w:bCs/>
          <w:rtl/>
        </w:rPr>
        <w:t>114,2</w:t>
      </w:r>
      <w:r w:rsidR="002110C7">
        <w:rPr>
          <w:rFonts w:ascii="Times New Roman" w:eastAsia="Gulim" w:hAnsi="Times New Roman"/>
          <w:sz w:val="28"/>
          <w:szCs w:val="28"/>
        </w:rPr>
        <w:t xml:space="preserve">et le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1661A5">
        <w:rPr>
          <w:rFonts w:ascii="Times New Roman" w:eastAsia="Gulim" w:hAnsi="Times New Roman"/>
          <w:sz w:val="28"/>
          <w:szCs w:val="28"/>
        </w:rPr>
        <w:t>Lait, fromage et œufs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774911">
        <w:rPr>
          <w:rFonts w:ascii="Times New Roman" w:eastAsia="Gulim" w:hAnsi="Times New Roman"/>
          <w:sz w:val="28"/>
          <w:szCs w:val="28"/>
        </w:rPr>
        <w:t>0,</w:t>
      </w:r>
      <w:r w:rsidR="001661A5">
        <w:rPr>
          <w:rFonts w:ascii="Times New Roman" w:eastAsia="Gulim" w:hAnsi="Times New Roman"/>
          <w:sz w:val="28"/>
          <w:szCs w:val="28"/>
        </w:rPr>
        <w:t>8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2110C7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A3432F">
        <w:rPr>
          <w:rFonts w:ascii="Times New Roman" w:eastAsia="Gulim" w:hAnsi="Times New Roman"/>
          <w:sz w:val="28"/>
          <w:szCs w:val="28"/>
        </w:rPr>
        <w:t>es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774911">
        <w:rPr>
          <w:rFonts w:ascii="Times New Roman" w:eastAsia="Gulim" w:hAnsi="Times New Roman"/>
          <w:sz w:val="28"/>
          <w:szCs w:val="28"/>
        </w:rPr>
        <w:t>Légumes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774911">
        <w:rPr>
          <w:rFonts w:ascii="Times New Roman" w:eastAsia="Gulim" w:hAnsi="Times New Roman"/>
          <w:sz w:val="28"/>
          <w:szCs w:val="28"/>
        </w:rPr>
        <w:t>2,1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391836">
        <w:rPr>
          <w:rFonts w:ascii="Times New Roman" w:eastAsia="Gulim" w:hAnsi="Times New Roman"/>
          <w:sz w:val="28"/>
          <w:szCs w:val="28"/>
        </w:rPr>
        <w:t>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774911" w:rsidRPr="001B6B04" w:rsidTr="00774911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Oct_2022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Nov_2022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774911" w:rsidRPr="001B6B04" w:rsidTr="00774911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774911" w:rsidRPr="008E7CC9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774911" w:rsidRPr="001B6B04" w:rsidTr="00774911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74911" w:rsidRPr="001B6B04" w:rsidTr="00774911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118,9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1E55AE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74911" w:rsidRPr="001B6B04" w:rsidTr="00774911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74911" w:rsidRPr="001B6B04" w:rsidTr="00774911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111,2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774911" w:rsidRPr="001B6B04" w:rsidTr="00774911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137,8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774911" w:rsidRPr="001B6B04" w:rsidTr="00774911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122,7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774911" w:rsidRPr="001B6B04" w:rsidTr="00774911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125,9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-2,1</w:t>
            </w:r>
          </w:p>
        </w:tc>
      </w:tr>
      <w:tr w:rsidR="00774911" w:rsidRPr="001B6B04" w:rsidTr="00774911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843" w:type="dxa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4911" w:rsidRPr="001B6B04" w:rsidTr="00774911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774911" w:rsidRPr="001B6B04" w:rsidTr="00774911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774911" w:rsidRPr="001B6B04" w:rsidTr="00774911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774911" w:rsidRPr="008E7CC9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774911" w:rsidRPr="008E7CC9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4911" w:rsidRPr="001B6B04" w:rsidTr="00774911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4911" w:rsidRPr="001B6B04" w:rsidTr="00774911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774911" w:rsidRPr="001B6B04" w:rsidTr="00774911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774911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774911" w:rsidRPr="003109A6" w:rsidRDefault="001E55AE" w:rsidP="0077491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267A4B" w:rsidRDefault="00AF3612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A86445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B24B53">
        <w:rPr>
          <w:rFonts w:ascii="Times New Roman" w:eastAsia="Gulim" w:hAnsi="Times New Roman"/>
          <w:sz w:val="28"/>
          <w:szCs w:val="28"/>
        </w:rPr>
        <w:t>Octobre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 xml:space="preserve">et </w:t>
      </w:r>
      <w:r w:rsidR="00B24B53">
        <w:rPr>
          <w:rFonts w:ascii="Times New Roman" w:eastAsia="Gulim" w:hAnsi="Times New Roman"/>
          <w:sz w:val="28"/>
          <w:szCs w:val="28"/>
        </w:rPr>
        <w:t>Novembre</w:t>
      </w:r>
      <w:r w:rsidR="009F1291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7,9%, les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852BA4">
        <w:rPr>
          <w:rFonts w:ascii="Times New Roman" w:eastAsia="Gulim" w:hAnsi="Times New Roman"/>
          <w:sz w:val="28"/>
          <w:szCs w:val="28"/>
        </w:rPr>
        <w:t>Articles d’habillements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avec 0</w:t>
      </w:r>
      <w:r w:rsidR="00DC423B">
        <w:rPr>
          <w:rFonts w:ascii="Times New Roman" w:eastAsia="Gulim" w:hAnsi="Times New Roman"/>
          <w:sz w:val="28"/>
          <w:szCs w:val="28"/>
        </w:rPr>
        <w:t>,</w:t>
      </w:r>
      <w:r w:rsidR="00B24B53">
        <w:rPr>
          <w:rFonts w:ascii="Times New Roman" w:eastAsia="Gulim" w:hAnsi="Times New Roman"/>
          <w:sz w:val="28"/>
          <w:szCs w:val="28"/>
        </w:rPr>
        <w:t>4</w:t>
      </w:r>
      <w:r w:rsidR="000F370D">
        <w:rPr>
          <w:rFonts w:ascii="Times New Roman" w:eastAsia="Gulim" w:hAnsi="Times New Roman"/>
          <w:sz w:val="28"/>
          <w:szCs w:val="28"/>
        </w:rPr>
        <w:t>%</w:t>
      </w:r>
      <w:r w:rsidR="00B24B53">
        <w:rPr>
          <w:rFonts w:ascii="Times New Roman" w:eastAsia="Gulim" w:hAnsi="Times New Roman"/>
          <w:sz w:val="28"/>
          <w:szCs w:val="28"/>
        </w:rPr>
        <w:t xml:space="preserve"> et </w:t>
      </w:r>
      <w:r w:rsidR="00852BA4">
        <w:rPr>
          <w:rFonts w:ascii="Times New Roman" w:eastAsia="Gulim" w:hAnsi="Times New Roman"/>
          <w:sz w:val="28"/>
          <w:szCs w:val="28"/>
        </w:rPr>
        <w:t>l</w:t>
      </w:r>
      <w:r w:rsidR="00B24B53">
        <w:rPr>
          <w:rFonts w:ascii="Times New Roman" w:eastAsia="Gulim" w:hAnsi="Times New Roman"/>
          <w:sz w:val="28"/>
          <w:szCs w:val="28"/>
        </w:rPr>
        <w:t xml:space="preserve">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Appareils ménagers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1F6F90">
        <w:rPr>
          <w:rFonts w:ascii="Times New Roman" w:eastAsia="Gulim" w:hAnsi="Times New Roman"/>
          <w:sz w:val="28"/>
          <w:szCs w:val="28"/>
        </w:rPr>
        <w:t xml:space="preserve"> </w:t>
      </w:r>
      <w:r w:rsidR="00852BA4">
        <w:rPr>
          <w:rFonts w:ascii="Times New Roman" w:eastAsia="Gulim" w:hAnsi="Times New Roman"/>
          <w:sz w:val="28"/>
          <w:szCs w:val="28"/>
        </w:rPr>
        <w:t xml:space="preserve">avec </w:t>
      </w:r>
      <w:r w:rsidR="00B24B53">
        <w:rPr>
          <w:rFonts w:ascii="Times New Roman" w:eastAsia="Gulim" w:hAnsi="Times New Roman"/>
          <w:sz w:val="28"/>
          <w:szCs w:val="28"/>
        </w:rPr>
        <w:t>0,5</w:t>
      </w:r>
      <w:r w:rsidR="00852BA4">
        <w:rPr>
          <w:rFonts w:ascii="Times New Roman" w:eastAsia="Gulim" w:hAnsi="Times New Roman"/>
          <w:sz w:val="28"/>
          <w:szCs w:val="28"/>
        </w:rPr>
        <w:t>%</w:t>
      </w:r>
      <w:r w:rsidR="00B24B53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A26F2E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9EB2CA8" wp14:editId="577A6AE7">
            <wp:extent cx="5400675" cy="2324100"/>
            <wp:effectExtent l="0" t="0" r="9525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A86445" w:rsidRPr="004E0DA4" w:rsidTr="00A86445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86445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Octobre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86445" w:rsidRPr="005A6F02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86445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Novembre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A86445" w:rsidRPr="005A6F02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A86445" w:rsidRPr="005A6F02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A86445" w:rsidRPr="005A6F02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A86445" w:rsidRPr="004E0DA4" w:rsidTr="00A86445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13,7</w:t>
            </w:r>
          </w:p>
        </w:tc>
      </w:tr>
      <w:tr w:rsidR="00A86445" w:rsidRPr="004E0DA4" w:rsidTr="00A86445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4,6</w:t>
            </w:r>
          </w:p>
        </w:tc>
      </w:tr>
      <w:tr w:rsidR="00A86445" w:rsidRPr="00534BE7" w:rsidTr="00A86445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4,1</w:t>
            </w:r>
          </w:p>
        </w:tc>
      </w:tr>
      <w:tr w:rsidR="00A86445" w:rsidRPr="004E0DA4" w:rsidTr="00A86445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A86445" w:rsidRPr="004E0DA4" w:rsidTr="00A86445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7,3</w:t>
            </w:r>
          </w:p>
        </w:tc>
      </w:tr>
      <w:tr w:rsidR="00A86445" w:rsidRPr="004E0DA4" w:rsidTr="00A86445">
        <w:trPr>
          <w:trHeight w:val="41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</w:tr>
      <w:tr w:rsidR="00A86445" w:rsidRPr="004E0DA4" w:rsidTr="00A86445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124,8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128,6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16,1</w:t>
            </w:r>
          </w:p>
        </w:tc>
      </w:tr>
      <w:tr w:rsidR="00A86445" w:rsidRPr="004E0DA4" w:rsidTr="00A86445">
        <w:trPr>
          <w:trHeight w:val="45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A86445" w:rsidRPr="004E0DA4" w:rsidTr="00A86445">
        <w:trPr>
          <w:trHeight w:val="38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5,5</w:t>
            </w:r>
          </w:p>
        </w:tc>
      </w:tr>
      <w:tr w:rsidR="00A86445" w:rsidRPr="004E0DA4" w:rsidTr="00A86445">
        <w:trPr>
          <w:trHeight w:val="34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3654F0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</w:t>
            </w:r>
            <w:r w:rsidR="00A86445"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,6</w:t>
            </w:r>
          </w:p>
        </w:tc>
      </w:tr>
      <w:tr w:rsidR="00A86445" w:rsidRPr="004E0DA4" w:rsidTr="00A86445">
        <w:trPr>
          <w:trHeight w:val="33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4,0</w:t>
            </w:r>
          </w:p>
        </w:tc>
      </w:tr>
      <w:tr w:rsidR="00A86445" w:rsidRPr="004E0DA4" w:rsidTr="00A86445">
        <w:trPr>
          <w:trHeight w:val="36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E0DA4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4101EA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A86445" w:rsidRPr="004E0DA4" w:rsidTr="00A86445">
        <w:trPr>
          <w:trHeight w:val="45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Default="00A86445" w:rsidP="00A86445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5703A7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5703A7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5703A7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5703A7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445" w:rsidRPr="005703A7" w:rsidRDefault="00A86445" w:rsidP="00A86445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8,0</w:t>
            </w:r>
          </w:p>
        </w:tc>
      </w:tr>
    </w:tbl>
    <w:p w:rsidR="001D5B7A" w:rsidRDefault="001D5B7A" w:rsidP="0075792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757929">
        <w:rPr>
          <w:rFonts w:ascii="Times New Roman" w:eastAsia="Gulim" w:hAnsi="Times New Roman"/>
          <w:b/>
          <w:bCs/>
          <w:sz w:val="28"/>
          <w:szCs w:val="28"/>
        </w:rPr>
        <w:t>8,0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75792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757929">
        <w:rPr>
          <w:rFonts w:ascii="Times New Roman" w:eastAsia="Gulim" w:hAnsi="Times New Roman"/>
          <w:sz w:val="28"/>
          <w:szCs w:val="28"/>
        </w:rPr>
        <w:t>8,0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757929">
        <w:rPr>
          <w:rFonts w:ascii="Times New Roman" w:eastAsia="Gulim" w:hAnsi="Times New Roman"/>
          <w:sz w:val="28"/>
          <w:szCs w:val="28"/>
        </w:rPr>
        <w:t>13,7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533D12">
        <w:rPr>
          <w:rFonts w:ascii="Times New Roman" w:eastAsia="Gulim" w:hAnsi="Times New Roman"/>
          <w:sz w:val="28"/>
          <w:szCs w:val="28"/>
        </w:rPr>
        <w:t>4,</w:t>
      </w:r>
      <w:r w:rsidR="00757929">
        <w:rPr>
          <w:rFonts w:ascii="Times New Roman" w:eastAsia="Gulim" w:hAnsi="Times New Roman"/>
          <w:sz w:val="28"/>
          <w:szCs w:val="28"/>
        </w:rPr>
        <w:t>6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757929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D7B67E4" wp14:editId="56ECCA7E">
            <wp:extent cx="5343525" cy="2771775"/>
            <wp:effectExtent l="0" t="0" r="9525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042DF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EE2AE6">
        <w:rPr>
          <w:rFonts w:ascii="Times New Roman" w:eastAsia="Gulim" w:hAnsi="Times New Roman"/>
          <w:b/>
          <w:bCs/>
          <w:sz w:val="28"/>
          <w:szCs w:val="28"/>
        </w:rPr>
        <w:t>6</w:t>
      </w:r>
      <w:r w:rsidR="007924C5">
        <w:rPr>
          <w:rFonts w:ascii="Times New Roman" w:eastAsia="Gulim" w:hAnsi="Times New Roman"/>
          <w:b/>
          <w:bCs/>
          <w:sz w:val="28"/>
          <w:szCs w:val="28"/>
        </w:rPr>
        <w:t>,</w:t>
      </w:r>
      <w:r w:rsidR="00042DFF">
        <w:rPr>
          <w:rFonts w:ascii="Times New Roman" w:eastAsia="Gulim" w:hAnsi="Times New Roman"/>
          <w:b/>
          <w:bCs/>
          <w:sz w:val="28"/>
          <w:szCs w:val="28"/>
        </w:rPr>
        <w:t>4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042DFF">
        <w:rPr>
          <w:rFonts w:ascii="Times New Roman" w:eastAsia="Gulim" w:hAnsi="Times New Roman"/>
          <w:b/>
          <w:bCs/>
          <w:sz w:val="28"/>
          <w:szCs w:val="28"/>
        </w:rPr>
        <w:t>onze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2A3B6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4F0EE5">
        <w:rPr>
          <w:rFonts w:ascii="Times New Roman" w:eastAsia="Gulim" w:hAnsi="Times New Roman"/>
          <w:sz w:val="28"/>
          <w:szCs w:val="28"/>
        </w:rPr>
        <w:t xml:space="preserve">des </w:t>
      </w:r>
      <w:r w:rsidR="002A3B6E">
        <w:rPr>
          <w:rFonts w:ascii="Times New Roman" w:eastAsia="Gulim" w:hAnsi="Times New Roman"/>
          <w:sz w:val="28"/>
          <w:szCs w:val="28"/>
        </w:rPr>
        <w:t>onze</w:t>
      </w:r>
      <w:r w:rsidR="004F0EE5">
        <w:rPr>
          <w:rFonts w:ascii="Times New Roman" w:eastAsia="Gulim" w:hAnsi="Times New Roman"/>
          <w:sz w:val="28"/>
          <w:szCs w:val="28"/>
        </w:rPr>
        <w:t xml:space="preserve"> premier</w:t>
      </w:r>
      <w:r w:rsidR="00A658AF">
        <w:rPr>
          <w:rFonts w:ascii="Times New Roman" w:eastAsia="Gulim" w:hAnsi="Times New Roman"/>
          <w:sz w:val="28"/>
          <w:szCs w:val="28"/>
        </w:rPr>
        <w:t>s</w:t>
      </w:r>
      <w:r w:rsidR="004F0EE5">
        <w:rPr>
          <w:rFonts w:ascii="Times New Roman" w:eastAsia="Gulim" w:hAnsi="Times New Roman"/>
          <w:sz w:val="28"/>
          <w:szCs w:val="28"/>
        </w:rPr>
        <w:t xml:space="preserve"> mois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EE2AE6">
        <w:rPr>
          <w:rFonts w:ascii="Times New Roman" w:eastAsia="Gulim" w:hAnsi="Times New Roman"/>
          <w:sz w:val="28"/>
          <w:szCs w:val="28"/>
        </w:rPr>
        <w:t>6</w:t>
      </w:r>
      <w:r w:rsidR="007924C5">
        <w:rPr>
          <w:rFonts w:ascii="Times New Roman" w:eastAsia="Gulim" w:hAnsi="Times New Roman"/>
          <w:sz w:val="28"/>
          <w:szCs w:val="28"/>
        </w:rPr>
        <w:t>,</w:t>
      </w:r>
      <w:r w:rsidR="00042DFF">
        <w:rPr>
          <w:rFonts w:ascii="Times New Roman" w:eastAsia="Gulim" w:hAnsi="Times New Roman"/>
          <w:sz w:val="28"/>
          <w:szCs w:val="28"/>
        </w:rPr>
        <w:t>4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042DF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</w:t>
      </w:r>
      <w:r w:rsidR="00042DFF">
        <w:rPr>
          <w:rFonts w:ascii="Times New Roman" w:eastAsia="Gulim" w:hAnsi="Times New Roman"/>
          <w:sz w:val="28"/>
          <w:szCs w:val="28"/>
        </w:rPr>
        <w:t>0</w:t>
      </w:r>
      <w:r w:rsidR="00A55882"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042DFF">
        <w:rPr>
          <w:rFonts w:ascii="Times New Roman" w:eastAsia="Gulim" w:hAnsi="Times New Roman"/>
          <w:sz w:val="28"/>
          <w:szCs w:val="28"/>
        </w:rPr>
        <w:t>16,0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042DFF">
        <w:rPr>
          <w:rFonts w:ascii="Times New Roman" w:eastAsia="Gulim" w:hAnsi="Times New Roman"/>
          <w:sz w:val="28"/>
          <w:szCs w:val="28"/>
        </w:rPr>
        <w:t>25,6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042DFF">
        <w:rPr>
          <w:rFonts w:ascii="Times New Roman" w:eastAsia="Gulim" w:hAnsi="Times New Roman"/>
          <w:sz w:val="28"/>
          <w:szCs w:val="28"/>
        </w:rPr>
        <w:t>6,1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E10304" w:rsidRDefault="0097039B" w:rsidP="003654F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322F8A">
        <w:rPr>
          <w:rFonts w:ascii="Times New Roman" w:eastAsia="Gulim" w:hAnsi="Times New Roman"/>
          <w:sz w:val="28"/>
          <w:szCs w:val="28"/>
        </w:rPr>
        <w:t>44,</w:t>
      </w:r>
      <w:r w:rsidR="00042DFF">
        <w:rPr>
          <w:rFonts w:ascii="Times New Roman" w:eastAsia="Gulim" w:hAnsi="Times New Roman"/>
          <w:sz w:val="28"/>
          <w:szCs w:val="28"/>
        </w:rPr>
        <w:t>7</w:t>
      </w:r>
      <w:r w:rsidR="00322F8A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>)</w:t>
      </w:r>
      <w:r w:rsidR="00322F8A">
        <w:rPr>
          <w:rFonts w:ascii="Times New Roman" w:eastAsia="Gulim" w:hAnsi="Times New Roman"/>
          <w:sz w:val="28"/>
          <w:szCs w:val="28"/>
        </w:rPr>
        <w:t>,</w:t>
      </w:r>
      <w:r w:rsidR="00A55882">
        <w:rPr>
          <w:rFonts w:ascii="Times New Roman" w:eastAsia="Gulim" w:hAnsi="Times New Roman"/>
          <w:sz w:val="28"/>
          <w:szCs w:val="28"/>
        </w:rPr>
        <w:t xml:space="preserve">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</w:t>
      </w:r>
      <w:r w:rsidR="000E2446">
        <w:rPr>
          <w:rFonts w:ascii="Times New Roman" w:eastAsia="Gulim" w:hAnsi="Times New Roman"/>
          <w:sz w:val="28"/>
          <w:szCs w:val="28"/>
        </w:rPr>
        <w:t>3</w:t>
      </w:r>
      <w:r w:rsidR="00A55882">
        <w:rPr>
          <w:rFonts w:ascii="Times New Roman" w:eastAsia="Gulim" w:hAnsi="Times New Roman"/>
          <w:sz w:val="28"/>
          <w:szCs w:val="28"/>
        </w:rPr>
        <w:t>%)</w:t>
      </w:r>
      <w:r w:rsidR="00322F8A">
        <w:rPr>
          <w:rFonts w:ascii="Times New Roman" w:eastAsia="Gulim" w:hAnsi="Times New Roman"/>
          <w:sz w:val="28"/>
          <w:szCs w:val="28"/>
        </w:rPr>
        <w:t xml:space="preserve"> et l’</w:t>
      </w:r>
      <w:r w:rsidR="006879AE" w:rsidRPr="00391850">
        <w:rPr>
          <w:rFonts w:ascii="Times New Roman" w:eastAsia="Gulim" w:hAnsi="Times New Roman"/>
          <w:sz w:val="28"/>
          <w:szCs w:val="28"/>
        </w:rPr>
        <w:t>‘‘</w:t>
      </w:r>
      <w:r w:rsidR="00322F8A">
        <w:rPr>
          <w:rFonts w:ascii="Times New Roman" w:eastAsia="Gulim" w:hAnsi="Times New Roman"/>
          <w:sz w:val="28"/>
          <w:szCs w:val="28"/>
        </w:rPr>
        <w:t>Enseignement</w:t>
      </w:r>
      <w:r w:rsidR="006879AE" w:rsidRPr="00391850">
        <w:rPr>
          <w:rFonts w:ascii="Times New Roman" w:eastAsia="Gulim" w:hAnsi="Times New Roman"/>
          <w:sz w:val="28"/>
          <w:szCs w:val="28"/>
        </w:rPr>
        <w:t>’’</w:t>
      </w:r>
      <w:r w:rsidR="006231F0">
        <w:rPr>
          <w:rFonts w:ascii="Times New Roman" w:eastAsia="Gulim" w:hAnsi="Times New Roman"/>
          <w:sz w:val="28"/>
          <w:szCs w:val="28"/>
        </w:rPr>
        <w:t xml:space="preserve"> </w:t>
      </w:r>
      <w:r w:rsidR="00322F8A">
        <w:rPr>
          <w:rFonts w:ascii="Times New Roman" w:eastAsia="Gulim" w:hAnsi="Times New Roman"/>
          <w:sz w:val="28"/>
          <w:szCs w:val="28"/>
        </w:rPr>
        <w:t>privé (+</w:t>
      </w:r>
      <w:r w:rsidR="003654F0">
        <w:rPr>
          <w:rFonts w:ascii="Times New Roman" w:eastAsia="Gulim" w:hAnsi="Times New Roman"/>
          <w:sz w:val="28"/>
          <w:szCs w:val="28"/>
        </w:rPr>
        <w:t>3,6</w:t>
      </w:r>
      <w:r w:rsidR="00322F8A">
        <w:rPr>
          <w:rFonts w:ascii="Times New Roman" w:eastAsia="Gulim" w:hAnsi="Times New Roman"/>
          <w:sz w:val="28"/>
          <w:szCs w:val="28"/>
        </w:rPr>
        <w:t>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F864F2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F864F2">
        <w:rPr>
          <w:rFonts w:ascii="Times New Roman" w:eastAsia="Gulim" w:hAnsi="Times New Roman"/>
          <w:sz w:val="28"/>
          <w:szCs w:val="28"/>
        </w:rPr>
        <w:t>de Novembre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4266F4">
        <w:rPr>
          <w:rFonts w:ascii="Times New Roman" w:eastAsia="Gulim" w:hAnsi="Times New Roman"/>
          <w:sz w:val="28"/>
          <w:szCs w:val="28"/>
        </w:rPr>
        <w:t>0,4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CC654B">
        <w:rPr>
          <w:rFonts w:ascii="Times New Roman" w:eastAsia="Gulim" w:hAnsi="Times New Roman"/>
          <w:sz w:val="28"/>
          <w:szCs w:val="28"/>
        </w:rPr>
        <w:t>8,</w:t>
      </w:r>
      <w:r w:rsidR="00F864F2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E84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CC654B">
        <w:rPr>
          <w:rFonts w:ascii="Times New Roman" w:eastAsia="Gulim" w:hAnsi="Times New Roman"/>
          <w:sz w:val="28"/>
          <w:szCs w:val="28"/>
        </w:rPr>
        <w:t>inégale</w:t>
      </w:r>
      <w:r w:rsidR="00EF4261">
        <w:rPr>
          <w:rFonts w:ascii="Times New Roman" w:eastAsia="Gulim" w:hAnsi="Times New Roman"/>
          <w:sz w:val="28"/>
          <w:szCs w:val="28"/>
        </w:rPr>
        <w:t xml:space="preserve"> </w:t>
      </w:r>
      <w:r w:rsidR="00231EBC">
        <w:rPr>
          <w:rFonts w:ascii="Times New Roman" w:eastAsia="Gulim" w:hAnsi="Times New Roman"/>
          <w:sz w:val="28"/>
          <w:szCs w:val="28"/>
        </w:rPr>
        <w:t xml:space="preserve">allant </w:t>
      </w:r>
      <w:r w:rsidR="00EF4261">
        <w:rPr>
          <w:rFonts w:ascii="Times New Roman" w:eastAsia="Gulim" w:hAnsi="Times New Roman"/>
          <w:sz w:val="28"/>
          <w:szCs w:val="28"/>
        </w:rPr>
        <w:t>d</w:t>
      </w:r>
      <w:r w:rsidR="00E92165">
        <w:rPr>
          <w:rFonts w:ascii="Times New Roman" w:eastAsia="Gulim" w:hAnsi="Times New Roman"/>
          <w:sz w:val="28"/>
          <w:szCs w:val="28"/>
        </w:rPr>
        <w:t xml:space="preserve">’une baisse de </w:t>
      </w:r>
      <w:r w:rsidR="004266F4">
        <w:rPr>
          <w:rFonts w:ascii="Times New Roman" w:eastAsia="Gulim" w:hAnsi="Times New Roman"/>
          <w:sz w:val="28"/>
          <w:szCs w:val="28"/>
        </w:rPr>
        <w:t>0,7</w:t>
      </w:r>
      <w:r w:rsidR="00E92165">
        <w:rPr>
          <w:rFonts w:ascii="Times New Roman" w:eastAsia="Gulim" w:hAnsi="Times New Roman"/>
          <w:sz w:val="28"/>
          <w:szCs w:val="28"/>
        </w:rPr>
        <w:t xml:space="preserve">% à </w:t>
      </w:r>
      <w:r w:rsidR="00F864F2">
        <w:rPr>
          <w:rFonts w:ascii="Times New Roman" w:eastAsia="Gulim" w:hAnsi="Times New Roman"/>
          <w:sz w:val="28"/>
          <w:szCs w:val="28"/>
        </w:rPr>
        <w:t>Beni Mellal</w:t>
      </w:r>
      <w:r w:rsidR="00E92165">
        <w:rPr>
          <w:rFonts w:ascii="Times New Roman" w:eastAsia="Gulim" w:hAnsi="Times New Roman"/>
          <w:sz w:val="28"/>
          <w:szCs w:val="28"/>
        </w:rPr>
        <w:t xml:space="preserve"> à une hausse de 1,</w:t>
      </w:r>
      <w:r w:rsidR="00F864F2">
        <w:rPr>
          <w:rFonts w:ascii="Times New Roman" w:eastAsia="Gulim" w:hAnsi="Times New Roman"/>
          <w:sz w:val="28"/>
          <w:szCs w:val="28"/>
        </w:rPr>
        <w:t>3</w:t>
      </w:r>
      <w:r w:rsidR="00E92165">
        <w:rPr>
          <w:rFonts w:ascii="Times New Roman" w:eastAsia="Gulim" w:hAnsi="Times New Roman"/>
          <w:sz w:val="28"/>
          <w:szCs w:val="28"/>
        </w:rPr>
        <w:t xml:space="preserve">% </w:t>
      </w:r>
      <w:r w:rsidR="004266F4">
        <w:rPr>
          <w:rFonts w:ascii="Times New Roman" w:eastAsia="Gulim" w:hAnsi="Times New Roman"/>
          <w:sz w:val="28"/>
          <w:szCs w:val="28"/>
        </w:rPr>
        <w:t xml:space="preserve">à </w:t>
      </w:r>
      <w:r w:rsidR="00F864F2">
        <w:rPr>
          <w:rFonts w:ascii="Times New Roman" w:eastAsia="Gulim" w:hAnsi="Times New Roman"/>
          <w:sz w:val="28"/>
          <w:szCs w:val="28"/>
        </w:rPr>
        <w:t xml:space="preserve">Al </w:t>
      </w:r>
      <w:r w:rsidR="00E84699">
        <w:rPr>
          <w:rFonts w:ascii="Times New Roman" w:eastAsia="Gulim" w:hAnsi="Times New Roman"/>
          <w:sz w:val="28"/>
          <w:szCs w:val="28"/>
        </w:rPr>
        <w:t>H</w:t>
      </w:r>
      <w:r w:rsidR="00F864F2">
        <w:rPr>
          <w:rFonts w:ascii="Times New Roman" w:eastAsia="Gulim" w:hAnsi="Times New Roman"/>
          <w:sz w:val="28"/>
          <w:szCs w:val="28"/>
        </w:rPr>
        <w:t>oceima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38" w:rsidRDefault="00620538">
      <w:r>
        <w:separator/>
      </w:r>
    </w:p>
    <w:p w:rsidR="00620538" w:rsidRDefault="00620538"/>
  </w:endnote>
  <w:endnote w:type="continuationSeparator" w:id="0">
    <w:p w:rsidR="00620538" w:rsidRDefault="00620538">
      <w:r>
        <w:continuationSeparator/>
      </w:r>
    </w:p>
    <w:p w:rsidR="00620538" w:rsidRDefault="00620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B1AEA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B1AEA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38" w:rsidRDefault="00620538">
      <w:r>
        <w:separator/>
      </w:r>
    </w:p>
    <w:p w:rsidR="00620538" w:rsidRDefault="00620538"/>
  </w:footnote>
  <w:footnote w:type="continuationSeparator" w:id="0">
    <w:p w:rsidR="00620538" w:rsidRDefault="00620538">
      <w:r>
        <w:continuationSeparator/>
      </w:r>
    </w:p>
    <w:p w:rsidR="00620538" w:rsidRDefault="006205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1AEA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538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1_2022\11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1_2022\11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Nov 2021_Nov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122780948677714E-2"/>
          <c:y val="0.17103825136612019"/>
          <c:w val="0.90601008207307421"/>
          <c:h val="0.63785465341422487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44501</c:v>
                </c:pt>
                <c:pt idx="1">
                  <c:v>44531</c:v>
                </c:pt>
                <c:pt idx="2">
                  <c:v>44562</c:v>
                </c:pt>
                <c:pt idx="3">
                  <c:v>44593</c:v>
                </c:pt>
                <c:pt idx="4">
                  <c:v>44621</c:v>
                </c:pt>
                <c:pt idx="5">
                  <c:v>44652</c:v>
                </c:pt>
                <c:pt idx="6">
                  <c:v>44682</c:v>
                </c:pt>
                <c:pt idx="7">
                  <c:v>44713</c:v>
                </c:pt>
                <c:pt idx="8">
                  <c:v>44743</c:v>
                </c:pt>
                <c:pt idx="9">
                  <c:v>44774</c:v>
                </c:pt>
                <c:pt idx="10">
                  <c:v>44805</c:v>
                </c:pt>
                <c:pt idx="11">
                  <c:v>44835</c:v>
                </c:pt>
                <c:pt idx="12">
                  <c:v>44866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0.4</c:v>
                </c:pt>
                <c:pt idx="1">
                  <c:v>-0.1</c:v>
                </c:pt>
                <c:pt idx="2">
                  <c:v>0.5</c:v>
                </c:pt>
                <c:pt idx="3">
                  <c:v>-0.1</c:v>
                </c:pt>
                <c:pt idx="4">
                  <c:v>1.7</c:v>
                </c:pt>
                <c:pt idx="5">
                  <c:v>1.3</c:v>
                </c:pt>
                <c:pt idx="6">
                  <c:v>0.5</c:v>
                </c:pt>
                <c:pt idx="7">
                  <c:v>0.8</c:v>
                </c:pt>
                <c:pt idx="8">
                  <c:v>0.5</c:v>
                </c:pt>
                <c:pt idx="9">
                  <c:v>0.2</c:v>
                </c:pt>
                <c:pt idx="10">
                  <c:v>1.1000000000000001</c:v>
                </c:pt>
                <c:pt idx="11">
                  <c:v>0.8</c:v>
                </c:pt>
                <c:pt idx="12">
                  <c:v>0.4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C54-4539-AA64-29A46C17F2F0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44501</c:v>
                </c:pt>
                <c:pt idx="1">
                  <c:v>44531</c:v>
                </c:pt>
                <c:pt idx="2">
                  <c:v>44562</c:v>
                </c:pt>
                <c:pt idx="3">
                  <c:v>44593</c:v>
                </c:pt>
                <c:pt idx="4">
                  <c:v>44621</c:v>
                </c:pt>
                <c:pt idx="5">
                  <c:v>44652</c:v>
                </c:pt>
                <c:pt idx="6">
                  <c:v>44682</c:v>
                </c:pt>
                <c:pt idx="7">
                  <c:v>44713</c:v>
                </c:pt>
                <c:pt idx="8">
                  <c:v>44743</c:v>
                </c:pt>
                <c:pt idx="9">
                  <c:v>44774</c:v>
                </c:pt>
                <c:pt idx="10">
                  <c:v>44805</c:v>
                </c:pt>
                <c:pt idx="11">
                  <c:v>44835</c:v>
                </c:pt>
                <c:pt idx="12">
                  <c:v>44866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0.2</c:v>
                </c:pt>
                <c:pt idx="1">
                  <c:v>0.1</c:v>
                </c:pt>
                <c:pt idx="2">
                  <c:v>0</c:v>
                </c:pt>
                <c:pt idx="3">
                  <c:v>0.6</c:v>
                </c:pt>
                <c:pt idx="4">
                  <c:v>1.8</c:v>
                </c:pt>
                <c:pt idx="5">
                  <c:v>1.8</c:v>
                </c:pt>
                <c:pt idx="6">
                  <c:v>0.3</c:v>
                </c:pt>
                <c:pt idx="7">
                  <c:v>0.5</c:v>
                </c:pt>
                <c:pt idx="8">
                  <c:v>0.9</c:v>
                </c:pt>
                <c:pt idx="9">
                  <c:v>0.3</c:v>
                </c:pt>
                <c:pt idx="10">
                  <c:v>1</c:v>
                </c:pt>
                <c:pt idx="11">
                  <c:v>0.4</c:v>
                </c:pt>
                <c:pt idx="12">
                  <c:v>0.4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C54-4539-AA64-29A46C17F2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7823536"/>
        <c:axId val="547824320"/>
      </c:lineChart>
      <c:dateAx>
        <c:axId val="54782353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7824320"/>
        <c:crosses val="autoZero"/>
        <c:auto val="1"/>
        <c:lblOffset val="100"/>
        <c:baseTimeUnit val="months"/>
      </c:dateAx>
      <c:valAx>
        <c:axId val="54782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782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Feuil9!$A$75:$A$133</c:f>
              <c:numCache>
                <c:formatCode>mmm\-yy</c:formatCode>
                <c:ptCount val="5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</c:numCache>
            </c:numRef>
          </c:cat>
          <c:val>
            <c:numRef>
              <c:f>Feuil9!$B$75:$B$133</c:f>
              <c:numCache>
                <c:formatCode>General</c:formatCode>
                <c:ptCount val="5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8C3-49C8-8048-6B85256B72F8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Feuil9!$A$75:$A$133</c:f>
              <c:numCache>
                <c:formatCode>mmm\-yy</c:formatCode>
                <c:ptCount val="5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</c:numCache>
            </c:numRef>
          </c:cat>
          <c:val>
            <c:numRef>
              <c:f>Feuil9!$C$75:$C$133</c:f>
              <c:numCache>
                <c:formatCode>General</c:formatCode>
                <c:ptCount val="5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8C3-49C8-8048-6B85256B7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7825104"/>
        <c:axId val="547825496"/>
      </c:lineChart>
      <c:dateAx>
        <c:axId val="54782510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7825496"/>
        <c:crosses val="autoZero"/>
        <c:auto val="1"/>
        <c:lblOffset val="100"/>
        <c:baseTimeUnit val="months"/>
      </c:dateAx>
      <c:valAx>
        <c:axId val="547825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47825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AA07EB-4127-4554-8A04-CCC6EA8B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749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2023-03-02T10:46:00Z</dcterms:created>
  <dcterms:modified xsi:type="dcterms:W3CDTF">2023-03-02T10:46:00Z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